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Lib. Gral. Bdo. O'Higgins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232.564 millones de pesos a través de www.mercadopublico.cl en la Región de O'Higgins con 59.561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14 de noviembre, ChileCompra visitó la región de Lib. Gral. Bdo. O'Higgins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$232.564 millones se transaron en Mercado Público entre enero y agosto 2023 en la región de Lib. Gral. Bdo. O'Higgins.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232.564 millones de pesos (US$ 286 millones) a través de www.mercadopublico.cl en la Región de Lib. Gral. Bdo. O'Higgins con 59.561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SERVICIO DE SALUD DEL LIBERTADOR B O'HIGGINS HOSPITAL REG RANCAGUA (20.487.416.141 pesos); ILUSTRE MUNICIPALIDAD DE MACHALI (11.733.460.171 pesos); UNIVERSIDAD DE O'HIGGINS (9.151.920.529 pesos). Por su parte, los rubros más solicitados fueron: Servicios de construcción y mantenimiento (US$ 39.105.248); Servicios profesionales, administrativos y consultorías de gestión empresarial (US$ 24.236.145); Equipamiento y suministros médicos (US$ 21.596.820).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Ilustre Municipalidad de Machali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3181-411-SE23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SEGUNDO LLAMADO AMPLIACION RED DE ALCANTARILLADO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RIO MAULE 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8.878.621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SAN FERNANDO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2817-35-SE23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RECOLECCIÓN RESIDUOS DOMICILIARIOS SAN FERNANDO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STARCO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5.735.168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Ilustre Municipalidad de Chimbarongo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3729-14-SE23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RECOLECCIÓN DE RESIDUOS SOLIDOS DOMICILIARIOS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VEOLIA CHILE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4.156.963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$130.649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Lib. Gral. Bdo. O'Higgins, Municipalidades lideran las compras con 130.649 millones de pesos transados, lo que equivale a un 56% de las transacciones por sector en la región. Le sigue el sector Salud con 52.857 millones transados, esto un 23%, luego viene Gob. Central, Universidades con 28.733 millones de pesos transados (12%) y luego Obras Públicas con 11.558 millones de pesos transados (5%).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O'Higgi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Lib. Gral. Bdo. O'Higgins se generaron oportunidades por la modalidad Compra Ágil -que permite mayor participación de las Mipymes en compras de menores montos (igual o menor a 30 UTM)- por $16.017 millones, las que se tradujeron en 21.529 órdenes de compra emitidas por los organismos públicos de la región. Se observó un crecimiento de 21% (variación nominal) entre el 2022 y el 2023 en los montos transados en la Compra Ágil en la región, con una diferencia de 1.749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