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Ñuble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177.171 millones de pesos a través de www.mercadopublico.cl en la Región de Ñuble con 55.999 órdenes de compra emitidas por los diferentes organismos públicos.</w:t>
      </w:r>
    </w:p>
    <w:p>
      <w:pPr>
        <w:pStyle w:val="NuevoEstilo"/>
      </w:pPr>
      <w:r>
        <w:t xml:space="preserve"> </w:t>
      </w:r>
    </w:p>
    <w:p>
      <w:pPr>
        <w:pStyle w:val="NuevoEstilo"/>
        <w:jc w:val="both"/>
      </w:pPr>
      <w:r>
        <w:rPr>
          <w:sz w:val="20"/>
        </w:rPr>
        <w:t>Este 17 de noviembre, ChileCompra visitó la región de Ñuble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$177.171 millones se transaron en Mercado Público entre enero y agosto 2023 en la región de Ñuble.</w:t>
      </w:r>
    </w:p>
    <w:p>
      <w:pPr>
        <w:pStyle w:val="NuevoEstilo"/>
      </w:pPr>
      <w:r>
        <w:t xml:space="preserve"> </w:t>
      </w:r>
    </w:p>
    <w:p>
      <w:pPr>
        <w:pStyle w:val="NuevoEstilo"/>
        <w:jc w:val="both"/>
      </w:pPr>
      <w:r>
        <w:rPr>
          <w:sz w:val="20"/>
        </w:rPr>
        <w:t>Durante 2023 se transaron 177.171 millones de pesos (US$ 217 millones) a través de www.mercadopublico.cl en la Región de Ñuble con 55.999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HOSPITAL CLINICO HERMINDA MARTIN (27.853.148.681 pesos); I MUNICIPALIDAD DE CHILLAN (14.344.795.440 pesos); SERVICIO DE VIVIENDA Y URBANIZACION REGION ÑUBLE (11.915.854.164 pesos). Por su parte, los rubros más solicitados fueron: Servicios de construcción y mantenimiento (US$ 24.920.488); Servicios de transporte, almacenaje y correo (US$ 14.732.969); Obras MINVU (US$ 13.602.372).</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SERVICIO DE VIVIENDA Y URBANIZACION REGION ÑUBLE</w:t>
            </w:r>
          </w:p>
        </w:tc>
        <w:tc>
          <w:tcPr>
            <w:tcW w:type="dxa" w:w="1768"/>
          </w:tcPr>
          <w:p>
            <w:r>
              <w:rPr>
                <w:sz w:val="20"/>
              </w:rPr>
              <w:t>1085111-22-SE23</w:t>
            </w:r>
          </w:p>
        </w:tc>
        <w:tc>
          <w:tcPr>
            <w:tcW w:type="dxa" w:w="1768"/>
          </w:tcPr>
          <w:p>
            <w:r>
              <w:rPr>
                <w:sz w:val="20"/>
              </w:rPr>
              <w:t>MEJORAMIENTO AVENIDA HUAMBALI, CHILLAN</w:t>
            </w:r>
          </w:p>
        </w:tc>
        <w:tc>
          <w:tcPr>
            <w:tcW w:type="dxa" w:w="1768"/>
          </w:tcPr>
          <w:p>
            <w:r>
              <w:rPr>
                <w:sz w:val="20"/>
              </w:rPr>
              <w:t>TAPUSA</w:t>
            </w:r>
          </w:p>
        </w:tc>
        <w:tc>
          <w:tcPr>
            <w:tcW w:type="dxa" w:w="1768"/>
          </w:tcPr>
          <w:p>
            <w:r>
              <w:rPr>
                <w:sz w:val="20"/>
              </w:rPr>
              <w:t>9.611.435</w:t>
            </w:r>
          </w:p>
        </w:tc>
      </w:tr>
      <w:tr>
        <w:tc>
          <w:tcPr>
            <w:tcW w:type="dxa" w:w="1768"/>
          </w:tcPr>
          <w:p>
            <w:r>
              <w:rPr>
                <w:sz w:val="20"/>
              </w:rPr>
              <w:t>I MUNICIPALIDAD DE CHILLAN</w:t>
            </w:r>
          </w:p>
        </w:tc>
        <w:tc>
          <w:tcPr>
            <w:tcW w:type="dxa" w:w="1768"/>
          </w:tcPr>
          <w:p>
            <w:r>
              <w:rPr>
                <w:sz w:val="20"/>
              </w:rPr>
              <w:t>2467-1272-SE23</w:t>
            </w:r>
          </w:p>
        </w:tc>
        <w:tc>
          <w:tcPr>
            <w:tcW w:type="dxa" w:w="1768"/>
          </w:tcPr>
          <w:p>
            <w:r>
              <w:rPr>
                <w:sz w:val="20"/>
              </w:rPr>
              <w:t>RECAMBIO MASIVO DE ALUMBRADO PÚBLICO A TECNOLOGÍA</w:t>
            </w:r>
          </w:p>
        </w:tc>
        <w:tc>
          <w:tcPr>
            <w:tcW w:type="dxa" w:w="1768"/>
          </w:tcPr>
          <w:p>
            <w:r>
              <w:rPr>
                <w:sz w:val="20"/>
              </w:rPr>
              <w:t>ELECNOR CHILE S.A.</w:t>
            </w:r>
          </w:p>
        </w:tc>
        <w:tc>
          <w:tcPr>
            <w:tcW w:type="dxa" w:w="1768"/>
          </w:tcPr>
          <w:p>
            <w:r>
              <w:rPr>
                <w:sz w:val="20"/>
              </w:rPr>
              <w:t>4.377.504</w:t>
            </w:r>
          </w:p>
        </w:tc>
      </w:tr>
      <w:tr>
        <w:tc>
          <w:tcPr>
            <w:tcW w:type="dxa" w:w="1768"/>
          </w:tcPr>
          <w:p>
            <w:r>
              <w:rPr>
                <w:sz w:val="20"/>
              </w:rPr>
              <w:t>Ilustre Municipalidad de San Nicolás</w:t>
            </w:r>
          </w:p>
        </w:tc>
        <w:tc>
          <w:tcPr>
            <w:tcW w:type="dxa" w:w="1768"/>
          </w:tcPr>
          <w:p>
            <w:r>
              <w:rPr>
                <w:sz w:val="20"/>
              </w:rPr>
              <w:t>1493-187-SE23</w:t>
            </w:r>
          </w:p>
        </w:tc>
        <w:tc>
          <w:tcPr>
            <w:tcW w:type="dxa" w:w="1768"/>
          </w:tcPr>
          <w:p>
            <w:r>
              <w:rPr>
                <w:sz w:val="20"/>
              </w:rPr>
              <w:t>REPOSICIÓN AMPLIADA EDIFICIO CONSISTORIAL MUNICIPALIDAD DE SAN NICOLÁS</w:t>
            </w:r>
          </w:p>
        </w:tc>
        <w:tc>
          <w:tcPr>
            <w:tcW w:type="dxa" w:w="1768"/>
          </w:tcPr>
          <w:p>
            <w:r>
              <w:rPr>
                <w:sz w:val="20"/>
              </w:rPr>
              <w:t>Ingesep</w:t>
            </w:r>
          </w:p>
        </w:tc>
        <w:tc>
          <w:tcPr>
            <w:tcW w:type="dxa" w:w="1768"/>
          </w:tcPr>
          <w:p>
            <w:r>
              <w:rPr>
                <w:sz w:val="20"/>
              </w:rPr>
              <w:t>4.260.021</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$84.602 millones transados</w:t>
      </w:r>
    </w:p>
    <w:p>
      <w:pPr>
        <w:pStyle w:val="NuevoEstilo"/>
      </w:pPr>
      <w:r>
        <w:t xml:space="preserve"> </w:t>
      </w:r>
    </w:p>
    <w:p>
      <w:pPr>
        <w:pStyle w:val="NuevoEstilo"/>
        <w:jc w:val="both"/>
      </w:pPr>
      <w:r>
        <w:rPr>
          <w:sz w:val="20"/>
        </w:rPr>
        <w:t xml:space="preserve">Respecto de las transacciones en Mercado Público por sector comprador en Ñuble, Municipalidades lideran las compras con 84.602 millones de pesos transados, lo que equivale a un 48% de las transacciones por sector en la región. Le sigue el sector Salud con 53.712 millones transados, esto un 30%, luego viene Obras Públicas con 20.871 millones de pesos transados (12%) y luego Gob. Central, Universidades con 16.250 millones de pesos transados (9%).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Ñuble.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Ñuble se generaron oportunidades por la modalidad Compra Ágil -que permite mayor participación de las Mipymes en compras de menores montos (igual o menor a 30 UTM)- por $11.502 millones, las que se tradujeron en 18.330 órdenes de compra emitidas por los organismos públicos de la región. Se observó un crecimiento de 30% (variación nominal) entre el 2022 y el 2023 en los montos transados en la Compra Ágil en la región, con una diferencia de 2.226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