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Antofagasta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226.644 millones de pesos a través de www.mercadopublico.cl en la Región de Antofagasta con 26.118 órdenes de compra emitidas por los diferentes organismos públicos.</w:t>
      </w:r>
    </w:p>
    <w:p>
      <w:pPr>
        <w:pStyle w:val="NuevoEstilo"/>
      </w:pPr>
      <w:r>
        <w:t xml:space="preserve"> </w:t>
      </w:r>
    </w:p>
    <w:p>
      <w:pPr>
        <w:pStyle w:val="NuevoEstilo"/>
        <w:jc w:val="both"/>
      </w:pPr>
      <w:r>
        <w:rPr>
          <w:sz w:val="20"/>
        </w:rPr>
        <w:t>Este 8 de noviembre, ChileCompra visitó la región de Antofagasta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$226.644 millones se transaron en Mercado Público entre enero y agosto 2023 en la región de Antofagasta.</w:t>
      </w:r>
    </w:p>
    <w:p>
      <w:pPr>
        <w:pStyle w:val="NuevoEstilo"/>
      </w:pPr>
      <w:r>
        <w:t xml:space="preserve"> </w:t>
      </w:r>
    </w:p>
    <w:p>
      <w:pPr>
        <w:pStyle w:val="NuevoEstilo"/>
        <w:jc w:val="both"/>
      </w:pPr>
      <w:r>
        <w:rPr>
          <w:sz w:val="20"/>
        </w:rPr>
        <w:t>Durante 2023 se transaron 226.644 millones de pesos (US$ 278 millones) a través de www.mercadopublico.cl en la Región de Antofagasta con 26.118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(45.551.099.059 pesos); SERVICIO DE VIVIENDA Y URBANIZACION II REGION (26.415.470.731 pesos); SERVICIO DE SALUD ANTOFAGASTA HOSPITAL L (23.183.961.418 pesos). Por su parte, los rubros más solicitados fueron: Obras (US$ 62.927.850); Obras MINVU (US$ 25.665.374); Servicios de construcción y mantenimiento (US$ 20.727.014).</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SERVICIO DE VIVIENDA Y URBANIZACION II REGION</w:t>
            </w:r>
          </w:p>
        </w:tc>
        <w:tc>
          <w:tcPr>
            <w:tcW w:type="dxa" w:w="1768"/>
          </w:tcPr>
          <w:p>
            <w:r>
              <w:rPr>
                <w:sz w:val="20"/>
              </w:rPr>
              <w:t>650-42-SE23</w:t>
            </w:r>
          </w:p>
        </w:tc>
        <w:tc>
          <w:tcPr>
            <w:tcW w:type="dxa" w:w="1768"/>
          </w:tcPr>
          <w:p>
            <w:r>
              <w:rPr>
                <w:sz w:val="20"/>
              </w:rPr>
              <w:t>LP 32-2022 Conservación VU Calama - SPA</w:t>
            </w:r>
          </w:p>
        </w:tc>
        <w:tc>
          <w:tcPr>
            <w:tcW w:type="dxa" w:w="1768"/>
          </w:tcPr>
          <w:p>
            <w:r>
              <w:rPr>
                <w:sz w:val="20"/>
              </w:rPr>
              <w:t>Bitumix S.A.</w:t>
            </w:r>
          </w:p>
        </w:tc>
        <w:tc>
          <w:tcPr>
            <w:tcW w:type="dxa" w:w="1768"/>
          </w:tcPr>
          <w:p>
            <w:r>
              <w:rPr>
                <w:sz w:val="20"/>
              </w:rPr>
              <w:t>14.620.424</w:t>
            </w:r>
          </w:p>
        </w:tc>
      </w:tr>
      <w:tr>
        <w:tc>
          <w:tcPr>
            <w:tcW w:type="dxa" w:w="1768"/>
          </w:tcPr>
          <w:p>
            <w:r>
              <w:rPr>
                <w:sz w:val="20"/>
              </w:rPr>
              <w:t>SERVICIO DE VIVIENDA Y URBANIZACION II REGION</w:t>
            </w:r>
          </w:p>
        </w:tc>
        <w:tc>
          <w:tcPr>
            <w:tcW w:type="dxa" w:w="1768"/>
          </w:tcPr>
          <w:p>
            <w:r>
              <w:rPr>
                <w:sz w:val="20"/>
              </w:rPr>
              <w:t>650-251-SE22</w:t>
            </w:r>
          </w:p>
        </w:tc>
        <w:tc>
          <w:tcPr>
            <w:tcW w:type="dxa" w:w="1768"/>
          </w:tcPr>
          <w:p>
            <w:r>
              <w:rPr>
                <w:sz w:val="20"/>
              </w:rPr>
              <w:t>LP 31-2022 Conservación VU Taltal</w:t>
            </w:r>
          </w:p>
        </w:tc>
        <w:tc>
          <w:tcPr>
            <w:tcW w:type="dxa" w:w="1768"/>
          </w:tcPr>
          <w:p>
            <w:r>
              <w:rPr>
                <w:sz w:val="20"/>
              </w:rPr>
              <w:t>cronor</w:t>
            </w:r>
          </w:p>
        </w:tc>
        <w:tc>
          <w:tcPr>
            <w:tcW w:type="dxa" w:w="1768"/>
          </w:tcPr>
          <w:p>
            <w:r>
              <w:rPr>
                <w:sz w:val="20"/>
              </w:rPr>
              <w:t>7.439.864</w:t>
            </w:r>
          </w:p>
        </w:tc>
      </w:tr>
      <w:tr>
        <w:tc>
          <w:tcPr>
            <w:tcW w:type="dxa" w:w="1768"/>
          </w:tcPr>
          <w:p>
            <w:r>
              <w:rPr>
                <w:sz w:val="20"/>
              </w:rPr>
              <w:t>MOP - Dirección de Vialidad</w:t>
            </w:r>
          </w:p>
        </w:tc>
        <w:tc>
          <w:tcPr>
            <w:tcW w:type="dxa" w:w="1768"/>
          </w:tcPr>
          <w:p>
            <w:r>
              <w:rPr>
                <w:sz w:val="20"/>
              </w:rPr>
              <w:t>1369-13-SE23</w:t>
            </w:r>
          </w:p>
        </w:tc>
        <w:tc>
          <w:tcPr>
            <w:tcW w:type="dxa" w:w="1768"/>
          </w:tcPr>
          <w:p>
            <w:r>
              <w:rPr>
                <w:sz w:val="20"/>
              </w:rPr>
              <w:t>CCB B-12 KM 72,5 al 82 y KM 94 al 118</w:t>
            </w:r>
          </w:p>
        </w:tc>
        <w:tc>
          <w:tcPr>
            <w:tcW w:type="dxa" w:w="1768"/>
          </w:tcPr>
          <w:p>
            <w:r>
              <w:rPr>
                <w:sz w:val="20"/>
              </w:rPr>
              <w:t>Remavesa S.A.</w:t>
            </w:r>
          </w:p>
        </w:tc>
        <w:tc>
          <w:tcPr>
            <w:tcW w:type="dxa" w:w="1768"/>
          </w:tcPr>
          <w:p>
            <w:r>
              <w:rPr>
                <w:sz w:val="20"/>
              </w:rPr>
              <w:t>5.959.334</w:t>
            </w:r>
          </w:p>
        </w:tc>
      </w:tr>
    </w:tbl>
    <w:p>
      <w:pPr>
        <w:pStyle w:val="NuevoEstilo"/>
      </w:pPr>
      <w:r>
        <w:t xml:space="preserve"> </w:t>
      </w:r>
    </w:p>
    <w:p>
      <w:pPr>
        <w:pStyle w:val="NuevoEstilo"/>
      </w:pPr>
      <w:r>
        <w:t xml:space="preserve"> </w:t>
      </w:r>
    </w:p>
    <w:p>
      <w:pPr>
        <w:pStyle w:val="NuevoEstilo"/>
        <w:jc w:val="both"/>
      </w:pPr>
      <w:r>
        <w:rPr>
          <w:b/>
          <w:sz w:val="20"/>
        </w:rPr>
        <w:t>El sector de Obras Públicas lidera las compras con $84.044 millones transados</w:t>
      </w:r>
    </w:p>
    <w:p>
      <w:pPr>
        <w:pStyle w:val="NuevoEstilo"/>
      </w:pPr>
      <w:r>
        <w:t xml:space="preserve"> </w:t>
      </w:r>
    </w:p>
    <w:p>
      <w:pPr>
        <w:pStyle w:val="NuevoEstilo"/>
        <w:jc w:val="both"/>
      </w:pPr>
      <w:r>
        <w:rPr>
          <w:sz w:val="20"/>
        </w:rPr>
        <w:t xml:space="preserve">Respecto de las transacciones en Mercado Público por sector comprador en Antofagasta, Obras Públicas lideran las compras con 84.044 millones de pesos transados, lo que equivale a un 37% de las transacciones por sector en la región. Le sigue el sector Municipalidades con 67.981 millones transados, esto un 30%, luego viene Salud con 48.288 millones de pesos transados (21%) y luego Gob. Central, Universidades con 20.079 millones de pesos transados (9%).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Antofagast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Antofagasta se generaron oportunidades por la modalidad Compra Ágil -que permite mayor participación de las Mipymes en compras de menores montos (igual o menor a 30 UTM)- por $6.971 millones, las que se tradujeron en 9.820 órdenes de compra emitidas por los organismos públicos de la región. Se observó un crecimiento de 17% (variación nominal) entre el 2022 y el 2023 en los montos transados en la Compra Ágil en la región, con una diferencia de 753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