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Atacama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122.469 millones de pesos a través de www.mercadopublico.cl en la Región de Atacama con 27.260 órdenes de compra emitidas por los diferentes organismos públicos.</w:t>
      </w:r>
    </w:p>
    <w:p>
      <w:pPr>
        <w:pStyle w:val="NuevoEstilo"/>
      </w:pPr>
      <w:r>
        <w:t xml:space="preserve"> </w:t>
      </w:r>
    </w:p>
    <w:p>
      <w:pPr>
        <w:pStyle w:val="NuevoEstilo"/>
        <w:jc w:val="both"/>
      </w:pPr>
      <w:r>
        <w:rPr>
          <w:sz w:val="20"/>
        </w:rPr>
        <w:t>Este 8 de noviembre, ChileCompra visitó la región de Atacama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$122.469 millones se transaron en Mercado Público entre enero y agosto 2023 en la región de Atacama.</w:t>
      </w:r>
    </w:p>
    <w:p>
      <w:pPr>
        <w:pStyle w:val="NuevoEstilo"/>
      </w:pPr>
      <w:r>
        <w:t xml:space="preserve"> </w:t>
      </w:r>
    </w:p>
    <w:p>
      <w:pPr>
        <w:pStyle w:val="NuevoEstilo"/>
        <w:jc w:val="both"/>
      </w:pPr>
      <w:r>
        <w:rPr>
          <w:sz w:val="20"/>
        </w:rPr>
        <w:t>Durante 2023 se transaron 122.469 millones de pesos (US$ 151 millones) a través de www.mercadopublico.cl en la Región de Atacama con 27.260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SERVICIO DE SALUD ATACAMA (25.877.033.210 pesos); SERVICIO DE SALUD ATACAMA HOSPITAL COPIA (14.937.904.670 pesos); SERVICIO LOCAL DE EDUCACION PÚBLICA DE ATACAMA (9.600.118.283 pesos). Por su parte, los rubros más solicitados fueron: Servicios de construcción y mantenimiento (US$ 32.814.604); Equipamiento y suministros médicos (US$ 8.986.366); Servicios de transporte, almacenaje y correo (US$ 8.215.767).</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Servicio de Salud Atacama</w:t>
            </w:r>
          </w:p>
        </w:tc>
        <w:tc>
          <w:tcPr>
            <w:tcW w:type="dxa" w:w="1768"/>
          </w:tcPr>
          <w:p>
            <w:r>
              <w:rPr>
                <w:sz w:val="20"/>
              </w:rPr>
              <w:t>1180885-4-SE23</w:t>
            </w:r>
          </w:p>
        </w:tc>
        <w:tc>
          <w:tcPr>
            <w:tcW w:type="dxa" w:w="1768"/>
          </w:tcPr>
          <w:p>
            <w:r>
              <w:rPr>
                <w:sz w:val="20"/>
              </w:rPr>
              <w:t>EJECUCIÓN "REPOS. HOSPITAL COMUNITARIO DIEGO ALMAGRO</w:t>
            </w:r>
          </w:p>
        </w:tc>
        <w:tc>
          <w:tcPr>
            <w:tcW w:type="dxa" w:w="1768"/>
          </w:tcPr>
          <w:p>
            <w:r>
              <w:rPr>
                <w:sz w:val="20"/>
              </w:rPr>
              <w:t>INMOBILIARIA E INVERSIONES QUILODRAN LTDA.</w:t>
            </w:r>
          </w:p>
        </w:tc>
        <w:tc>
          <w:tcPr>
            <w:tcW w:type="dxa" w:w="1768"/>
          </w:tcPr>
          <w:p>
            <w:r>
              <w:rPr>
                <w:sz w:val="20"/>
              </w:rPr>
              <w:t>15.932.948</w:t>
            </w:r>
          </w:p>
        </w:tc>
      </w:tr>
      <w:tr>
        <w:tc>
          <w:tcPr>
            <w:tcW w:type="dxa" w:w="1768"/>
          </w:tcPr>
          <w:p>
            <w:r>
              <w:rPr>
                <w:sz w:val="20"/>
              </w:rPr>
              <w:t>Servicio de Salud Atacama</w:t>
            </w:r>
          </w:p>
        </w:tc>
        <w:tc>
          <w:tcPr>
            <w:tcW w:type="dxa" w:w="1768"/>
          </w:tcPr>
          <w:p>
            <w:r>
              <w:rPr>
                <w:sz w:val="20"/>
              </w:rPr>
              <w:t>1552-420-SE23</w:t>
            </w:r>
          </w:p>
        </w:tc>
        <w:tc>
          <w:tcPr>
            <w:tcW w:type="dxa" w:w="1768"/>
          </w:tcPr>
          <w:p>
            <w:r>
              <w:rPr>
                <w:sz w:val="20"/>
              </w:rPr>
              <w:t>"CONSTRUCCION CESFAM ALTIPLANO NORTE, VALLENAR"</w:t>
            </w:r>
          </w:p>
        </w:tc>
        <w:tc>
          <w:tcPr>
            <w:tcW w:type="dxa" w:w="1768"/>
          </w:tcPr>
          <w:p>
            <w:r>
              <w:rPr>
                <w:sz w:val="20"/>
              </w:rPr>
              <w:t>Constructora Rencoret Limitada - Casa Matriz</w:t>
            </w:r>
          </w:p>
        </w:tc>
        <w:tc>
          <w:tcPr>
            <w:tcW w:type="dxa" w:w="1768"/>
          </w:tcPr>
          <w:p>
            <w:r>
              <w:rPr>
                <w:sz w:val="20"/>
              </w:rPr>
              <w:t>11.875.254</w:t>
            </w:r>
          </w:p>
        </w:tc>
      </w:tr>
      <w:tr>
        <w:tc>
          <w:tcPr>
            <w:tcW w:type="dxa" w:w="1768"/>
          </w:tcPr>
          <w:p>
            <w:r>
              <w:rPr>
                <w:sz w:val="20"/>
              </w:rPr>
              <w:t>MINISTERIO DE OBRAS PUBLICAS DIREC CION GRAL DE OO PP DCYF</w:t>
            </w:r>
          </w:p>
        </w:tc>
        <w:tc>
          <w:tcPr>
            <w:tcW w:type="dxa" w:w="1768"/>
          </w:tcPr>
          <w:p>
            <w:r>
              <w:rPr>
                <w:sz w:val="20"/>
              </w:rPr>
              <w:t>1502-34-SE23</w:t>
            </w:r>
          </w:p>
        </w:tc>
        <w:tc>
          <w:tcPr>
            <w:tcW w:type="dxa" w:w="1768"/>
          </w:tcPr>
          <w:p>
            <w:r>
              <w:rPr>
                <w:sz w:val="20"/>
              </w:rPr>
              <w:t>MEJORAMIENTO SSR LOCALIDAD ALTO DEL CARMEN</w:t>
            </w:r>
          </w:p>
        </w:tc>
        <w:tc>
          <w:tcPr>
            <w:tcW w:type="dxa" w:w="1768"/>
          </w:tcPr>
          <w:p>
            <w:r>
              <w:rPr>
                <w:sz w:val="20"/>
              </w:rPr>
              <w:t>SOCIEDAD INGENIERIA CONSTRUCCION Y MAQUINARIA SPA</w:t>
            </w:r>
          </w:p>
        </w:tc>
        <w:tc>
          <w:tcPr>
            <w:tcW w:type="dxa" w:w="1768"/>
          </w:tcPr>
          <w:p>
            <w:r>
              <w:rPr>
                <w:sz w:val="20"/>
              </w:rPr>
              <w:t>3.388.856</w:t>
            </w:r>
          </w:p>
        </w:tc>
      </w:tr>
    </w:tbl>
    <w:p>
      <w:pPr>
        <w:pStyle w:val="NuevoEstilo"/>
      </w:pPr>
      <w:r>
        <w:t xml:space="preserve"> </w:t>
      </w:r>
    </w:p>
    <w:p>
      <w:pPr>
        <w:pStyle w:val="NuevoEstilo"/>
      </w:pPr>
      <w:r>
        <w:t xml:space="preserve"> </w:t>
      </w:r>
    </w:p>
    <w:p>
      <w:pPr>
        <w:pStyle w:val="NuevoEstilo"/>
        <w:jc w:val="both"/>
      </w:pPr>
      <w:r>
        <w:rPr>
          <w:b/>
          <w:sz w:val="20"/>
        </w:rPr>
        <w:t>El sector de Salud lidera las compras con $50.597 millones transados</w:t>
      </w:r>
    </w:p>
    <w:p>
      <w:pPr>
        <w:pStyle w:val="NuevoEstilo"/>
      </w:pPr>
      <w:r>
        <w:t xml:space="preserve"> </w:t>
      </w:r>
    </w:p>
    <w:p>
      <w:pPr>
        <w:pStyle w:val="NuevoEstilo"/>
        <w:jc w:val="both"/>
      </w:pPr>
      <w:r>
        <w:rPr>
          <w:sz w:val="20"/>
        </w:rPr>
        <w:t xml:space="preserve">Respecto de las transacciones en Mercado Público por sector comprador en Atacama, Salud lideran las compras con 50.597 millones de pesos transados, lo que equivale a un 41% de las transacciones por sector en la región. Le sigue el sector Municipalidades con 25.200 millones transados, esto un 21%, luego viene Gob. Central, Universidades con 20.746 millones de pesos transados (17%) y luego Obras Públicas con 13.637 millones de pesos transados (11%).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Atacama.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Atacama se generaron oportunidades por la modalidad Compra Ágil -que permite mayor participación de las Mipymes en compras de menores montos (igual o menor a 30 UTM)- por $7.459 millones, las que se tradujeron en 11.767 órdenes de compra emitidas por los organismos públicos de la región. Se observó un crecimiento de 51% (variación nominal) entre el 2022 y el 2023 en los montos transados en la Compra Ágil en la región, con una diferencia de 2.617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