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Lib. Gral. Bdo. O'Higgins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232.564 millones de pesos a través de www.mercadopublico.cl en la Región de Lib. Gral. Bdo. O'Higgins con 59.561 órdenes de compra emitidas por los diferentes organismos públicos.</w:t>
      </w:r>
    </w:p>
    <w:p>
      <w:pPr>
        <w:pStyle w:val="NuevoEstilo"/>
      </w:pPr>
      <w:r>
        <w:t xml:space="preserve"> </w:t>
      </w:r>
    </w:p>
    <w:p>
      <w:pPr>
        <w:pStyle w:val="NuevoEstilo"/>
        <w:jc w:val="both"/>
      </w:pPr>
      <w:r>
        <w:rPr>
          <w:sz w:val="20"/>
        </w:rPr>
        <w:t>Este 14 de noviembre, ChileCompra visitó la región de Lib. Gral. Bdo. O'Higgins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$232.564 millones se transaron en Mercado Público entre enero y agosto 2023 en la región de Lib. Gral. Bdo. O'Higgins.</w:t>
      </w:r>
    </w:p>
    <w:p>
      <w:pPr>
        <w:pStyle w:val="NuevoEstilo"/>
      </w:pPr>
      <w:r>
        <w:t xml:space="preserve"> </w:t>
      </w:r>
    </w:p>
    <w:p>
      <w:pPr>
        <w:pStyle w:val="NuevoEstilo"/>
        <w:jc w:val="both"/>
      </w:pPr>
      <w:r>
        <w:rPr>
          <w:sz w:val="20"/>
        </w:rPr>
        <w:t>Durante 2023 se transaron 232.564 millones de pesos (US$ 286 millones) a través de www.mercadopublico.cl en la Región de Lib. Gral. Bdo. O'Higgins con 59.561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SERVICIO DE SALUD DEL LIBERTADOR B O'HIGGINS HOSPITAL REG RANCAGUA (20.487.416.141 pesos); ILUSTRE MUNICIPALIDAD DE MACHALI (11.733.460.171 pesos); UNIVERSIDAD DE O'HIGGINS (9.151.920.529 pesos). Por su parte, los rubros más solicitados fueron: Servicios de construcción y mantenimiento (US$ 39.105.248); Servicios profesionales, administrativos y consultorías de gestión empresarial (US$ 24.236.145); Equipamiento y suministros médicos (US$ 21.596.820).</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Ilustre Municipalidad de Machali</w:t>
            </w:r>
          </w:p>
        </w:tc>
        <w:tc>
          <w:tcPr>
            <w:tcW w:type="dxa" w:w="1768"/>
          </w:tcPr>
          <w:p>
            <w:r>
              <w:rPr>
                <w:sz w:val="20"/>
              </w:rPr>
              <w:t>3181-411-SE23</w:t>
            </w:r>
          </w:p>
        </w:tc>
        <w:tc>
          <w:tcPr>
            <w:tcW w:type="dxa" w:w="1768"/>
          </w:tcPr>
          <w:p>
            <w:r>
              <w:rPr>
                <w:sz w:val="20"/>
              </w:rPr>
              <w:t>SEGUNDO LLAMADO AMPLIACION RED DE ALCANTARILLADO</w:t>
            </w:r>
          </w:p>
        </w:tc>
        <w:tc>
          <w:tcPr>
            <w:tcW w:type="dxa" w:w="1768"/>
          </w:tcPr>
          <w:p>
            <w:r>
              <w:rPr>
                <w:sz w:val="20"/>
              </w:rPr>
              <w:t>CONSTRUCTORA RIO MAULE SPA</w:t>
            </w:r>
          </w:p>
        </w:tc>
        <w:tc>
          <w:tcPr>
            <w:tcW w:type="dxa" w:w="1768"/>
          </w:tcPr>
          <w:p>
            <w:r>
              <w:rPr>
                <w:sz w:val="20"/>
              </w:rPr>
              <w:t>8.878.621</w:t>
            </w:r>
          </w:p>
        </w:tc>
      </w:tr>
      <w:tr>
        <w:tc>
          <w:tcPr>
            <w:tcW w:type="dxa" w:w="1768"/>
          </w:tcPr>
          <w:p>
            <w:r>
              <w:rPr>
                <w:sz w:val="20"/>
              </w:rPr>
              <w:t>I MUNICIPALIDAD DE SAN FERNANDO</w:t>
            </w:r>
          </w:p>
        </w:tc>
        <w:tc>
          <w:tcPr>
            <w:tcW w:type="dxa" w:w="1768"/>
          </w:tcPr>
          <w:p>
            <w:r>
              <w:rPr>
                <w:sz w:val="20"/>
              </w:rPr>
              <w:t>2817-35-SE23</w:t>
            </w:r>
          </w:p>
        </w:tc>
        <w:tc>
          <w:tcPr>
            <w:tcW w:type="dxa" w:w="1768"/>
          </w:tcPr>
          <w:p>
            <w:r>
              <w:rPr>
                <w:sz w:val="20"/>
              </w:rPr>
              <w:t>RECOLECCIÓN RESIDUOS DOMICILIARIOS SAN FERNANDO</w:t>
            </w:r>
          </w:p>
        </w:tc>
        <w:tc>
          <w:tcPr>
            <w:tcW w:type="dxa" w:w="1768"/>
          </w:tcPr>
          <w:p>
            <w:r>
              <w:rPr>
                <w:sz w:val="20"/>
              </w:rPr>
              <w:t>STARCO</w:t>
            </w:r>
          </w:p>
        </w:tc>
        <w:tc>
          <w:tcPr>
            <w:tcW w:type="dxa" w:w="1768"/>
          </w:tcPr>
          <w:p>
            <w:r>
              <w:rPr>
                <w:sz w:val="20"/>
              </w:rPr>
              <w:t>5.735.168</w:t>
            </w:r>
          </w:p>
        </w:tc>
      </w:tr>
      <w:tr>
        <w:tc>
          <w:tcPr>
            <w:tcW w:type="dxa" w:w="1768"/>
          </w:tcPr>
          <w:p>
            <w:r>
              <w:rPr>
                <w:sz w:val="20"/>
              </w:rPr>
              <w:t>Ilustre Municipalidad de Chimbarongo</w:t>
            </w:r>
          </w:p>
        </w:tc>
        <w:tc>
          <w:tcPr>
            <w:tcW w:type="dxa" w:w="1768"/>
          </w:tcPr>
          <w:p>
            <w:r>
              <w:rPr>
                <w:sz w:val="20"/>
              </w:rPr>
              <w:t>3729-14-SE23</w:t>
            </w:r>
          </w:p>
        </w:tc>
        <w:tc>
          <w:tcPr>
            <w:tcW w:type="dxa" w:w="1768"/>
          </w:tcPr>
          <w:p>
            <w:r>
              <w:rPr>
                <w:sz w:val="20"/>
              </w:rPr>
              <w:t>RECOLECCIÓN DE RESIDUOS SOLIDOS DOMICILIARIOS</w:t>
            </w:r>
          </w:p>
        </w:tc>
        <w:tc>
          <w:tcPr>
            <w:tcW w:type="dxa" w:w="1768"/>
          </w:tcPr>
          <w:p>
            <w:r>
              <w:rPr>
                <w:sz w:val="20"/>
              </w:rPr>
              <w:t>VEOLIA CHILE</w:t>
            </w:r>
          </w:p>
        </w:tc>
        <w:tc>
          <w:tcPr>
            <w:tcW w:type="dxa" w:w="1768"/>
          </w:tcPr>
          <w:p>
            <w:r>
              <w:rPr>
                <w:sz w:val="20"/>
              </w:rPr>
              <w:t>4.156.963</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$130.649 millones transados</w:t>
      </w:r>
    </w:p>
    <w:p>
      <w:pPr>
        <w:pStyle w:val="NuevoEstilo"/>
      </w:pPr>
      <w:r>
        <w:t xml:space="preserve"> </w:t>
      </w:r>
    </w:p>
    <w:p>
      <w:pPr>
        <w:pStyle w:val="NuevoEstilo"/>
        <w:jc w:val="both"/>
      </w:pPr>
      <w:r>
        <w:rPr>
          <w:sz w:val="20"/>
        </w:rPr>
        <w:t xml:space="preserve">Respecto de las transacciones en Mercado Público por sector comprador en Lib. Gral. Bdo. O'Higgins, Municipalidades lideran las compras con 130.649 millones de pesos transados, lo que equivale a un 56% de las transacciones por sector en la región. Le sigue el sector Salud con 52.857 millones transados, esto un 23%, luego viene Gob. Central, Universidades con 28.733 millones de pesos transados (12%) y luego Obras Públicas con 11.558 millones de pesos transados (5%).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Lib. Gral. Bdo. O'Higgins.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Lib. Gral. Bdo. O'Higgins se generaron oportunidades por la modalidad Compra Ágil -que permite mayor participación de las Mipymes en compras de menores montos (igual o menor a 30 UTM)- por $16.017 millones, las que se tradujeron en 21.529 órdenes de compra emitidas por los organismos públicos de la región. Se observó un crecimiento de 21% (variación nominal) entre el 2022 y el 2023 en los montos transados en la Compra Ágil en la región, con una diferencia de 1.749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