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Metropolitana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4.782.666 millones de pesos a través de www.mercadopublico.cl en la Región de Metropolitana con 360.334 órdenes de compra emitidas por los diferentes organismos públicos.</w:t>
      </w:r>
    </w:p>
    <w:p>
      <w:pPr>
        <w:pStyle w:val="NuevoEstilo"/>
      </w:pPr>
      <w:r>
        <w:t xml:space="preserve"> </w:t>
      </w:r>
    </w:p>
    <w:p>
      <w:pPr>
        <w:pStyle w:val="NuevoEstilo"/>
        <w:jc w:val="both"/>
      </w:pPr>
      <w:r>
        <w:rPr>
          <w:sz w:val="20"/>
        </w:rPr>
        <w:t>Este 16, 17 y 20 de noviembre, ChileCompra visitó la región de Metropolitana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$4.782.666 millones se transaron en Mercado Público entre enero y agosto 2023 en la región de Metropolitana.</w:t>
      </w:r>
    </w:p>
    <w:p>
      <w:pPr>
        <w:pStyle w:val="NuevoEstilo"/>
      </w:pPr>
      <w:r>
        <w:t xml:space="preserve"> </w:t>
      </w:r>
    </w:p>
    <w:p>
      <w:pPr>
        <w:pStyle w:val="NuevoEstilo"/>
        <w:jc w:val="both"/>
      </w:pPr>
      <w:r>
        <w:rPr>
          <w:sz w:val="20"/>
        </w:rPr>
        <w:t>Durante 2023 se transaron 4.782.666 millones de pesos (US$ 5.892 millones) a través de www.mercadopublico.cl en la Región de Metropolitana con 360.334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CENTRAL DE ABASTECIMIENTO S.N.S.S. -  CENABAST (1.121.012.365.956 pesos); JUNTA NACIONAL DE AUXILIO ESCOLAR Y BECA (462.411.730.730 pesos); MOP - DIRECCIÓN DE VIALIDAD (247.200.979.648 pesos). Por su parte, los rubros más solicitados fueron: Medicamentos y productos farmacéuticos (US$ 996.930.446); Obras (US$ 389.582.535); Salud, servicios sanitarios y alimentación (US$ 335.886.173).</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JUNTA NACIONAL DE AUXILIO ESCOLAR Y BECA</w:t>
            </w:r>
          </w:p>
        </w:tc>
        <w:tc>
          <w:tcPr>
            <w:tcW w:type="dxa" w:w="1768"/>
          </w:tcPr>
          <w:p>
            <w:r>
              <w:rPr>
                <w:sz w:val="20"/>
              </w:rPr>
              <w:t>85-62-SE23</w:t>
            </w:r>
          </w:p>
        </w:tc>
        <w:tc>
          <w:tcPr>
            <w:tcW w:type="dxa" w:w="1768"/>
          </w:tcPr>
          <w:p>
            <w:r>
              <w:rPr>
                <w:sz w:val="20"/>
              </w:rPr>
              <w:t>TD BAES NORMAL 2023 SODEXO</w:t>
            </w:r>
          </w:p>
        </w:tc>
        <w:tc>
          <w:tcPr>
            <w:tcW w:type="dxa" w:w="1768"/>
          </w:tcPr>
          <w:p>
            <w:r>
              <w:rPr>
                <w:sz w:val="20"/>
              </w:rPr>
              <w:t>Sodexo Soluciones de Motivación Chile S.A</w:t>
            </w:r>
          </w:p>
        </w:tc>
        <w:tc>
          <w:tcPr>
            <w:tcW w:type="dxa" w:w="1768"/>
          </w:tcPr>
          <w:p>
            <w:r>
              <w:rPr>
                <w:sz w:val="20"/>
              </w:rPr>
              <w:t>213.833.873</w:t>
            </w:r>
          </w:p>
        </w:tc>
      </w:tr>
      <w:tr>
        <w:tc>
          <w:tcPr>
            <w:tcW w:type="dxa" w:w="1768"/>
          </w:tcPr>
          <w:p>
            <w:r>
              <w:rPr>
                <w:sz w:val="20"/>
              </w:rPr>
              <w:t>DIRECCION DE LOGISTICA DE CARABINEROS</w:t>
            </w:r>
          </w:p>
        </w:tc>
        <w:tc>
          <w:tcPr>
            <w:tcW w:type="dxa" w:w="1768"/>
          </w:tcPr>
          <w:p>
            <w:r>
              <w:rPr>
                <w:sz w:val="20"/>
              </w:rPr>
              <w:t>5240-18-SE23</w:t>
            </w:r>
          </w:p>
        </w:tc>
        <w:tc>
          <w:tcPr>
            <w:tcW w:type="dxa" w:w="1768"/>
          </w:tcPr>
          <w:p>
            <w:r>
              <w:rPr>
                <w:sz w:val="20"/>
              </w:rPr>
              <w:t>SUMINISTRO DE COMBUSTIBLE (GASOLINA 97 OCTANOS Y PETRÓLEO DIÉSEL) PARA EL PARQUE VEHICULAR DE CARABINEROS DE CHILE POR UN PERIODO DE 36 MESES</w:t>
            </w:r>
          </w:p>
        </w:tc>
        <w:tc>
          <w:tcPr>
            <w:tcW w:type="dxa" w:w="1768"/>
          </w:tcPr>
          <w:p>
            <w:r>
              <w:rPr>
                <w:sz w:val="20"/>
              </w:rPr>
              <w:t>COPEC S.A.</w:t>
            </w:r>
          </w:p>
        </w:tc>
        <w:tc>
          <w:tcPr>
            <w:tcW w:type="dxa" w:w="1768"/>
          </w:tcPr>
          <w:p>
            <w:r>
              <w:rPr>
                <w:sz w:val="20"/>
              </w:rPr>
              <w:t>103.134.145</w:t>
            </w:r>
          </w:p>
        </w:tc>
      </w:tr>
      <w:tr>
        <w:tc>
          <w:tcPr>
            <w:tcW w:type="dxa" w:w="1768"/>
          </w:tcPr>
          <w:p>
            <w:r>
              <w:rPr>
                <w:sz w:val="20"/>
              </w:rPr>
              <w:t>JUNTA NACIONAL DE AUXILIO ESCOLAR Y BECA</w:t>
            </w:r>
          </w:p>
        </w:tc>
        <w:tc>
          <w:tcPr>
            <w:tcW w:type="dxa" w:w="1768"/>
          </w:tcPr>
          <w:p>
            <w:r>
              <w:rPr>
                <w:sz w:val="20"/>
              </w:rPr>
              <w:t>85-56-SE23</w:t>
            </w:r>
          </w:p>
        </w:tc>
        <w:tc>
          <w:tcPr>
            <w:tcW w:type="dxa" w:w="1768"/>
          </w:tcPr>
          <w:p>
            <w:r>
              <w:rPr>
                <w:sz w:val="20"/>
              </w:rPr>
              <w:t>TD BAES NORMAL 2023 EDENRED</w:t>
            </w:r>
          </w:p>
        </w:tc>
        <w:tc>
          <w:tcPr>
            <w:tcW w:type="dxa" w:w="1768"/>
          </w:tcPr>
          <w:p>
            <w:r>
              <w:rPr>
                <w:sz w:val="20"/>
              </w:rPr>
              <w:t>EDENRED CHILE S.A.</w:t>
            </w:r>
          </w:p>
        </w:tc>
        <w:tc>
          <w:tcPr>
            <w:tcW w:type="dxa" w:w="1768"/>
          </w:tcPr>
          <w:p>
            <w:r>
              <w:rPr>
                <w:sz w:val="20"/>
              </w:rPr>
              <w:t>104.350.835</w:t>
            </w:r>
          </w:p>
        </w:tc>
      </w:tr>
    </w:tbl>
    <w:p>
      <w:pPr>
        <w:pStyle w:val="NuevoEstilo"/>
      </w:pPr>
      <w:r>
        <w:t xml:space="preserve"> </w:t>
      </w:r>
    </w:p>
    <w:p>
      <w:pPr>
        <w:pStyle w:val="NuevoEstilo"/>
      </w:pPr>
      <w:r>
        <w:t xml:space="preserve"> </w:t>
      </w:r>
    </w:p>
    <w:p>
      <w:pPr>
        <w:pStyle w:val="NuevoEstilo"/>
        <w:jc w:val="both"/>
      </w:pPr>
      <w:r>
        <w:rPr>
          <w:b/>
          <w:sz w:val="20"/>
        </w:rPr>
        <w:t>El sector de Salud lidera las compras con $1.868.750 millones transados</w:t>
      </w:r>
    </w:p>
    <w:p>
      <w:pPr>
        <w:pStyle w:val="NuevoEstilo"/>
      </w:pPr>
      <w:r>
        <w:t xml:space="preserve"> </w:t>
      </w:r>
    </w:p>
    <w:p>
      <w:pPr>
        <w:pStyle w:val="NuevoEstilo"/>
        <w:jc w:val="both"/>
      </w:pPr>
      <w:r>
        <w:rPr>
          <w:sz w:val="20"/>
        </w:rPr>
        <w:t xml:space="preserve">Respecto de las transacciones en Mercado Público por sector comprador en Metropolitana, Salud lideran las compras con 1.868.750 millones de pesos transados, lo que equivale a un 39% de las transacciones por sector en la región. Le sigue el sector Gob. Central, Universidades con 1.396.432 millones transados, esto un 29%, luego viene Municipalidades con 645.064 millones de pesos transados (13%) y luego Obras Públicas con 457.064 millones de pesos transados (10%).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Metropolitana.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Metropolitana se generaron oportunidades por la modalidad Compra Ágil -que permite mayor participación de las Mipymes en compras de menores montos (igual o menor a 30 UTM)- por $98.967 millones, las que se tradujeron en 125.121 órdenes de compra emitidas por los organismos públicos de la región. Se observó un crecimiento de 61% (variación nominal) entre el 2022 y el 2023 en los montos transados en la Compra Ágil en la región, con una diferencia de 32.473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