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$481.163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$568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41.990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$481.163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41.990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Antofagasta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7,6%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39.040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41.990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$481.163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DE PAVIMENTOS ASFALTICOS BITUMIX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(http://www.mercadopublico.cl/PurchaseOrder/Modules/PO/DetailsPurchaseOrder.aspx?codigoOC=650-42-SE23)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Fondo Nacional de Salud - FONASA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REGULARIZA OC CONTRATO LISTAS DE ESPERA GES Y NO GES-MO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591-223-SE23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SERVICIOS MÉDICOS INTEGRADOS S. A 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$8.497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(http://www.mercadopublico.cl/PurchaseOrder/Modules/PO/DetailsPurchaseOrder.aspx?codigoOC=591-223-SE23).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Fondo Nacional de Salud - FONASA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TD-CONTRATO CARDIOPATÍAS CONGÉNITAS-MO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591-215-SE23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UC CHRISTUS SERVICIOS CLINICOS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$7.000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(http://www.mercadopublico.cl/PurchaseOrder/Modules/PO/DetailsPurchaseOrder.aspx?codigoOC=591-215-SE23).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81415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ntofagast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14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Fondo Nacional de Salud - FONASA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$185.814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$39.363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$34.608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$30.982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$19.095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$260.122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54,1%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500664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ntofaga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06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$297.668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61,9%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$148.365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30,8%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$17.803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$11.335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$5.992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DE PAVIMENTOS ASFALTICOS BITUMIX S.A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$15.621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UC CHRISTUS SERVICIOS CLINICOS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$11.430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Fondo Nacional de Salud - FONASA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591-223-SE23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REGULARIZA OC CONTRATO LISTAS DE ESPERA GES Y NO GES-MO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SERVICIOS MÉDICOS INTEGRADOS S. A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$8.497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Fondo Nacional de Salud - FONASA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591-215-SE23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TD-CONTRATO CARDIOPATÍAS CONGÉNITAS-MO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UC CHRISTUS SERVICIOS CLINICOS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$7.000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$260.122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$260.122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54,1%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$104.305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$66.460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$37.359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ntofagas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$11.335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Antofagasta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-2,9%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$10.782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15.733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3,5%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535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15.198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