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$300.199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$360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37.739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$300.199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37.739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52,8%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$122.494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40,8%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Bitumix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LP 31-2022 Conservación VU Taltal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650-251-SE22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cronor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$5.939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CCB B-12 KM 72,5 al 82 y KM 94 al 118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1369-13-SE23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Remavesa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$4.847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$48.958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$32.374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$31.058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$26.678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$19.084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$220.928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$47.580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15,8%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$15.724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$10.201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$5.765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$25.700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Bitumix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650-251-SE22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31-2022 Conservación VU Taltal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cronor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$5.939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1369-13-SE23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CCB B-12 KM 72,5 al 82 y KM 94 al 118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Remavesa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$4.847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$100.748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$93.605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$28.421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ofagas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$10.201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Antofagasta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14.254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638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$9.538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13.616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