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Atacama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$169.617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38.654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$169.617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Atacama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38.654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Atacama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-31,6%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$91.385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53,9%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$78.232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46,1%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EJECUCIÓN "REPOS. HOSPITAL COMUNITARIO DIEGO ALMAGRO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1180885-4-SE23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$12.725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(http://www.mercadopublico.cl/PurchaseOrder/Modules/PO/DetailsPurchaseOrder.aspx?codigoOC=1180885-4-SE23)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"CONSTRUCCION CESFAM ALTIPLANO NORTE, VALLENAR"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1552-420-SE23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RENCORET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$9.484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(http://www.mercadopublico.cl/PurchaseOrder/Modules/PO/DetailsPurchaseOrder.aspx?codigoOC=1552-420-SE23).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 MUNICIPALIDAD DE VALLENAR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CONSTRUCCION NUEVO CEMENTERIO MUNICIPAL VALLENAR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2322-169-SE23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SOC.CONSTRUCTORA DEL NORTE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$8.470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(http://www.mercadopublico.cl/PurchaseOrder/Modules/PO/DetailsPurchaseOrder.aspx?codigoOC=2322-169-SE23).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Atacama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$27.576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ATACAMA HOSPITAL COPIA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$19.170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LOCAL DE EDUCACION PÚBLICA DE ATACAMA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$12.206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VALLENAR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$12.949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COPIAPO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$11.070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$98.728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$50.633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29,9%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$10.711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$9.007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$12.725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RENCORET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$9.484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SOC.CONSTRUCTORA DEL NORTE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$9.837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1180885-4-SE23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EJECUCIÓN "REPOS. HOSPITAL COMUNITARIO DIEGO ALMAGRO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$12.725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1552-420-SE23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"CONSTRUCCION CESFAM ALTIPLANO NORTE, VALLENAR"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$9.484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 MUNICIPALIDAD DE VALLENAR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2322-169-SE23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CONSTRUCCION NUEVO CEMENTERIO MUNICIPAL VALLENAR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SOC.CONSTRUCTORA DEL NORTE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$8.470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$59.713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Atacama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$59.713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$44.554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$28.563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$20.504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acam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$10.711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Atacama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17.079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2.653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$8.560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14.426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