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$328.490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$393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85.482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$328.490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85.482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O'Higgins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$214.031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65,2%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$114.459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34,8%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(http://www.mercadopublico.cl/PurchaseOrder/Modules/PO/DetailsPurchaseOrder.aspx?codigoOC=3181-411-SE23)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Y CONSTRUCCION LOS CANTAROS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(http://www.mercadopublico.cl/PurchaseOrder/Modules/PO/DetailsPurchaseOrder.aspx?codigoOC=1181235-15-SE23).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STARCO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(http://www.mercadopublico.cl/PurchaseOrder/Modules/PO/DetailsPurchaseOrder.aspx?codigoOC=2817-35-SE23).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O'Higgins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$29.843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$17.232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$13.139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$11.044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CORP MUNICIPAL DE SERVICIOS PUBLICOS TRASPASADOS DE RANCAGUA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$10.757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O'Higgi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$208.030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$71.817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$23.276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$22.153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$6.478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 LOS CANTAROS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$174.889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$80.942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$38.505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O'Higgi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$23.276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O'Higgins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31.388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1.760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$20.949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29.628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