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Valparaíso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$1.123.027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$1.341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210.286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$1.123.027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Valparaíso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210.286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Valparaíso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9,5%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191.987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210.286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$1.123.027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DE PREVISION SOCIAL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SERVICIO DE ATENCIÓN Y PAGO DE LAS PRESTACIONES ECONÓMICAS DE SEGURIDAD SOCIAL Y OTROS BENEFICIOS QUE DETERMINE LA LEY,  BAJO LA MODALIDAD DE ATENCIÓN DENOMINADA PAGO NO PRESENCIAL  NACIONAL.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548874-238-SE23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BANCO DEL ESTADO DE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$15.196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(http://www.mercadopublico.cl/PurchaseOrder/Modules/PO/DetailsPurchaseOrder.aspx?codigoOC=548874-238-SE23)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GLOBAL PETORCA,ETAPA I,VALPO.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2010-12-SE23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TRICAM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$10.839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(http://www.mercadopublico.cl/PurchaseOrder/Modules/PO/DetailsPurchaseOrder.aspx?codigoOC=2010-12-SE23).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CARTAGENA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RECOLECCIÓN TRANSPORTE DE RESIDUOS SOLIDOS DOMICILIARIOS Y ASIMILABLES BARRIDO Y LIMPIEZA DE BIENES NACIONALES DE USO PÚBLICO DE LA COMUNA DE CARTAGENA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2697-14-SE23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ECOMETRO URBANISMO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$10.498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(http://www.mercadopublico.cl/PurchaseOrder/Modules/PO/DetailsPurchaseOrder.aspx?codigoOC=2697-14-SE23).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0889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Valparaíso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0889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DIRECCION GENERAL DE LOS SERVICIOS DE LA ARMADA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$100.913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INSTITUTO DE PREVISION SOCIAL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$83.652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$73.472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Valparaíso San Antonio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$60.482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Dr. Gustavo Fricke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$57.529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$341.186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30,4%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51057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Valparaís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5105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$724.299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64,5%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$249.645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22,2%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$78.282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$62.880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$7.920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BANCO DEL ESTADO DE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$35.093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TRICAM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$15.507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$14.117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DE PREVISION SOCIAL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548874-238-SE23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BANCO DEL ESTADO DE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2010-12-SE23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GLOBAL PETORCA,ETAPA I,VALPO.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TRICAM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$10.839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CARTAGENA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2697-14-SE23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ECOMETRO URBANISMO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$10.498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$341.186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Valparaíso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$341.186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30,4%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$302.893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27,0%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$232.351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FFAA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$110.647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Valparaís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$62.880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Valparaíso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13,8%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$50.137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91.706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17,9%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13.925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77.781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