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Ñuble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$270.768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$321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79.422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$270.768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Ñuble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79.422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20,5%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$148.367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54,8%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AVENIDA HUAMBALI, CHILLAN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1085111-22-SE23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TAPUSA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$7.818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MEJ. CALLE DIEGO PORTALES AV. FRANCISCO RAMIREZ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1085111-34-SE23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ingeconsur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$6.605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Nuble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Federico Puga Borne Chillan Viejo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1180937-4-SE23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constructora casaa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$6.844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CLINICO HERMINDA MARTIN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$37.397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Nuble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$25.269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VIVIENDA Y URBANIZACION REGION ÑUBLE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$22.202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CHILLAN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$20.067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NUBLE HOSPITAL DE SAN CARLOS DR BENICIO ARZOLA MEDIN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$12.702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$199.912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$39.151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14,5%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$16.703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$14.233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$769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TAPUSA SOCIEDAD ANONIMA AGENCIA EN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$7.818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CASAA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$6.844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INGENIERIA Y CONSTRUCCIONES SUR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$6.605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AVENIDA HUAMBALI, CHILLAN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TAPUSA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$7.818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1085111-34-SE23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MEJ. CALLE DIEGO PORTALES AV. FRANCISCO RAMIREZ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ingeconsur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$6.605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Nuble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1180937-4-SE23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Federico Puga Borne Chillan Viejo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casaa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$6.844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$114.068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Ñuble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$114.068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$89.351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$37.193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$27.564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Ñuble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$16.703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del Ñuble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26.666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2.277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$14.330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24.389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