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Antofagasta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$226.482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Antofagasta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26.087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8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 Antofagasta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5500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$226.482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 Antofagasta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$226.482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 Antofagasta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26.087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$147.191 23.403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 Antofagasta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 Antofagasta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Obras Públicas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$84.044.175.663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Antofagasta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Obras Públicas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$84.044.175.663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37,1%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Municipalidades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$67.972.077.979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30,0%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Salud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$48.238.576.379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21,3%%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Gob. Central, Universidades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$19.984.685.810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8,8%%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tofagasta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