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Atacama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$122.405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Atacama</w:t>
      </w:r>
      <w:r>
        <w:rPr>
          <w:b/>
          <w:sz w:val="20"/>
        </w:rPr>
        <w:t xml:space="preserve"> con </w:t>
      </w:r>
      <w:r w:rsidRPr="005A5B3D">
        <w:rPr>
          <w:b/>
          <w:sz w:val="20"/>
          <w:highlight w:val="yellow"/>
        </w:rPr>
        <w:t xml:space="preserve">27.249</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Atacama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78954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$122.405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Atacama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$122.405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Atacama</w:t>
      </w:r>
      <w:r>
        <w:rPr>
          <w:sz w:val="20"/>
        </w:rPr>
        <w:t xml:space="preserve"> con </w:t>
      </w:r>
      <w:r w:rsidR="001E6FA1" w:rsidRPr="00B14C15">
        <w:rPr>
          <w:sz w:val="20"/>
          <w:highlight w:val="yellow"/>
        </w:rPr>
        <w:t xml:space="preserve">27.249</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$208.329 23.894</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Atacama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US$32.814.604</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US$8.941.646</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US$8.215.767</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Atacama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$50.542.618.303</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Atacama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$50.542.618.303</w:t>
      </w:r>
      <w:r w:rsidR="00760285">
        <w:rPr>
          <w:sz w:val="20"/>
        </w:rPr>
        <w:t xml:space="preserve"> </w:t>
      </w:r>
      <w:r>
        <w:rPr>
          <w:sz w:val="20"/>
        </w:rPr>
        <w:t xml:space="preserve">82.571 millones de pesos transados, lo que equivale a un </w:t>
      </w:r>
      <w:r w:rsidR="00760285" w:rsidRPr="00C5030E">
        <w:rPr>
          <w:sz w:val="20"/>
          <w:highlight w:val="yellow"/>
        </w:rPr>
        <w:t xml:space="preserve">41,3%</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$25.192.866.094</w:t>
      </w:r>
      <w:r w:rsidR="00EF430D">
        <w:rPr>
          <w:sz w:val="20"/>
        </w:rPr>
        <w:t xml:space="preserve"> </w:t>
      </w:r>
      <w:r>
        <w:rPr>
          <w:sz w:val="20"/>
        </w:rPr>
        <w:t xml:space="preserve">70.400 millones transados, esto un </w:t>
      </w:r>
      <w:r w:rsidR="00EF430D" w:rsidRPr="00C5030E">
        <w:rPr>
          <w:sz w:val="20"/>
          <w:highlight w:val="yellow"/>
        </w:rPr>
        <w:t xml:space="preserve">20,6%</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$20.743.828.385</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16,9%%</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$13.636.998.285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11,1%%</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tacam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Atacama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$7.456.476.675</w:t>
      </w:r>
      <w:r w:rsidR="00EC3AC9">
        <w:rPr>
          <w:sz w:val="20"/>
        </w:rPr>
        <w:t xml:space="preserve"> </w:t>
      </w:r>
      <w:r>
        <w:rPr>
          <w:sz w:val="20"/>
        </w:rPr>
        <w:t xml:space="preserve">$11.587 millones, las que se tradujeron en </w:t>
      </w:r>
      <w:r w:rsidR="00EC3AC9" w:rsidRPr="00D06EA1">
        <w:rPr>
          <w:sz w:val="20"/>
          <w:highlight w:val="yellow"/>
        </w:rPr>
        <w:t xml:space="preserve">11.763</w:t>
      </w:r>
      <w:r>
        <w:rPr>
          <w:sz w:val="20"/>
        </w:rPr>
        <w:t xml:space="preserve">15.961 órdenes de compra emitidas por los organismos públicos de la región. Se observó un crecimiento de </w:t>
      </w:r>
      <w:r w:rsidR="00FD587C" w:rsidRPr="00D06EA1">
        <w:rPr>
          <w:sz w:val="20"/>
          <w:highlight w:val="yellow"/>
        </w:rPr>
        <w:t xml:space="preserve">42,8%</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2.613</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