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 xml:space="preserve">Aysén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 xml:space="preserve">2023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 xml:space="preserve">$137.632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 xml:space="preserve">Aysén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 xml:space="preserve">28.200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 xml:space="preserve">22 de noviembre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 xml:space="preserve">Región de Aysén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 xml:space="preserve">12344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 xml:space="preserve">$137.632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 xml:space="preserve">2023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 xml:space="preserve">Región de Aysén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 xml:space="preserve">2023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 xml:space="preserve">$137.632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 xml:space="preserve">Región de Aysén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 xml:space="preserve">28.200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 xml:space="preserve">$76.195 25.655</w:t>
      </w:r>
      <w:r w:rsidR="00C5030E" w:rsidRPr="00C5030E">
        <w:rPr>
          <w:sz w:val="20"/>
          <w:highlight w:val="yellow"/>
        </w:rPr>
        <w:t xml:space="preserve"> 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 xml:space="preserve">Región de Aysén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>Región de Aysén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 xml:space="preserve">Obras Públicas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 xml:space="preserve">$56.697.327.572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 xml:space="preserve">Aysén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 xml:space="preserve">Obras Públicas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 xml:space="preserve">$56.697.327.572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 xml:space="preserve">41,2%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 xml:space="preserve">Municipalidades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 xml:space="preserve">$34.173.324.986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 xml:space="preserve">24,8%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 xml:space="preserve">Salud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 xml:space="preserve">$27.268.304.021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 xml:space="preserve">19,8%%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 xml:space="preserve">Gob. Central, Universidades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 xml:space="preserve">$14.164.275.438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 xml:space="preserve">10,3%%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ysén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