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Coquimbo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$228.820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Coquimbo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51.876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6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Coquimbo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90000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$228.820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Coquimbo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$228.820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Coquimbo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51.876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$228.411 47.119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Coquimbo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Coquimbo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$73.438.096.296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Coquimbo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$73.438.096.296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32,1%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$72.936.153.213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31,9%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$50.644.348.829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22,1%%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$27.947.431.615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12,2%%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quimb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