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del Ñuble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del Ñuble se </w:t>
      </w:r>
      <w:r w:rsidR="00FC72C0">
        <w:rPr>
          <w:rFonts w:asciiTheme="minorHAnsi" w:hAnsiTheme="minorHAnsi" w:cstheme="minorHAnsi"/>
        </w:rPr>
        <w:t xml:space="preserve">espera una asistencia de 4433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17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el Ñuble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el Ñuble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del Ñuble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$84.602.036.687 que com</w:t>
      </w:r>
      <w:r w:rsidR="00A371C9">
        <w:rPr>
          <w:rFonts w:asciiTheme="minorHAnsi" w:hAnsiTheme="minorHAnsi" w:cstheme="minorHAnsi"/>
        </w:rPr>
        <w:t xml:space="preserve">prende el 47,8%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$84.602.036.687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47,8%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$53.712.295.853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30,3%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$20.870.632.329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11,8%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$16.250.057.179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9,2%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Ñuble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