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el Bío-Bío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$581.294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el Bío-Bío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120.982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16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del Bío-Bío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45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$581.294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del Bío-Bío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$581.294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del Bío-Bío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120.982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$486.301 111.984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del Bío-Bío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del Bío-Bío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Salud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$217.325.242.346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el Bío-Bío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Salud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$217.325.242.346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37,4%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Municipalidades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$205.439.046.604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35,3%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Obras Públicas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$82.101.017.858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14,1%%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$54.625.048.810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9,4%%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Bío-Bío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