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缺口驱动的视觉状态覆盖数据集构建方法：犬类图像案例研究</w:t>
      </w:r>
    </w:p>
    <w:p>
      <w:r>
        <w:rPr>
          <w:rFonts w:ascii="宋体" w:hAnsi="宋体" w:eastAsia="宋体"/>
          <w:b w:val="0"/>
          <w:sz w:val="21"/>
        </w:rPr>
        <w:t>摘要</w:t>
      </w:r>
    </w:p>
    <w:p>
      <w:r>
        <w:rPr>
          <w:rFonts w:ascii="宋体" w:hAnsi="宋体" w:eastAsia="宋体"/>
          <w:b w:val="0"/>
          <w:sz w:val="21"/>
        </w:rPr>
        <w:t>面向视觉识别的数据集质量不能仅由类别数量和图像规模衡量，同一类别内部的视觉状态分布同样决定测试覆盖范围。本文提出一种以视觉状态为对象的数据集构建流程：对固定目标实例进行结构化属性标注，使用有限枚举和严格校验保证结果可计算；在初始数据上识别缺失和低频状态；再从候选池中选择能够覆盖这些状态的补充样本，并通过数据清洁、哈希和版本留存形成可审计发布集。以COCO犬类图像为案例，初始集含500张图像，候选池含400张图像。结构化标注涵盖毛发、头面部、身体与动作、遮挡与截断以及场景等23项视觉属性。最终选择100张补充图像，排除4张非真实犬表现形式后形成596张清洁数据集。以30张为覆盖阈值的状态覆盖指数由78.64%提高至84.17%；按预先定义的状态目标计算的目标达成率由63.41%提高至74.80%；两批数据的结构化输出严格成功率均为100%。结果仅支持当前候选池内的状态覆盖改善，不支持识别准确率提升或跨类别泛化结论。</w:t>
      </w:r>
    </w:p>
    <w:p>
      <w:r>
        <w:rPr>
          <w:rFonts w:ascii="宋体" w:hAnsi="宋体" w:eastAsia="宋体"/>
          <w:b w:val="0"/>
          <w:sz w:val="21"/>
        </w:rPr>
        <w:t>关键词： 数据集构建；数据策展；视觉属性；视觉语言模型；长尾状态；犬类图像</w:t>
      </w:r>
    </w:p>
    <w:p>
      <w:pPr>
        <w:pStyle w:val="Heading1"/>
      </w:pPr>
      <w:r>
        <w:t>1 引言</w:t>
      </w:r>
    </w:p>
    <w:p>
      <w:r>
        <w:rPr>
          <w:rFonts w:ascii="宋体" w:hAnsi="宋体" w:eastAsia="宋体"/>
          <w:b w:val="0"/>
          <w:sz w:val="21"/>
        </w:rPr>
        <w:t>目标检测数据集通常提供类别和边界框，但类别内部的颜色、纹理、姿态、朝向、可见性和场景分布可能高度不均衡。若只报告“包含多少张犬类图像”，无法判断测试数据是否覆盖了具有诊断价值的长尾视觉状态。Visual Genome 将对象、属性、关系和区域描述作为结构化标注对象，为区域级视觉语义建模提供了基础（Krishna et al., 2017）。数据子集选择研究进一步表明，覆盖、代表性和多样性可以用于减少冗余（Kaushal et al., 2019）；Active Covering 将覆盖目标形式化为主动查询问题（Jiang and Rostamizadeh, 2021）；TALISMAN 针对稀有类别和数据切片进行目标化获取（Kothawade et al., 2022）。SELECT 则强调应在统一预算下比较数据策展策略（Feuer et al., 2024）。</w:t>
      </w:r>
    </w:p>
    <w:p>
      <w:r>
        <w:rPr>
          <w:rFonts w:ascii="宋体" w:hAnsi="宋体" w:eastAsia="宋体"/>
          <w:b w:val="0"/>
          <w:sz w:val="21"/>
        </w:rPr>
        <w:t>本文不提出新的视觉编码器或主动学习理论，而是研究一个可复现的数据构建流程：能否将VLM结构化属性、严格质量控制和缺口驱动选图组织成一个可审计闭环。</w:t>
      </w:r>
    </w:p>
    <w:p>
      <w:r>
        <w:rPr>
          <w:rFonts w:ascii="宋体" w:hAnsi="宋体" w:eastAsia="宋体"/>
          <w:b w:val="0"/>
          <w:sz w:val="21"/>
        </w:rPr>
        <w:t>本文贡献如下：</w:t>
      </w:r>
    </w:p>
    <w:p>
      <w:pPr>
        <w:pStyle w:val="ListNumber"/>
      </w:pPr>
      <w:r>
        <w:rPr>
          <w:rFonts w:ascii="宋体" w:hAnsi="宋体" w:eastAsia="宋体"/>
          <w:b w:val="0"/>
          <w:sz w:val="21"/>
        </w:rPr>
        <w:t>定义一个固定目标、三视图输入和23项有限枚举视觉属性的犬类数据协议；</w:t>
      </w:r>
    </w:p>
    <w:p>
      <w:pPr>
        <w:pStyle w:val="ListNumber"/>
      </w:pPr>
      <w:r>
        <w:rPr>
          <w:rFonts w:ascii="宋体" w:hAnsi="宋体" w:eastAsia="宋体"/>
          <w:b w:val="0"/>
          <w:sz w:val="21"/>
        </w:rPr>
        <w:t>建立原始响应、解析结果、非法值、人工修正和哈希可追溯的数据质量流程；</w:t>
      </w:r>
    </w:p>
    <w:p>
      <w:pPr>
        <w:pStyle w:val="ListNumber"/>
      </w:pPr>
      <w:r>
        <w:rPr>
          <w:rFonts w:ascii="宋体" w:hAnsi="宋体" w:eastAsia="宋体"/>
          <w:b w:val="0"/>
          <w:sz w:val="21"/>
        </w:rPr>
        <w:t>以状态分布而非类别计数定义数据缺口，并在固定补图预算下进行候选选择；</w:t>
      </w:r>
    </w:p>
    <w:p>
      <w:pPr>
        <w:pStyle w:val="ListNumber"/>
      </w:pPr>
      <w:r>
        <w:rPr>
          <w:rFonts w:ascii="宋体" w:hAnsi="宋体" w:eastAsia="宋体"/>
          <w:b w:val="0"/>
          <w:sz w:val="21"/>
        </w:rPr>
        <w:t>报告覆盖指数和目标达成率，同时明确其不等同于识别性能。</w:t>
      </w:r>
    </w:p>
    <w:p>
      <w:pPr>
        <w:pStyle w:val="Heading1"/>
      </w:pPr>
      <w:r>
        <w:t>2 相关工作</w:t>
      </w:r>
    </w:p>
    <w:p>
      <w:pPr>
        <w:pStyle w:val="Heading2"/>
      </w:pPr>
      <w:r>
        <w:t>2.1 结构化属性标注</w:t>
      </w:r>
    </w:p>
    <w:p>
      <w:r>
        <w:rPr>
          <w:rFonts w:ascii="宋体" w:hAnsi="宋体" w:eastAsia="宋体"/>
          <w:b w:val="0"/>
          <w:sz w:val="21"/>
        </w:rPr>
        <w:t>Visual Genome在区域级别收集对象、属性和关系，目标是支持更完整的场景理解。本文采用相同的结构化属性思想，但将目标固定为一个COCO dog实例，属性集合采用冻结的有限枚举，以便进行逐状态统计和版本比较。</w:t>
      </w:r>
    </w:p>
    <w:p>
      <w:pPr>
        <w:pStyle w:val="Heading2"/>
      </w:pPr>
      <w:r>
        <w:t>2.2 覆盖导向的数据选择</w:t>
      </w:r>
    </w:p>
    <w:p>
      <w:r>
        <w:rPr>
          <w:rFonts w:ascii="宋体" w:hAnsi="宋体" w:eastAsia="宋体"/>
          <w:b w:val="0"/>
          <w:sz w:val="21"/>
        </w:rPr>
        <w:t>已有子集选择工作研究多样性、覆盖和代表性；Active Covering研究以最少查询覆盖正例；TALISMAN研究稀有切片的目标化采样。本文与这些工作共享“以覆盖或稀有状态指导样本获取”的问题背景，差异在于选择信号来自VLM提取的犬类视觉状态，而不是分类不确定性、嵌入距离或人工类别标签。</w:t>
      </w:r>
    </w:p>
    <w:p>
      <w:pPr>
        <w:pStyle w:val="Heading2"/>
      </w:pPr>
      <w:r>
        <w:t>2.3 数据策展评价</w:t>
      </w:r>
    </w:p>
    <w:p>
      <w:r>
        <w:rPr>
          <w:rFonts w:ascii="宋体" w:hAnsi="宋体" w:eastAsia="宋体"/>
          <w:b w:val="0"/>
          <w:sz w:val="21"/>
        </w:rPr>
        <w:t>SELECT说明数据策展方法需要在统一预算和明确基线下比较。本文当前只完成一个犬类案例和一种缺口驱动选择，因此将结果解释为流程可行性与覆盖改善，不声称优于随机或其他策展策略。</w:t>
      </w:r>
    </w:p>
    <w:p>
      <w:pPr>
        <w:pStyle w:val="Heading1"/>
      </w:pPr>
      <w:r>
        <w:t>3 方法</w:t>
      </w:r>
    </w:p>
    <w:p>
      <w:pPr>
        <w:pStyle w:val="Heading2"/>
      </w:pPr>
      <w:r>
        <w:t>3.1 数据协议</w:t>
      </w:r>
    </w:p>
    <w:p>
      <w:r>
        <w:rPr>
          <w:rFonts w:ascii="宋体" w:hAnsi="宋体" w:eastAsia="宋体"/>
          <w:b w:val="0"/>
          <w:sz w:val="21"/>
        </w:rPr>
        <w:t>每张图像由COCO标注程序固定一个dog目标作为A目标。模型输入为原图、带A框标记图和未标记目标裁剪放大图。目标框、面积比例、中心位置和边界截断由程序计算；模型不得重新选择目标，也不得读取真实标签。</w:t>
      </w:r>
    </w:p>
    <w:p>
      <w:pPr>
        <w:pStyle w:val="Heading2"/>
      </w:pPr>
      <w:r>
        <w:t>3.2 视觉属性体系</w:t>
      </w:r>
    </w:p>
    <w:p>
      <w:r>
        <w:rPr>
          <w:rFonts w:ascii="宋体" w:hAnsi="宋体" w:eastAsia="宋体"/>
          <w:b w:val="0"/>
          <w:sz w:val="21"/>
        </w:rPr>
        <w:t>属性分为五组：毛发3项；头部和面部8项；身体与姿态动作6项；遮挡与截断5项；场景1项。所有单值属性使用有限枚举，多选部位使用数组。unknown表示无法判断，other表示可观察但无法归入既定细分类。眼睛、嘴部、尾巴和犬体可识别性具有显式依赖规则。</w:t>
      </w:r>
    </w:p>
    <w:p>
      <w:pPr>
        <w:pStyle w:val="Heading2"/>
      </w:pPr>
      <w:r>
        <w:t>3.3 严格输出和质量控制</w:t>
      </w:r>
    </w:p>
    <w:p>
      <w:r>
        <w:rPr>
          <w:rFonts w:ascii="宋体" w:hAnsi="宋体" w:eastAsia="宋体"/>
          <w:b w:val="0"/>
          <w:sz w:val="21"/>
        </w:rPr>
        <w:t>模型输出必须同时满足JSON结构、字段完整性、枚举或数组枚举、证据字段一一对应、目标身份一致和依赖规则。非法值不自动转换为unknown，原始响应单独保存。该设计将格式错误、未知状态和人工修正分开记录。</w:t>
      </w:r>
    </w:p>
    <w:p>
      <w:pPr>
        <w:pStyle w:val="Heading2"/>
      </w:pPr>
      <w:r>
        <w:t>3.4 覆盖指标</w:t>
      </w:r>
    </w:p>
    <w:p>
      <w:r>
        <w:rPr>
          <w:rFonts w:ascii="宋体" w:hAnsi="宋体" w:eastAsia="宋体"/>
          <w:b w:val="0"/>
          <w:sz w:val="21"/>
        </w:rPr>
        <w:t>令 $n{j,s}$ 表示特征 $j$ 的状态 $s$ 在数据集中的计数，令 $\mathcal S$ 为排除unknown和other后的可评价状态集合。本文报告两个不同指标。</w:t>
      </w:r>
    </w:p>
    <w:p>
      <w:r>
        <w:rPr>
          <w:rFonts w:ascii="宋体" w:hAnsi="宋体" w:eastAsia="宋体"/>
          <w:b w:val="0"/>
          <w:sz w:val="21"/>
        </w:rPr>
        <w:t>状态覆盖指数用于描述状态计数的饱和程度：</w:t>
      </w:r>
    </w:p>
    <w:p>
      <w:r>
        <w:rPr>
          <w:rFonts w:ascii="宋体" w:hAnsi="宋体" w:eastAsia="宋体"/>
          <w:b w:val="0"/>
          <w:sz w:val="21"/>
        </w:rPr>
        <w:t>$$C(D)=\frac{1}{|\mathcal S|}\sum{(j,s)\in\mathcal S}\min\left(\frac{n{j,s}}{30},1\right).$$</w:t>
      </w:r>
    </w:p>
    <w:p>
      <w:r>
        <w:rPr>
          <w:rFonts w:ascii="宋体" w:hAnsi="宋体" w:eastAsia="宋体"/>
          <w:b w:val="0"/>
          <w:sz w:val="21"/>
        </w:rPr>
        <w:t>它不是“达到目标的状态比例”，也不是识别准确率。</w:t>
      </w:r>
    </w:p>
    <w:p>
      <w:r>
        <w:rPr>
          <w:rFonts w:ascii="宋体" w:hAnsi="宋体" w:eastAsia="宋体"/>
          <w:b w:val="0"/>
          <w:sz w:val="21"/>
        </w:rPr>
        <w:t>目标达成率用于报告预先定义的数量目标：</w:t>
      </w:r>
    </w:p>
    <w:p>
      <w:r>
        <w:rPr>
          <w:rFonts w:ascii="宋体" w:hAnsi="宋体" w:eastAsia="宋体"/>
          <w:b w:val="0"/>
          <w:sz w:val="21"/>
        </w:rPr>
        <w:t>$$A(D)=\frac{1}{|\mathcal S|}\sum{(j,s)\in\mathcal S}\mathbf 1[n{j,s}\ge t{j,s}],$$</w:t>
      </w:r>
    </w:p>
    <w:p>
      <w:r>
        <w:rPr>
          <w:rFonts w:ascii="宋体" w:hAnsi="宋体" w:eastAsia="宋体"/>
          <w:b w:val="0"/>
          <w:sz w:val="21"/>
        </w:rPr>
        <w:t>其中，当初始计数少于10时 $t{j,s}=10$，当初始计数为10至29时 $t{j,s}=30$，其他状态的目标按30计。目标必须在补图选择前冻结，不能根据补图后的计数倒推。</w:t>
      </w:r>
    </w:p>
    <w:p>
      <w:pPr>
        <w:pStyle w:val="Heading1"/>
      </w:pPr>
      <w:r>
        <w:t>4 实验设置</w:t>
      </w:r>
    </w:p>
    <w:p>
      <w:r>
        <w:rPr>
          <w:rFonts w:ascii="宋体" w:hAnsi="宋体" w:eastAsia="宋体"/>
          <w:b w:val="0"/>
          <w:sz w:val="21"/>
        </w:rPr>
        <w:t>初始数据集包含500张COCO犬类图像，候选池包含400张图像。使用本地视觉语言模型进行23项属性标注，模型推理采用固定的三视图输入。初始数据用于缺口分析，候选池用于补图选择。选择预算为100张，并保持五类场景分层每类15至30张。四张已知非真实犬候选和初始集中的四张非真实犬表现形式分别记录并从清洁发布集排除。</w:t>
      </w:r>
    </w:p>
    <w:p>
      <w:pPr>
        <w:pStyle w:val="Heading1"/>
      </w:pPr>
      <w:r>
        <w:t>5 结果</w:t>
      </w:r>
    </w:p>
    <w:p>
      <w:pPr>
        <w:pStyle w:val="Heading2"/>
      </w:pPr>
      <w:r>
        <w:t>5.1 结构化标注成功率</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D9EAF2"/>
          </w:tcPr>
          <w:p>
            <w:r>
              <w:rPr>
                <w:rFonts w:ascii="宋体" w:hAnsi="宋体" w:eastAsia="宋体"/>
                <w:b/>
                <w:sz w:val="18"/>
              </w:rPr>
              <w:t>数据</w:t>
            </w:r>
          </w:p>
        </w:tc>
        <w:tc>
          <w:tcPr>
            <w:tcW w:type="dxa" w:w="1987"/>
            <w:shd w:fill="D9EAF2"/>
          </w:tcPr>
          <w:p>
            <w:r>
              <w:rPr>
                <w:rFonts w:ascii="宋体" w:hAnsi="宋体" w:eastAsia="宋体"/>
                <w:b/>
                <w:sz w:val="18"/>
              </w:rPr>
              <w:t>图片数</w:t>
            </w:r>
          </w:p>
        </w:tc>
        <w:tc>
          <w:tcPr>
            <w:tcW w:type="dxa" w:w="1987"/>
            <w:shd w:fill="D9EAF2"/>
          </w:tcPr>
          <w:p>
            <w:r>
              <w:rPr>
                <w:rFonts w:ascii="宋体" w:hAnsi="宋体" w:eastAsia="宋体"/>
                <w:b/>
                <w:sz w:val="18"/>
              </w:rPr>
              <w:t>严格成功</w:t>
            </w:r>
          </w:p>
        </w:tc>
        <w:tc>
          <w:tcPr>
            <w:tcW w:type="dxa" w:w="1987"/>
            <w:shd w:fill="D9EAF2"/>
          </w:tcPr>
          <w:p>
            <w:r>
              <w:rPr>
                <w:rFonts w:ascii="宋体" w:hAnsi="宋体" w:eastAsia="宋体"/>
                <w:b/>
                <w:sz w:val="18"/>
              </w:rPr>
              <w:t>失败</w:t>
            </w:r>
          </w:p>
        </w:tc>
        <w:tc>
          <w:tcPr>
            <w:tcW w:type="dxa" w:w="1987"/>
            <w:shd w:fill="D9EAF2"/>
          </w:tcPr>
          <w:p>
            <w:r>
              <w:rPr>
                <w:rFonts w:ascii="宋体" w:hAnsi="宋体" w:eastAsia="宋体"/>
                <w:b/>
                <w:sz w:val="18"/>
              </w:rPr>
              <w:t>成功率</w:t>
            </w:r>
          </w:p>
        </w:tc>
      </w:tr>
      <w:tr>
        <w:tc>
          <w:tcPr>
            <w:tcW w:type="dxa" w:w="1987"/>
          </w:tcPr>
          <w:p>
            <w:r>
              <w:rPr>
                <w:rFonts w:ascii="宋体" w:hAnsi="宋体" w:eastAsia="宋体"/>
                <w:b w:val="0"/>
                <w:sz w:val="18"/>
              </w:rPr>
              <w:t>初始集</w:t>
            </w:r>
          </w:p>
        </w:tc>
        <w:tc>
          <w:tcPr>
            <w:tcW w:type="dxa" w:w="1987"/>
          </w:tcPr>
          <w:p>
            <w:r>
              <w:rPr>
                <w:rFonts w:ascii="宋体" w:hAnsi="宋体" w:eastAsia="宋体"/>
                <w:b w:val="0"/>
                <w:sz w:val="18"/>
              </w:rPr>
              <w:t>500</w:t>
            </w:r>
          </w:p>
        </w:tc>
        <w:tc>
          <w:tcPr>
            <w:tcW w:type="dxa" w:w="1987"/>
          </w:tcPr>
          <w:p>
            <w:r>
              <w:rPr>
                <w:rFonts w:ascii="宋体" w:hAnsi="宋体" w:eastAsia="宋体"/>
                <w:b w:val="0"/>
                <w:sz w:val="18"/>
              </w:rPr>
              <w:t>500</w:t>
            </w:r>
          </w:p>
        </w:tc>
        <w:tc>
          <w:tcPr>
            <w:tcW w:type="dxa" w:w="1987"/>
          </w:tcPr>
          <w:p>
            <w:r>
              <w:rPr>
                <w:rFonts w:ascii="宋体" w:hAnsi="宋体" w:eastAsia="宋体"/>
                <w:b w:val="0"/>
                <w:sz w:val="18"/>
              </w:rPr>
              <w:t>0</w:t>
            </w:r>
          </w:p>
        </w:tc>
        <w:tc>
          <w:tcPr>
            <w:tcW w:type="dxa" w:w="1987"/>
          </w:tcPr>
          <w:p>
            <w:r>
              <w:rPr>
                <w:rFonts w:ascii="宋体" w:hAnsi="宋体" w:eastAsia="宋体"/>
                <w:b w:val="0"/>
                <w:sz w:val="18"/>
              </w:rPr>
              <w:t>100%</w:t>
            </w:r>
          </w:p>
        </w:tc>
      </w:tr>
      <w:tr>
        <w:tc>
          <w:tcPr>
            <w:tcW w:type="dxa" w:w="1987"/>
          </w:tcPr>
          <w:p>
            <w:r>
              <w:rPr>
                <w:rFonts w:ascii="宋体" w:hAnsi="宋体" w:eastAsia="宋体"/>
                <w:b w:val="0"/>
                <w:sz w:val="18"/>
              </w:rPr>
              <w:t>候选池</w:t>
            </w:r>
          </w:p>
        </w:tc>
        <w:tc>
          <w:tcPr>
            <w:tcW w:type="dxa" w:w="1987"/>
          </w:tcPr>
          <w:p>
            <w:r>
              <w:rPr>
                <w:rFonts w:ascii="宋体" w:hAnsi="宋体" w:eastAsia="宋体"/>
                <w:b w:val="0"/>
                <w:sz w:val="18"/>
              </w:rPr>
              <w:t>400</w:t>
            </w:r>
          </w:p>
        </w:tc>
        <w:tc>
          <w:tcPr>
            <w:tcW w:type="dxa" w:w="1987"/>
          </w:tcPr>
          <w:p>
            <w:r>
              <w:rPr>
                <w:rFonts w:ascii="宋体" w:hAnsi="宋体" w:eastAsia="宋体"/>
                <w:b w:val="0"/>
                <w:sz w:val="18"/>
              </w:rPr>
              <w:t>400</w:t>
            </w:r>
          </w:p>
        </w:tc>
        <w:tc>
          <w:tcPr>
            <w:tcW w:type="dxa" w:w="1987"/>
          </w:tcPr>
          <w:p>
            <w:r>
              <w:rPr>
                <w:rFonts w:ascii="宋体" w:hAnsi="宋体" w:eastAsia="宋体"/>
                <w:b w:val="0"/>
                <w:sz w:val="18"/>
              </w:rPr>
              <w:t>0</w:t>
            </w:r>
          </w:p>
        </w:tc>
        <w:tc>
          <w:tcPr>
            <w:tcW w:type="dxa" w:w="1987"/>
          </w:tcPr>
          <w:p>
            <w:r>
              <w:rPr>
                <w:rFonts w:ascii="宋体" w:hAnsi="宋体" w:eastAsia="宋体"/>
                <w:b w:val="0"/>
                <w:sz w:val="18"/>
              </w:rPr>
              <w:t>100%</w:t>
            </w:r>
          </w:p>
        </w:tc>
      </w:tr>
      <w:tr>
        <w:tc>
          <w:tcPr>
            <w:tcW w:type="dxa" w:w="1987"/>
          </w:tcPr>
          <w:p>
            <w:r>
              <w:rPr>
                <w:rFonts w:ascii="宋体" w:hAnsi="宋体" w:eastAsia="宋体"/>
                <w:b w:val="0"/>
                <w:sz w:val="18"/>
              </w:rPr>
              <w:t>合计</w:t>
            </w:r>
          </w:p>
        </w:tc>
        <w:tc>
          <w:tcPr>
            <w:tcW w:type="dxa" w:w="1987"/>
          </w:tcPr>
          <w:p>
            <w:r>
              <w:rPr>
                <w:rFonts w:ascii="宋体" w:hAnsi="宋体" w:eastAsia="宋体"/>
                <w:b w:val="0"/>
                <w:sz w:val="18"/>
              </w:rPr>
              <w:t>900</w:t>
            </w:r>
          </w:p>
        </w:tc>
        <w:tc>
          <w:tcPr>
            <w:tcW w:type="dxa" w:w="1987"/>
          </w:tcPr>
          <w:p>
            <w:r>
              <w:rPr>
                <w:rFonts w:ascii="宋体" w:hAnsi="宋体" w:eastAsia="宋体"/>
                <w:b w:val="0"/>
                <w:sz w:val="18"/>
              </w:rPr>
              <w:t>900</w:t>
            </w:r>
          </w:p>
        </w:tc>
        <w:tc>
          <w:tcPr>
            <w:tcW w:type="dxa" w:w="1987"/>
          </w:tcPr>
          <w:p>
            <w:r>
              <w:rPr>
                <w:rFonts w:ascii="宋体" w:hAnsi="宋体" w:eastAsia="宋体"/>
                <w:b w:val="0"/>
                <w:sz w:val="18"/>
              </w:rPr>
              <w:t>0</w:t>
            </w:r>
          </w:p>
        </w:tc>
        <w:tc>
          <w:tcPr>
            <w:tcW w:type="dxa" w:w="1987"/>
          </w:tcPr>
          <w:p>
            <w:r>
              <w:rPr>
                <w:rFonts w:ascii="宋体" w:hAnsi="宋体" w:eastAsia="宋体"/>
                <w:b w:val="0"/>
                <w:sz w:val="18"/>
              </w:rPr>
              <w:t>100%</w:t>
            </w:r>
          </w:p>
        </w:tc>
      </w:tr>
    </w:tbl>
    <w:p/>
    <w:p>
      <w:pPr>
        <w:pStyle w:val="Heading2"/>
      </w:pPr>
      <w:r>
        <w:t>5.2 补图前后覆盖</w:t>
      </w:r>
    </w:p>
    <w:tbl>
      <w:tblPr>
        <w:tblStyle w:val="TableGrid"/>
        <w:tblW w:type="auto" w:w="0"/>
        <w:tblLook w:firstColumn="1" w:firstRow="1" w:lastColumn="0" w:lastRow="0" w:noHBand="0" w:noVBand="1" w:val="04A0"/>
      </w:tblPr>
      <w:tblGrid>
        <w:gridCol w:w="3312"/>
        <w:gridCol w:w="3312"/>
        <w:gridCol w:w="3312"/>
      </w:tblGrid>
      <w:tr>
        <w:tc>
          <w:tcPr>
            <w:tcW w:type="dxa" w:w="3312"/>
            <w:shd w:fill="D9EAF2"/>
          </w:tcPr>
          <w:p>
            <w:r>
              <w:rPr>
                <w:rFonts w:ascii="宋体" w:hAnsi="宋体" w:eastAsia="宋体"/>
                <w:b/>
                <w:sz w:val="18"/>
              </w:rPr>
              <w:t>指标</w:t>
            </w:r>
          </w:p>
        </w:tc>
        <w:tc>
          <w:tcPr>
            <w:tcW w:type="dxa" w:w="3312"/>
            <w:shd w:fill="D9EAF2"/>
          </w:tcPr>
          <w:p>
            <w:r>
              <w:rPr>
                <w:rFonts w:ascii="宋体" w:hAnsi="宋体" w:eastAsia="宋体"/>
                <w:b/>
                <w:sz w:val="18"/>
              </w:rPr>
              <w:t>初始500张</w:t>
            </w:r>
          </w:p>
        </w:tc>
        <w:tc>
          <w:tcPr>
            <w:tcW w:type="dxa" w:w="3312"/>
            <w:shd w:fill="D9EAF2"/>
          </w:tcPr>
          <w:p>
            <w:r>
              <w:rPr>
                <w:rFonts w:ascii="宋体" w:hAnsi="宋体" w:eastAsia="宋体"/>
                <w:b/>
                <w:sz w:val="18"/>
              </w:rPr>
              <w:t>清洁596张</w:t>
            </w:r>
          </w:p>
        </w:tc>
      </w:tr>
      <w:tr>
        <w:tc>
          <w:tcPr>
            <w:tcW w:type="dxa" w:w="3312"/>
          </w:tcPr>
          <w:p>
            <w:r>
              <w:rPr>
                <w:rFonts w:ascii="宋体" w:hAnsi="宋体" w:eastAsia="宋体"/>
                <w:b w:val="0"/>
                <w:sz w:val="18"/>
              </w:rPr>
              <w:t>图像数量</w:t>
            </w:r>
          </w:p>
        </w:tc>
        <w:tc>
          <w:tcPr>
            <w:tcW w:type="dxa" w:w="3312"/>
          </w:tcPr>
          <w:p>
            <w:r>
              <w:rPr>
                <w:rFonts w:ascii="宋体" w:hAnsi="宋体" w:eastAsia="宋体"/>
                <w:b w:val="0"/>
                <w:sz w:val="18"/>
              </w:rPr>
              <w:t>500</w:t>
            </w:r>
          </w:p>
        </w:tc>
        <w:tc>
          <w:tcPr>
            <w:tcW w:type="dxa" w:w="3312"/>
          </w:tcPr>
          <w:p>
            <w:r>
              <w:rPr>
                <w:rFonts w:ascii="宋体" w:hAnsi="宋体" w:eastAsia="宋体"/>
                <w:b w:val="0"/>
                <w:sz w:val="18"/>
              </w:rPr>
              <w:t>596</w:t>
            </w:r>
          </w:p>
        </w:tc>
      </w:tr>
      <w:tr>
        <w:tc>
          <w:tcPr>
            <w:tcW w:type="dxa" w:w="3312"/>
          </w:tcPr>
          <w:p>
            <w:r>
              <w:rPr>
                <w:rFonts w:ascii="宋体" w:hAnsi="宋体" w:eastAsia="宋体"/>
                <w:b w:val="0"/>
                <w:sz w:val="18"/>
              </w:rPr>
              <w:t>状态覆盖指数 $C(D)$</w:t>
            </w:r>
          </w:p>
        </w:tc>
        <w:tc>
          <w:tcPr>
            <w:tcW w:type="dxa" w:w="3312"/>
          </w:tcPr>
          <w:p>
            <w:r>
              <w:rPr>
                <w:rFonts w:ascii="宋体" w:hAnsi="宋体" w:eastAsia="宋体"/>
                <w:b w:val="0"/>
                <w:sz w:val="18"/>
              </w:rPr>
              <w:t>78.64%</w:t>
            </w:r>
          </w:p>
        </w:tc>
        <w:tc>
          <w:tcPr>
            <w:tcW w:type="dxa" w:w="3312"/>
          </w:tcPr>
          <w:p>
            <w:r>
              <w:rPr>
                <w:rFonts w:ascii="宋体" w:hAnsi="宋体" w:eastAsia="宋体"/>
                <w:b w:val="0"/>
                <w:sz w:val="18"/>
              </w:rPr>
              <w:t>84.17%</w:t>
            </w:r>
          </w:p>
        </w:tc>
      </w:tr>
      <w:tr>
        <w:tc>
          <w:tcPr>
            <w:tcW w:type="dxa" w:w="3312"/>
          </w:tcPr>
          <w:p>
            <w:r>
              <w:rPr>
                <w:rFonts w:ascii="宋体" w:hAnsi="宋体" w:eastAsia="宋体"/>
                <w:b w:val="0"/>
                <w:sz w:val="18"/>
              </w:rPr>
              <w:t>目标达成率 $A(D)$</w:t>
            </w:r>
          </w:p>
        </w:tc>
        <w:tc>
          <w:tcPr>
            <w:tcW w:type="dxa" w:w="3312"/>
          </w:tcPr>
          <w:p>
            <w:r>
              <w:rPr>
                <w:rFonts w:ascii="宋体" w:hAnsi="宋体" w:eastAsia="宋体"/>
                <w:b w:val="0"/>
                <w:sz w:val="18"/>
              </w:rPr>
              <w:t>63.41%</w:t>
            </w:r>
          </w:p>
        </w:tc>
        <w:tc>
          <w:tcPr>
            <w:tcW w:type="dxa" w:w="3312"/>
          </w:tcPr>
          <w:p>
            <w:r>
              <w:rPr>
                <w:rFonts w:ascii="宋体" w:hAnsi="宋体" w:eastAsia="宋体"/>
                <w:b w:val="0"/>
                <w:sz w:val="18"/>
              </w:rPr>
              <w:t>74.80%</w:t>
            </w:r>
          </w:p>
        </w:tc>
      </w:tr>
      <w:tr>
        <w:tc>
          <w:tcPr>
            <w:tcW w:type="dxa" w:w="3312"/>
          </w:tcPr>
          <w:p>
            <w:r>
              <w:rPr>
                <w:rFonts w:ascii="宋体" w:hAnsi="宋体" w:eastAsia="宋体"/>
                <w:b w:val="0"/>
                <w:sz w:val="18"/>
              </w:rPr>
              <w:t>低频状态数</w:t>
            </w:r>
          </w:p>
        </w:tc>
        <w:tc>
          <w:tcPr>
            <w:tcW w:type="dxa" w:w="3312"/>
          </w:tcPr>
          <w:p>
            <w:r>
              <w:rPr>
                <w:rFonts w:ascii="宋体" w:hAnsi="宋体" w:eastAsia="宋体"/>
                <w:b w:val="0"/>
                <w:sz w:val="18"/>
              </w:rPr>
              <w:t>45</w:t>
            </w:r>
          </w:p>
        </w:tc>
        <w:tc>
          <w:tcPr>
            <w:tcW w:type="dxa" w:w="3312"/>
          </w:tcPr>
          <w:p>
            <w:r>
              <w:rPr>
                <w:rFonts w:ascii="宋体" w:hAnsi="宋体" w:eastAsia="宋体"/>
                <w:b w:val="0"/>
                <w:sz w:val="18"/>
              </w:rPr>
              <w:t>33</w:t>
            </w:r>
          </w:p>
        </w:tc>
      </w:tr>
      <w:tr>
        <w:tc>
          <w:tcPr>
            <w:tcW w:type="dxa" w:w="3312"/>
          </w:tcPr>
          <w:p>
            <w:r>
              <w:rPr>
                <w:rFonts w:ascii="宋体" w:hAnsi="宋体" w:eastAsia="宋体"/>
                <w:b w:val="0"/>
                <w:sz w:val="18"/>
              </w:rPr>
              <w:t>完全缺失状态数</w:t>
            </w:r>
          </w:p>
        </w:tc>
        <w:tc>
          <w:tcPr>
            <w:tcW w:type="dxa" w:w="3312"/>
          </w:tcPr>
          <w:p>
            <w:r>
              <w:rPr>
                <w:rFonts w:ascii="宋体" w:hAnsi="宋体" w:eastAsia="宋体"/>
                <w:b w:val="0"/>
                <w:sz w:val="18"/>
              </w:rPr>
              <w:t>9</w:t>
            </w:r>
          </w:p>
        </w:tc>
        <w:tc>
          <w:tcPr>
            <w:tcW w:type="dxa" w:w="3312"/>
          </w:tcPr>
          <w:p>
            <w:r>
              <w:rPr>
                <w:rFonts w:ascii="宋体" w:hAnsi="宋体" w:eastAsia="宋体"/>
                <w:b w:val="0"/>
                <w:sz w:val="18"/>
              </w:rPr>
              <w:t>7</w:t>
            </w:r>
          </w:p>
        </w:tc>
      </w:tr>
    </w:tbl>
    <w:p/>
    <w:p>
      <w:r>
        <w:rPr>
          <w:rFonts w:ascii="宋体" w:hAnsi="宋体" w:eastAsia="宋体"/>
          <w:b w:val="0"/>
          <w:sz w:val="21"/>
        </w:rPr>
        <w:t>100张补图使状态覆盖指数提高5.53个百分点，目标达成率提高11.39个百分点。剩余33个低频状态包括红色毛发、条纹或花斑图案、混合眼睛状态、夹尾、吠叫、多场景等。它们在当前候选池中没有足够样本，不能通过继续重复同一选择过程得到充分覆盖。</w:t>
      </w:r>
    </w:p>
    <w:p>
      <w:pPr>
        <w:pStyle w:val="Heading2"/>
      </w:pPr>
      <w:r>
        <w:t>5.3 场景状态</w:t>
      </w:r>
    </w:p>
    <w:p>
      <w:r>
        <w:rPr>
          <w:rFonts w:ascii="宋体" w:hAnsi="宋体" w:eastAsia="宋体"/>
          <w:b w:val="0"/>
          <w:sz w:val="21"/>
        </w:rPr>
        <w:t>场景细分后，初始集包含室内其他47张、室外其他53张和室外水域36张。该结果说明other应表示有信息但缺少细分类，而不是将明确的室外图像标记为不确定。</w:t>
      </w:r>
    </w:p>
    <w:p>
      <w:pPr>
        <w:pStyle w:val="Heading1"/>
      </w:pPr>
      <w:r>
        <w:t>6 讨论</w:t>
      </w:r>
    </w:p>
    <w:p>
      <w:r>
        <w:rPr>
          <w:rFonts w:ascii="宋体" w:hAnsi="宋体" w:eastAsia="宋体"/>
          <w:b w:val="0"/>
          <w:sz w:val="21"/>
        </w:rPr>
        <w:t>实验支持以下有限结论：在固定犬类数据、固定属性协议和当前候选池内，缺口驱动选择提高了状态覆盖和预设目标达成率。该结论描述的是数据构建结果，不是模型识别性能。</w:t>
      </w:r>
    </w:p>
    <w:p>
      <w:r>
        <w:rPr>
          <w:rFonts w:ascii="宋体" w:hAnsi="宋体" w:eastAsia="宋体"/>
          <w:b w:val="0"/>
          <w:sz w:val="21"/>
        </w:rPr>
        <w:t>当前结果不能支持以下主张：缺口驱动选择普遍优于随机选择；补图提高了dog识别准确率；596张的全部特征均为人工真值；该流程对其他类别具有泛化性。新增补图尚未运行独立分类VLM，因此不报告清洁596张的整体识别率。</w:t>
      </w:r>
    </w:p>
    <w:p>
      <w:pPr>
        <w:pStyle w:val="Heading1"/>
      </w:pPr>
      <w:r>
        <w:t>7 局限性与复现</w:t>
      </w:r>
    </w:p>
    <w:p>
      <w:r>
        <w:rPr>
          <w:rFonts w:ascii="宋体" w:hAnsi="宋体" w:eastAsia="宋体"/>
          <w:b w:val="0"/>
          <w:sz w:val="21"/>
        </w:rPr>
        <w:t>主要限制包括：人工复核覆盖范围有限；VLM属性存在系统性偏差风险；选择策略缺少随机和分层随机对照；初始集参与了协议和缺口设计，不能作为完全独立留出集；场景和动作枚举仍可能需要跨类别适配；COCO图片的再分发许可需按原始条款核对。</w:t>
      </w:r>
    </w:p>
    <w:p>
      <w:r>
        <w:rPr>
          <w:rFonts w:ascii="宋体" w:hAnsi="宋体" w:eastAsia="宋体"/>
          <w:b w:val="0"/>
          <w:sz w:val="21"/>
        </w:rPr>
        <w:t>所有结果均可由以下目录和脚本追溯：</w:t>
      </w:r>
    </w:p>
    <w:p>
      <w:pPr>
        <w:pStyle w:val="ListBullet"/>
      </w:pPr>
      <w:r>
        <w:rPr>
          <w:rFonts w:ascii="宋体" w:hAnsi="宋体" w:eastAsia="宋体"/>
          <w:b w:val="0"/>
          <w:sz w:val="21"/>
        </w:rPr>
        <w:t>configs/dogfeatureschemav31.json；</w:t>
      </w:r>
    </w:p>
    <w:p>
      <w:pPr>
        <w:pStyle w:val="ListBullet"/>
      </w:pPr>
      <w:r>
        <w:rPr>
          <w:rFonts w:ascii="宋体" w:hAnsi="宋体" w:eastAsia="宋体"/>
          <w:b w:val="0"/>
          <w:sz w:val="21"/>
        </w:rPr>
        <w:t>prompts/dogfeatureannotationv31.txt；</w:t>
      </w:r>
    </w:p>
    <w:p>
      <w:pPr>
        <w:pStyle w:val="ListBullet"/>
      </w:pPr>
      <w:r>
        <w:rPr>
          <w:rFonts w:ascii="宋体" w:hAnsi="宋体" w:eastAsia="宋体"/>
          <w:b w:val="0"/>
          <w:sz w:val="21"/>
        </w:rPr>
        <w:t>artifacts/dog500featuresv3120260913；</w:t>
      </w:r>
    </w:p>
    <w:p>
      <w:pPr>
        <w:pStyle w:val="ListBullet"/>
      </w:pPr>
      <w:r>
        <w:rPr>
          <w:rFonts w:ascii="宋体" w:hAnsi="宋体" w:eastAsia="宋体"/>
          <w:b w:val="0"/>
          <w:sz w:val="21"/>
        </w:rPr>
        <w:t>artifacts/dogcandidate400featuresv3120260913；</w:t>
      </w:r>
    </w:p>
    <w:p>
      <w:pPr>
        <w:pStyle w:val="ListBullet"/>
      </w:pPr>
      <w:r>
        <w:rPr>
          <w:rFonts w:ascii="宋体" w:hAnsi="宋体" w:eastAsia="宋体"/>
          <w:b w:val="0"/>
          <w:sz w:val="21"/>
        </w:rPr>
        <w:t>artifacts/dogv31supplementselection20260913；</w:t>
      </w:r>
    </w:p>
    <w:p>
      <w:pPr>
        <w:pStyle w:val="ListBullet"/>
      </w:pPr>
      <w:r>
        <w:rPr>
          <w:rFonts w:ascii="宋体" w:hAnsi="宋体" w:eastAsia="宋体"/>
          <w:b w:val="0"/>
          <w:sz w:val="21"/>
        </w:rPr>
        <w:t>artifacts/dogv31combinedsupplement20260913final。</w:t>
      </w:r>
    </w:p>
    <w:p>
      <w:pPr>
        <w:pStyle w:val="Heading1"/>
      </w:pPr>
      <w:r>
        <w:t>8 结论</w:t>
      </w:r>
    </w:p>
    <w:p>
      <w:r>
        <w:rPr>
          <w:rFonts w:ascii="宋体" w:hAnsi="宋体" w:eastAsia="宋体"/>
          <w:b w:val="0"/>
          <w:sz w:val="21"/>
        </w:rPr>
        <w:t>本文给出了一套以视觉状态覆盖为目标的数据集构建流程。该流程将固定目标、VLM结构化标注、严格质量控制、低频状态分析和缺口驱动选图连接起来。在犬类案例中，900张图片均产生了严格通过协议的结构化特征响应；选择100张补图后，清洁596张数据集的状态覆盖指数由78.64%提高至84.17%，目标达成率由63.41%提高至74.80%。这些结果证明流程在当前案例中的可执行性和覆盖改善，但仍需要公平策展对照、双人一致性和独立分类验证，才能支持更强的研究结论。</w:t>
      </w:r>
    </w:p>
    <w:p>
      <w:pPr>
        <w:pStyle w:val="Heading1"/>
      </w:pPr>
      <w:r>
        <w:t>参考文献</w:t>
      </w:r>
    </w:p>
    <w:p>
      <w:pPr>
        <w:pStyle w:val="ListNumber"/>
      </w:pPr>
      <w:r>
        <w:rPr>
          <w:rFonts w:ascii="宋体" w:hAnsi="宋体" w:eastAsia="宋体"/>
          <w:b w:val="0"/>
          <w:sz w:val="21"/>
        </w:rPr>
        <w:t>Krishna, R. et al. Visual Genome: Connecting Language and Vision Using Crowdsourced Dense Image Annotations. IJCV, 2017. https://link.springer.com/article/10.1007/s11263-016-0981-7</w:t>
      </w:r>
    </w:p>
    <w:p>
      <w:pPr>
        <w:pStyle w:val="ListNumber"/>
      </w:pPr>
      <w:r>
        <w:rPr>
          <w:rFonts w:ascii="宋体" w:hAnsi="宋体" w:eastAsia="宋体"/>
          <w:b w:val="0"/>
          <w:sz w:val="21"/>
        </w:rPr>
        <w:t>Kaushal, V. et al. Learning From Less Data: A Unified Data Subset Selection and Active Learning Framework for Computer Vision. arXiv:1901.01151, 2019. https://arxiv.org/abs/1901.01151</w:t>
      </w:r>
    </w:p>
    <w:p>
      <w:pPr>
        <w:pStyle w:val="ListNumber"/>
      </w:pPr>
      <w:r>
        <w:rPr>
          <w:rFonts w:ascii="宋体" w:hAnsi="宋体" w:eastAsia="宋体"/>
          <w:b w:val="0"/>
          <w:sz w:val="21"/>
        </w:rPr>
        <w:t>Jiang, H. and Rostamizadeh, A. Active Covering. ICML, PMLR 139, 2021. https://proceedings.mlr.press/v139/jiang21i.html</w:t>
      </w:r>
    </w:p>
    <w:p>
      <w:pPr>
        <w:pStyle w:val="ListNumber"/>
      </w:pPr>
      <w:r>
        <w:rPr>
          <w:rFonts w:ascii="宋体" w:hAnsi="宋体" w:eastAsia="宋体"/>
          <w:b w:val="0"/>
          <w:sz w:val="21"/>
        </w:rPr>
        <w:t>Kothawade, S. et al. TALISMAN: Targeted Active Learning for Object Detection with Rare Classes and Slices Using Submodular Mutual Information. ECCV, 2022. https://www.ecva.net/papers/eccv2022/papersECCV/html/4820ECCV2022paper.php</w:t>
      </w:r>
    </w:p>
    <w:p>
      <w:pPr>
        <w:pStyle w:val="ListNumber"/>
      </w:pPr>
      <w:r>
        <w:rPr>
          <w:rFonts w:ascii="宋体" w:hAnsi="宋体" w:eastAsia="宋体"/>
          <w:b w:val="0"/>
          <w:sz w:val="21"/>
        </w:rPr>
        <w:t>Feuer, B. et al. SELECT: A Large-Scale Benchmark of Data Curation Strategies for Image Classification. NeurIPS 2024. https://proceedings.neurips.cc/paperfiles/paper/2024/hash/f6de5ed486b1802874fe9c70b50277e4-Abstract.html</w:t>
      </w:r>
    </w:p>
    <w:p>
      <w:pPr>
        <w:pStyle w:val="Heading1"/>
      </w:pPr>
      <w:r>
        <w:t>严格验证与投稿前检查</w:t>
      </w:r>
    </w:p>
    <w:tbl>
      <w:tblPr>
        <w:tblStyle w:val="TableGrid"/>
        <w:tblW w:type="auto" w:w="0"/>
        <w:tblLook w:firstColumn="1" w:firstRow="1" w:lastColumn="0" w:lastRow="0" w:noHBand="0" w:noVBand="1" w:val="04A0"/>
      </w:tblPr>
      <w:tblGrid>
        <w:gridCol w:w="4968"/>
        <w:gridCol w:w="4968"/>
      </w:tblGrid>
      <w:tr>
        <w:tc>
          <w:tcPr>
            <w:tcW w:type="dxa" w:w="4968"/>
            <w:shd w:fill="D9EAF2"/>
          </w:tcPr>
          <w:p>
            <w:r>
              <w:t>检查项</w:t>
            </w:r>
          </w:p>
        </w:tc>
        <w:tc>
          <w:tcPr>
            <w:tcW w:type="dxa" w:w="4968"/>
            <w:shd w:fill="D9EAF2"/>
          </w:tcPr>
          <w:p>
            <w:r>
              <w:t>当前结论</w:t>
            </w:r>
          </w:p>
        </w:tc>
      </w:tr>
      <w:tr>
        <w:tc>
          <w:tcPr>
            <w:tcW w:type="dxa" w:w="4968"/>
          </w:tcPr>
          <w:p>
            <w:r>
              <w:rPr>
                <w:rFonts w:ascii="宋体" w:hAnsi="宋体" w:eastAsia="宋体"/>
                <w:b w:val="0"/>
                <w:sz w:val="18"/>
              </w:rPr>
              <w:t>结果可追溯</w:t>
            </w:r>
          </w:p>
        </w:tc>
        <w:tc>
          <w:tcPr>
            <w:tcW w:type="dxa" w:w="4968"/>
          </w:tcPr>
          <w:p>
            <w:r>
              <w:rPr>
                <w:rFonts w:ascii="宋体" w:hAnsi="宋体" w:eastAsia="宋体"/>
                <w:b w:val="0"/>
                <w:sz w:val="18"/>
              </w:rPr>
              <w:t>已核对500张初始、400张候选、100张选择和596张清洁集的结果目录；论文中的数量、覆盖指数和成功率均对应本地 report.json 或脚本输出。</w:t>
            </w:r>
          </w:p>
        </w:tc>
      </w:tr>
      <w:tr>
        <w:tc>
          <w:tcPr>
            <w:tcW w:type="dxa" w:w="4968"/>
          </w:tcPr>
          <w:p>
            <w:r>
              <w:rPr>
                <w:rFonts w:ascii="宋体" w:hAnsi="宋体" w:eastAsia="宋体"/>
                <w:b w:val="0"/>
                <w:sz w:val="18"/>
              </w:rPr>
              <w:t>指标边界</w:t>
            </w:r>
          </w:p>
        </w:tc>
        <w:tc>
          <w:tcPr>
            <w:tcW w:type="dxa" w:w="4968"/>
          </w:tcPr>
          <w:p>
            <w:r>
              <w:rPr>
                <w:rFonts w:ascii="宋体" w:hAnsi="宋体" w:eastAsia="宋体"/>
                <w:b w:val="0"/>
                <w:sz w:val="18"/>
              </w:rPr>
              <w:t>严格特征成功率仅表示JSON、字段、枚举和依赖规则通过；覆盖指数不是识别准确率；论文未把覆盖改善表述为模型性能提升。</w:t>
            </w:r>
          </w:p>
        </w:tc>
      </w:tr>
      <w:tr>
        <w:tc>
          <w:tcPr>
            <w:tcW w:type="dxa" w:w="4968"/>
          </w:tcPr>
          <w:p>
            <w:r>
              <w:rPr>
                <w:rFonts w:ascii="宋体" w:hAnsi="宋体" w:eastAsia="宋体"/>
                <w:b w:val="0"/>
                <w:sz w:val="18"/>
              </w:rPr>
              <w:t>协议冻结</w:t>
            </w:r>
          </w:p>
        </w:tc>
        <w:tc>
          <w:tcPr>
            <w:tcW w:type="dxa" w:w="4968"/>
          </w:tcPr>
          <w:p>
            <w:r>
              <w:rPr>
                <w:rFonts w:ascii="宋体" w:hAnsi="宋体" w:eastAsia="宋体"/>
                <w:b w:val="0"/>
                <w:sz w:val="18"/>
              </w:rPr>
              <w:t>dog_v3.1 schema、提示词、输入三视图和候选选择结果单独保存；v2和v3.1历史结果不覆盖。</w:t>
            </w:r>
          </w:p>
        </w:tc>
      </w:tr>
      <w:tr>
        <w:tc>
          <w:tcPr>
            <w:tcW w:type="dxa" w:w="4968"/>
          </w:tcPr>
          <w:p>
            <w:r>
              <w:rPr>
                <w:rFonts w:ascii="宋体" w:hAnsi="宋体" w:eastAsia="宋体"/>
                <w:b w:val="0"/>
                <w:sz w:val="18"/>
              </w:rPr>
              <w:t>人工验证</w:t>
            </w:r>
          </w:p>
        </w:tc>
        <w:tc>
          <w:tcPr>
            <w:tcW w:type="dxa" w:w="4968"/>
          </w:tcPr>
          <w:p>
            <w:r>
              <w:rPr>
                <w:rFonts w:ascii="宋体" w:hAnsi="宋体" w:eastAsia="宋体"/>
                <w:b w:val="0"/>
                <w:sz w:val="18"/>
              </w:rPr>
              <w:t>当前并非596张全部字段人工真值；论文明确说明人工抽查范围有限，后续应报告双人一致率和分歧裁决。</w:t>
            </w:r>
          </w:p>
        </w:tc>
      </w:tr>
      <w:tr>
        <w:tc>
          <w:tcPr>
            <w:tcW w:type="dxa" w:w="4968"/>
          </w:tcPr>
          <w:p>
            <w:r>
              <w:rPr>
                <w:rFonts w:ascii="宋体" w:hAnsi="宋体" w:eastAsia="宋体"/>
                <w:b w:val="0"/>
                <w:sz w:val="18"/>
              </w:rPr>
              <w:t>比较实验</w:t>
            </w:r>
          </w:p>
        </w:tc>
        <w:tc>
          <w:tcPr>
            <w:tcW w:type="dxa" w:w="4968"/>
          </w:tcPr>
          <w:p>
            <w:r>
              <w:rPr>
                <w:rFonts w:ascii="宋体" w:hAnsi="宋体" w:eastAsia="宋体"/>
                <w:b w:val="0"/>
                <w:sz w:val="18"/>
              </w:rPr>
              <w:t>当前尚未完成随机、分层随机和贪心选择对照；论文不得声称缺口驱动选择普遍优于其他策略。</w:t>
            </w:r>
          </w:p>
        </w:tc>
      </w:tr>
      <w:tr>
        <w:tc>
          <w:tcPr>
            <w:tcW w:type="dxa" w:w="4968"/>
          </w:tcPr>
          <w:p>
            <w:r>
              <w:rPr>
                <w:rFonts w:ascii="宋体" w:hAnsi="宋体" w:eastAsia="宋体"/>
                <w:b w:val="0"/>
                <w:sz w:val="18"/>
              </w:rPr>
              <w:t>识别实验</w:t>
            </w:r>
          </w:p>
        </w:tc>
        <w:tc>
          <w:tcPr>
            <w:tcW w:type="dxa" w:w="4968"/>
          </w:tcPr>
          <w:p>
            <w:r>
              <w:rPr>
                <w:rFonts w:ascii="宋体" w:hAnsi="宋体" w:eastAsia="宋体"/>
                <w:b w:val="0"/>
                <w:sz w:val="18"/>
              </w:rPr>
              <w:t>新增100张未运行独立分类VLM；论文不报告596张整体识别率，也不声称补图提升分类性能。</w:t>
            </w:r>
          </w:p>
        </w:tc>
      </w:tr>
      <w:tr>
        <w:tc>
          <w:tcPr>
            <w:tcW w:type="dxa" w:w="4968"/>
          </w:tcPr>
          <w:p>
            <w:r>
              <w:rPr>
                <w:rFonts w:ascii="宋体" w:hAnsi="宋体" w:eastAsia="宋体"/>
                <w:b w:val="0"/>
                <w:sz w:val="18"/>
              </w:rPr>
              <w:t>泛化边界</w:t>
            </w:r>
          </w:p>
        </w:tc>
        <w:tc>
          <w:tcPr>
            <w:tcW w:type="dxa" w:w="4968"/>
          </w:tcPr>
          <w:p>
            <w:r>
              <w:rPr>
                <w:rFonts w:ascii="宋体" w:hAnsi="宋体" w:eastAsia="宋体"/>
                <w:b w:val="0"/>
                <w:sz w:val="18"/>
              </w:rPr>
              <w:t>证据仅来自COCO dog案例，不能推断跨类别泛化。</w:t>
            </w:r>
          </w:p>
        </w:tc>
      </w:tr>
      <w:tr>
        <w:tc>
          <w:tcPr>
            <w:tcW w:type="dxa" w:w="4968"/>
          </w:tcPr>
          <w:p>
            <w:r>
              <w:rPr>
                <w:rFonts w:ascii="宋体" w:hAnsi="宋体" w:eastAsia="宋体"/>
                <w:b w:val="0"/>
                <w:sz w:val="18"/>
              </w:rPr>
              <w:t>数据许可</w:t>
            </w:r>
          </w:p>
        </w:tc>
        <w:tc>
          <w:tcPr>
            <w:tcW w:type="dxa" w:w="4968"/>
          </w:tcPr>
          <w:p>
            <w:r>
              <w:rPr>
                <w:rFonts w:ascii="宋体" w:hAnsi="宋体" w:eastAsia="宋体"/>
                <w:b w:val="0"/>
                <w:sz w:val="18"/>
              </w:rPr>
              <w:t>正式投稿前核对COCO原始图片的使用和再分发条款。</w:t>
            </w:r>
          </w:p>
        </w:tc>
      </w:tr>
      <w:tr>
        <w:tc>
          <w:tcPr>
            <w:tcW w:type="dxa" w:w="4968"/>
          </w:tcPr>
          <w:p>
            <w:r>
              <w:rPr>
                <w:rFonts w:ascii="宋体" w:hAnsi="宋体" w:eastAsia="宋体"/>
                <w:b w:val="0"/>
                <w:sz w:val="18"/>
              </w:rPr>
              <w:t>引用核验</w:t>
            </w:r>
          </w:p>
        </w:tc>
        <w:tc>
          <w:tcPr>
            <w:tcW w:type="dxa" w:w="4968"/>
          </w:tcPr>
          <w:p>
            <w:r>
              <w:rPr>
                <w:rFonts w:ascii="宋体" w:hAnsi="宋体" w:eastAsia="宋体"/>
                <w:b w:val="0"/>
                <w:sz w:val="18"/>
              </w:rPr>
              <w:t>相关工作引用已链接到Visual Genome、Active Covering、TALISMAN和SELECT的论文或正式出版页面；投稿前按目标期刊格式补齐BibTeX和访问日期。</w:t>
            </w:r>
          </w:p>
        </w:tc>
      </w:tr>
    </w:tbl>
    <w:p>
      <w:r>
        <w:t>文档状态：阶段性论文初稿，适合内部评审和实验记录归档；完成对照实验、人工一致性和独立分类验证后再形成投稿终稿。</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