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面向视觉状态覆盖的犬类图像数据集构建与缺口驱动补图</w:t>
      </w:r>
    </w:p>
    <w:p>
      <w:r>
        <w:rPr>
          <w:rFonts w:ascii="宋体" w:hAnsi="宋体" w:eastAsia="宋体"/>
          <w:b w:val="0"/>
          <w:sz w:val="21"/>
        </w:rPr>
        <w:t>阶段性论文初稿（dog v3.1）</w:t>
      </w:r>
    </w:p>
    <w:p>
      <w:pPr>
        <w:pStyle w:val="Heading1"/>
      </w:pPr>
      <w:r>
        <w:t>摘要</w:t>
      </w:r>
    </w:p>
    <w:p>
      <w:r>
        <w:rPr>
          <w:rFonts w:ascii="宋体" w:hAnsi="宋体" w:eastAsia="宋体"/>
          <w:b w:val="0"/>
          <w:sz w:val="21"/>
        </w:rPr>
        <w:t>现有目标检测数据集通常以类别数量、检测框和总体规模描述数据质量，难以回答一个类别内部是否覆盖了足够丰富的视觉状态。本文提出一套面向视觉状态覆盖的数据集构建流程：首先使用 COCO 犬类图像和程序固定的 A 目标，利用本地视觉语言模型（VLM）输出有限枚举的犬类视觉特征；随后通过严格的 JSON、枚举、多选数组和字段依赖校验，统计每个视觉状态的分布；最后根据低频状态从候选池中选择补图，并冻结清洁版本。我们在500张初始犬类图片和400张候选图片上运行 dogv3.1 协议，900张特征响应均通过严格格式校验。基于45个低频状态，选择100张候选图片后，清洁596张数据集的状态覆盖指数由78.64%提高到84.17%，提升5.53个百分点。该结果支持“缺口驱动选择可以改善当前候选池内的特征状态覆盖”，但不等同于识别准确率提升，也不证明对其他类别具有泛化性。</w:t>
      </w:r>
    </w:p>
    <w:p>
      <w:r>
        <w:rPr>
          <w:rFonts w:ascii="宋体" w:hAnsi="宋体" w:eastAsia="宋体"/>
          <w:b w:val="0"/>
          <w:sz w:val="21"/>
        </w:rPr>
        <w:t>关键词： 数据集构建；数据策展；视觉语言模型；属性标注；长尾状态；主动覆盖；犬类视觉</w:t>
      </w:r>
    </w:p>
    <w:p>
      <w:pPr>
        <w:pStyle w:val="Heading1"/>
      </w:pPr>
      <w:r>
        <w:t>1 引言</w:t>
      </w:r>
    </w:p>
    <w:p>
      <w:r>
        <w:rPr>
          <w:rFonts w:ascii="宋体" w:hAnsi="宋体" w:eastAsia="宋体"/>
          <w:b w:val="0"/>
          <w:sz w:val="21"/>
        </w:rPr>
        <w:t>COCO 为犬类目标提供了类别和边界框，但同一类别内部仍可能存在颜色、毛发、姿态、朝向、遮挡和场景等长尾状态。仅统计“dog”类别的图片数量，无法判断这些状态是否被充分覆盖。Visual Genome 已经证明，区域级对象、属性和关系可以作为结构化视觉数据的一等标注对象Visual Genome（https://link.springer.com/article/10.1007/s11263-016-0981-7）。另一方面，数据子集选择和主动覆盖研究表明，coverage、diversity 和稀有切片可以用于数据获取Learning From Less Data（https://arxiv.org/abs/1901.01151）；Active Covering 将覆盖目标形式化为查询策略Active Covering（https://proceedings.mlr.press/v139/jiang21i.html），TALISMAN 则针对稀有数据切片进行目标化采样TALISMAN（https://www.ecva.net/papers/eccv2022/papersECCV/html/4820ECCV2022paper.php）。SELECT 进一步表明，数据策展策略本身需要在统一预算和基线下比较SELECT（https://proceedings.neurips.cc/paperfiles/paper/2024/hash/f6de5ed486b1802874fe9c70b50277e4-Abstract.html）。</w:t>
      </w:r>
    </w:p>
    <w:p>
      <w:r>
        <w:rPr>
          <w:rFonts w:ascii="宋体" w:hAnsi="宋体" w:eastAsia="宋体"/>
          <w:b w:val="0"/>
          <w:sz w:val="21"/>
        </w:rPr>
        <w:t>本文关注一个更具体的数据构建问题：在固定类别、固定目标和固定补图预算下，如何使用 VLM 生成的结构化视觉状态发现数据缺口，并从候选池中选择互补图片。本文的贡献是一个可审计的工程—评价闭环，而不是新的视觉编码器或主动学习理论。</w:t>
      </w:r>
    </w:p>
    <w:p>
      <w:r>
        <w:rPr>
          <w:rFonts w:ascii="宋体" w:hAnsi="宋体" w:eastAsia="宋体"/>
          <w:b w:val="0"/>
          <w:sz w:val="21"/>
        </w:rPr>
        <w:t>本文贡献如下：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定义了一个固定目标、三视图输入和23项有限枚举特征的 dogv3.1 协议；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实现了包含原始响应、严格校验、unknown/非法值分离、哈希和版本冻结的数据流水线；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提出以低频视觉状态为目标的候选选择流程，并在犬类案例中报告补图前后的状态覆盖变化；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明确区分覆盖指数、格式成功率与识别性能，给出当前证据边界和未完成验证。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结构化视觉属性标注</w:t>
      </w:r>
    </w:p>
    <w:p>
      <w:r>
        <w:rPr>
          <w:rFonts w:ascii="宋体" w:hAnsi="宋体" w:eastAsia="宋体"/>
          <w:b w:val="0"/>
          <w:sz w:val="21"/>
        </w:rPr>
        <w:t>Visual Genome 收集对象、属性、关系和区域描述，并将视觉概念绑定到图像区域，为结构化场景理解提供数据基础Visual Genome（https://link.springer.com/article/10.1007/s11263-016-0981-7）。本文沿用“对象属性需要显式结构化”的思想，但将对象范围固定为一个 COCO dog A 目标，并把属性集合冻结为有限枚举，以支持状态计数和缺口分析。</w:t>
      </w:r>
    </w:p>
    <w:p>
      <w:pPr>
        <w:pStyle w:val="Heading2"/>
      </w:pPr>
      <w:r>
        <w:t>2.2 数据子集选择与稀有切片</w:t>
      </w:r>
    </w:p>
    <w:p>
      <w:r>
        <w:rPr>
          <w:rFonts w:ascii="宋体" w:hAnsi="宋体" w:eastAsia="宋体"/>
          <w:b w:val="0"/>
          <w:sz w:val="21"/>
        </w:rPr>
        <w:t>已有数据子集选择方法使用多样性、覆盖和代表性减少冗余Learning From Less Data（https://arxiv.org/abs/1901.01151）。Active Covering 研究在未标注池中选择查询样本以覆盖正例Active Covering（https://proceedings.mlr.press/v139/jiang21i.html）。TALISMAN 专门针对稀有类别或稀有切片，并使用区域特征进行目标化获取TALISMAN（https://www.ecva.net/papers/eccv2022/papersECCV/html/4820ECCV2022paper.php）。本文的差异在于：选择目标不是类别正例、嵌入空间多样性或检测不确定性，而是 VLM 特征字典中的低频状态。</w:t>
      </w:r>
    </w:p>
    <w:p>
      <w:pPr>
        <w:pStyle w:val="Heading2"/>
      </w:pPr>
      <w:r>
        <w:t>2.3 数据策展基准</w:t>
      </w:r>
    </w:p>
    <w:p>
      <w:r>
        <w:rPr>
          <w:rFonts w:ascii="宋体" w:hAnsi="宋体" w:eastAsia="宋体"/>
          <w:b w:val="0"/>
          <w:sz w:val="21"/>
        </w:rPr>
        <w:t>SELECT 系统比较多种图像数据策展策略，并强调需要统一预算和可比较基线SELECT（https://proceedings.neurips.cc/paperfiles/paper/2024/hash/f6de5ed486b1802874fe9c70b50277e4-Abstract.html）。本文当前实验只展示了一个缺口驱动策略及其案例结果，尚未完成随机、分层随机和贪心方法的公平对照，因此不声称该选择策略普遍优于其他策展方法。</w:t>
      </w:r>
    </w:p>
    <w:p>
      <w:pPr>
        <w:pStyle w:val="Heading1"/>
      </w:pPr>
      <w:r>
        <w:t>3 方法</w:t>
      </w:r>
    </w:p>
    <w:p>
      <w:pPr>
        <w:pStyle w:val="Heading2"/>
      </w:pPr>
      <w:r>
        <w:t>3.1 问题定义</w:t>
      </w:r>
    </w:p>
    <w:p>
      <w:r>
        <w:rPr>
          <w:rFonts w:ascii="宋体" w:hAnsi="宋体" w:eastAsia="宋体"/>
          <w:b w:val="0"/>
          <w:sz w:val="21"/>
        </w:rPr>
        <w:t>设初始数据集为 $D0$，候选池为 $C$，每张图片由 COCO 标注固定一个目标实例 $A$。对每个目标输出23项特征 $f=(f1,ldots,f{23})$。对特征 $j$ 的状态 $s$，记计数为 $n{j,s}$。本文的覆盖指数定义为：</w:t>
      </w:r>
    </w:p>
    <w:p>
      <w:r>
        <w:rPr>
          <w:rFonts w:ascii="宋体" w:hAnsi="宋体" w:eastAsia="宋体"/>
          <w:b w:val="0"/>
          <w:sz w:val="21"/>
        </w:rPr>
        <w:t>$$</w:t>
      </w:r>
    </w:p>
    <w:p>
      <w:r>
        <w:rPr>
          <w:rFonts w:ascii="宋体" w:hAnsi="宋体" w:eastAsia="宋体"/>
          <w:b w:val="0"/>
          <w:sz w:val="21"/>
        </w:rPr>
        <w:t>I(D)=\frac{1}{|\mathcal S|}\sum{(j,s)\in\mathcal S}\min\left(\frac{n{j,s}}{30},1\right),</w:t>
      </w:r>
    </w:p>
    <w:p>
      <w:r>
        <w:rPr>
          <w:rFonts w:ascii="宋体" w:hAnsi="宋体" w:eastAsia="宋体"/>
          <w:b w:val="0"/>
          <w:sz w:val="21"/>
        </w:rPr>
        <w:t>$$</w:t>
      </w:r>
    </w:p>
    <w:p>
      <w:r>
        <w:rPr>
          <w:rFonts w:ascii="宋体" w:hAnsi="宋体" w:eastAsia="宋体"/>
          <w:b w:val="0"/>
          <w:sz w:val="21"/>
        </w:rPr>
        <w:t>其中 $\mathcal S$ 排除 unknown 和 other 状态。状态数量少于10、10至29和至少30分别记为 sparse、weak 和 covered；数量为0记为 missing。</w:t>
      </w:r>
    </w:p>
    <w:p>
      <w:pPr>
        <w:pStyle w:val="Heading2"/>
      </w:pPr>
      <w:r>
        <w:t>3.2 固定目标与三视图输入</w:t>
      </w:r>
    </w:p>
    <w:p>
      <w:r>
        <w:rPr>
          <w:rFonts w:ascii="宋体" w:hAnsi="宋体" w:eastAsia="宋体"/>
          <w:b w:val="0"/>
          <w:sz w:val="21"/>
        </w:rPr>
        <w:t>每张图片由程序读取 COCO 标注，选择面积最大的 dog 框作为 A 目标。模型接收原图、A框标记图和未标记裁剪放大图。目标框、面积比例、中心位置和边界截断由程序计算，模型不负责重新选择目标。</w:t>
      </w:r>
    </w:p>
    <w:p>
      <w:pPr>
        <w:pStyle w:val="Heading2"/>
      </w:pPr>
      <w:r>
        <w:t>3.3 dogv3.1 特征协议</w:t>
      </w:r>
    </w:p>
    <w:p>
      <w:r>
        <w:rPr>
          <w:rFonts w:ascii="宋体" w:hAnsi="宋体" w:eastAsia="宋体"/>
          <w:b w:val="0"/>
          <w:sz w:val="21"/>
        </w:rPr>
        <w:t>特征分为五组：毛发3项、头部和面部8项、身体6项、遮挡与截断5项、场景1项。特征包含毛发颜色/图案/质地，头部、耳朵、口鼻、嘴部、眼睛、舌头和头部朝向，身体外形/朝向/腿部可见数量/尾巴/姿态动作，遮挡与截断程度及部位，犬体可识别性和场景。</w:t>
      </w:r>
    </w:p>
    <w:p>
      <w:r>
        <w:rPr>
          <w:rFonts w:ascii="宋体" w:hAnsi="宋体" w:eastAsia="宋体"/>
          <w:b w:val="0"/>
          <w:sz w:val="21"/>
        </w:rPr>
        <w:t>眼睛状态取值包括双眼睁开、双眼闭合、单眼睁开、单眼闭合、状态不一致、不可见和未知。尾巴不可观察时，尾巴姿态必须为未知。遮挡部位和截断部位是互斥约束的数组。姿态动作状态只输出一个值，并使用预先冻结的动作优先级。</w:t>
      </w:r>
    </w:p>
    <w:p>
      <w:pPr>
        <w:pStyle w:val="Heading2"/>
      </w:pPr>
      <w:r>
        <w:t>3.4 严格校验与版本治理</w:t>
      </w:r>
    </w:p>
    <w:p>
      <w:r>
        <w:rPr>
          <w:rFonts w:ascii="宋体" w:hAnsi="宋体" w:eastAsia="宋体"/>
          <w:b w:val="0"/>
          <w:sz w:val="21"/>
        </w:rPr>
        <w:t>模型响应必须满足 schema、字段完整性、枚举值、多选数组、证据一一对应、目标ID和依赖规则。非法枚举不会自动转换为 unknown；程序保留原始响应并将该图片标记为失败。dogv3.1 是独立协议，不能与 v2 结果无条件混合。</w:t>
      </w:r>
    </w:p>
    <w:p>
      <w:pPr>
        <w:pStyle w:val="Heading2"/>
      </w:pPr>
      <w:r>
        <w:t>3.5 缺口驱动候选选择</w:t>
      </w:r>
    </w:p>
    <w:p>
      <w:r>
        <w:rPr>
          <w:rFonts w:ascii="宋体" w:hAnsi="宋体" w:eastAsia="宋体"/>
          <w:b w:val="0"/>
          <w:sz w:val="21"/>
        </w:rPr>
        <w:t>首先在 $D0$ 上计算缺口。对候选图片，根据其可覆盖的低频状态计算贡献分数，在固定100张预算下选择图片，并保持 tinytarget、smalltarget、multipledogs、boundarytarget、personcooccurrence 五类分层每类15至30张。已知非真实犬表现形式从正式清洁集排除。</w:t>
      </w:r>
    </w:p>
    <w:p>
      <w:pPr>
        <w:pStyle w:val="Heading1"/>
      </w:pPr>
      <w:r>
        <w:t>4 实验设置</w:t>
      </w:r>
    </w:p>
    <w:p>
      <w:pPr>
        <w:pStyle w:val="Heading2"/>
      </w:pPr>
      <w:r>
        <w:t>4.1 数据和实现</w:t>
      </w:r>
    </w:p>
    <w:p>
      <w:r>
        <w:rPr>
          <w:rFonts w:ascii="宋体" w:hAnsi="宋体" w:eastAsia="宋体"/>
          <w:b w:val="0"/>
          <w:sz w:val="21"/>
        </w:rPr>
        <w:t>初始集来自 COCO dog500，候选池为独立的400张候选图片。模型为本地 qwen3-vl:30b-a3b-instruct，通过 Ollama API、GPU后台运行，温度为0，上下文长度为8192，最大输出长度为2200。三种输入图像处理协议在两批数据中保持一致。</w:t>
      </w:r>
    </w:p>
    <w:p>
      <w:pPr>
        <w:pStyle w:val="Heading2"/>
      </w:pPr>
      <w:r>
        <w:t>4.2 评价指标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严格特征成功率： featurestatus=ok 的图片数除以图片总数；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覆盖指数： 上述状态覆盖公式；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unknown率： 某字段 unknown 数除以图片数；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缺口数： 未达到预设状态目标的状态数。</w:t>
      </w:r>
    </w:p>
    <w:p>
      <w:r>
        <w:rPr>
          <w:rFonts w:ascii="宋体" w:hAnsi="宋体" w:eastAsia="宋体"/>
          <w:b w:val="0"/>
          <w:sz w:val="21"/>
        </w:rPr>
        <w:t>严格特征成功率是格式和协议指标，不是识别准确率。本文没有将新增补图的独立分类结果纳入评价。</w:t>
      </w:r>
    </w:p>
    <w:p>
      <w:pPr>
        <w:pStyle w:val="Heading1"/>
      </w:pPr>
      <w:r>
        <w:t>5 实验结果</w:t>
      </w:r>
    </w:p>
    <w:p>
      <w:pPr>
        <w:pStyle w:val="Heading2"/>
      </w:pPr>
      <w:r>
        <w:t>5.1 v3.1标注成功率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数据集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图片数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严格成功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失败</w:t>
            </w:r>
          </w:p>
        </w:tc>
        <w:tc>
          <w:tcPr>
            <w:tcW w:type="dxa" w:w="1987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严格成功率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初始数据集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候选池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v3.1 初始23张格式失败在规则和提示词修订后重新运行，最终全部通过。该结果证明协议在当前模型、输入和数据范围内可执行，不证明所有特征值都是真实标签。</w:t>
      </w:r>
    </w:p>
    <w:p>
      <w:pPr>
        <w:pStyle w:val="Heading2"/>
      </w:pPr>
      <w:r>
        <w:t>5.2 缺口与补图</w:t>
      </w:r>
    </w:p>
    <w:p>
      <w:r>
        <w:rPr>
          <w:rFonts w:ascii="宋体" w:hAnsi="宋体" w:eastAsia="宋体"/>
          <w:b w:val="0"/>
          <w:sz w:val="21"/>
        </w:rPr>
        <w:t>500张初始集包含123个可评价状态，覆盖指数为78.64%，其中45个状态低于30张：9个缺失、10个稀疏、26个偏少。400张候选池中排除4张已知非真实犬后得到396张有效候选，按缺口贡献和分层约束选择100张。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初始500张</w:t>
            </w:r>
          </w:p>
        </w:tc>
        <w:tc>
          <w:tcPr>
            <w:tcW w:type="dxa" w:w="3312"/>
            <w:shd w:fill="D9EAF2"/>
          </w:tcPr>
          <w:p>
            <w:r>
              <w:rPr>
                <w:rFonts w:ascii="宋体" w:hAnsi="宋体" w:eastAsia="宋体"/>
                <w:b/>
                <w:sz w:val="18"/>
              </w:rPr>
              <w:t>补图后清洁596张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图片数量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596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严格特征成功率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覆盖指数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78.64%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84.17%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低频状态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完全缺失状态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稀疏状态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偏少状态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</w:tr>
    </w:tbl>
    <w:p/>
    <w:p>
      <w:r>
        <w:rPr>
          <w:rFonts w:ascii="宋体" w:hAnsi="宋体" w:eastAsia="宋体"/>
          <w:b w:val="0"/>
          <w:sz w:val="21"/>
        </w:rPr>
        <w:t>补图使覆盖指数提高5.53个百分点，关闭14个低频状态。剩余33个状态在当前候选池和预算下未达到目标，包含红色毛发、条纹或花斑图案、混合眼睛状态、夹尾、吠叫、多场景等长尾状态。</w:t>
      </w:r>
    </w:p>
    <w:p>
      <w:pPr>
        <w:pStyle w:val="Heading2"/>
      </w:pPr>
      <w:r>
        <w:t>5.3 场景扩展结果</w:t>
      </w:r>
    </w:p>
    <w:p>
      <w:r>
        <w:rPr>
          <w:rFonts w:ascii="宋体" w:hAnsi="宋体" w:eastAsia="宋体"/>
          <w:b w:val="0"/>
          <w:sz w:val="21"/>
        </w:rPr>
        <w:t>v3.1 将场景细分为 indoorother、outdoorother 和 outdoorwater，避免把明确的室外水域或一般室外场景混为不确定。初始500张中，outdoorother 为53张、indoorother 为47张、outdoorwater 为36张。这些值表示已知场景但无法归入更具体类别，不等同于 unknown。</w:t>
      </w:r>
    </w:p>
    <w:p>
      <w:pPr>
        <w:pStyle w:val="Heading1"/>
      </w:pPr>
      <w:r>
        <w:t>6 讨论</w:t>
      </w:r>
    </w:p>
    <w:p>
      <w:r>
        <w:rPr>
          <w:rFonts w:ascii="宋体" w:hAnsi="宋体" w:eastAsia="宋体"/>
          <w:b w:val="0"/>
          <w:sz w:val="21"/>
        </w:rPr>
        <w:t>结果支持一个有限结论：在固定犬类数据、固定 v3.1 特征字典和当前400张候选池内，缺口驱动选择能够提高视觉状态覆盖。该结论与已有覆盖和稀有切片选择工作的方向一致，但本文尚未通过随机基线证明选择策略的相对优势。</w:t>
      </w:r>
    </w:p>
    <w:p>
      <w:r>
        <w:rPr>
          <w:rFonts w:ascii="宋体" w:hAnsi="宋体" w:eastAsia="宋体"/>
          <w:b w:val="0"/>
          <w:sz w:val="21"/>
        </w:rPr>
        <w:t>覆盖指数的提升不能解释为 dog 识别率提升。当前实验未对新增100张运行独立分类VLM，也没有训练同一识别模型比较补图前后的性能。因此，本文把补图结果定位为数据覆盖改善，而不是模型性能改善。</w:t>
      </w:r>
    </w:p>
    <w:p>
      <w:pPr>
        <w:pStyle w:val="Heading1"/>
      </w:pPr>
      <w:r>
        <w:t>7 局限性与可复现性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23项特征由本地VLM产生，人工审核只覆盖部分样本和部分字段，不能视为全量人工真值；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tailposture、mouthstate 和 tonguevisibility 的 unknown率受可见性影响，unknown不一定表示模型失败；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选择算法只在一个候选池和一个预算下测试，尚未与随机、分层随机和其他贪心方法比较；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500张初始数据参与了字段和缺口设计，不能将其原始 validation 划分描述为完全未使用的独立测试集；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当前案例只有 dog，不能据此证明跨类别泛化；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COCO原图的许可和再分发边界需要按照数据集原始条款单独核对。</w:t>
      </w:r>
    </w:p>
    <w:p>
      <w:r>
        <w:rPr>
          <w:rFonts w:ascii="宋体" w:hAnsi="宋体" w:eastAsia="宋体"/>
          <w:b w:val="0"/>
          <w:sz w:val="21"/>
        </w:rPr>
        <w:t>代码、schema、提示词和结果目录已保存在项目中：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configs/dogfeatureschemav31.json；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prompts/dogfeatureannotationv31.txt；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artifacts/dog500featuresv3120260913；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artifacts/dogcandidate400featuresv3120260913；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artifacts/dogv31supplementselection20260913；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artifacts/dogv31combinedsupplement20260913final。</w:t>
      </w:r>
    </w:p>
    <w:p>
      <w:r>
        <w:rPr>
          <w:rFonts w:ascii="宋体" w:hAnsi="宋体" w:eastAsia="宋体"/>
          <w:b w:val="0"/>
          <w:sz w:val="21"/>
        </w:rPr>
        <w:t>整体流程图见：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v3_1_workflow_zh_polis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犬类 v3.1 特征覆盖驱动数据集构建流程</w:t>
      </w:r>
    </w:p>
    <w:p>
      <w:pPr>
        <w:pStyle w:val="Heading1"/>
      </w:pPr>
      <w:r>
        <w:t>8 结论</w:t>
      </w:r>
    </w:p>
    <w:p>
      <w:r>
        <w:rPr>
          <w:rFonts w:ascii="宋体" w:hAnsi="宋体" w:eastAsia="宋体"/>
          <w:b w:val="0"/>
          <w:sz w:val="21"/>
        </w:rPr>
        <w:t>本文构建了一个面向视觉状态覆盖的犬类图像数据集流程。通过固定A目标、三视图VLM输入、23项有限枚举特征、严格校验和缺口驱动选图，900张图片均产生了通过协议校验的 v3.1 特征响应。选择100张补图后，清洁596张数据集的覆盖指数从78.64%提升到84.17%。</w:t>
      </w:r>
    </w:p>
    <w:p>
      <w:r>
        <w:rPr>
          <w:rFonts w:ascii="宋体" w:hAnsi="宋体" w:eastAsia="宋体"/>
          <w:b w:val="0"/>
          <w:sz w:val="21"/>
        </w:rPr>
        <w:t>该结果表明，缺口驱动补图可以作为犬类数据集构建中的可审计步骤。当前证据仍限于覆盖改善，尚不足以支持识别性能提升、全量标签正确或跨类别泛化等更强结论。下一步应进行随机策展对照、双人一致性评估和新增图片的独立分类验证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Krishna, R. et al. Visual Genome: Connecting Language and Vision Using Crowdsourced Dense Image Annotations. International Journal of Computer Vision, 2017. 论文链接（https://link.springer.com/article/10.1007/s11263-016-0981-7）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Kaushal, V. et al. Learning From Less Data: A Unified Data Subset Selection and Active Learning Framework for Computer Vision. arXiv:1901.01151, 2019. 论文链接（https://arxiv.org/abs/1901.01151）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Jiang, H. and Rostamizadeh, A. Active Covering. ICML, PMLR 139, 2021. 论文链接（https://proceedings.mlr.press/v139/jiang21i.html）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Kothawade, S. et al. TALISMAN: Targeted Active Learning for Object Detection with Rare Classes and Slices Using Submodular Mutual Information. ECCV, 2022. 论文链接（https://www.ecva.net/papers/eccv2022/papersECCV/html/4820ECCV2022paper.php）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Feuer, B. et al. SELECT: A Large-Scale Benchmark of Data Curation Strategies for Image Classification. NeurIPS 2024 Datasets and Benchmarks Track. 论文链接（https://proceedings.neurips.cc/paperfiles/paper/2024/hash/f6de5ed486b1802874fe9c70b50277e4-Abstract.html）</w:t>
      </w:r>
    </w:p>
    <w:p>
      <w:pPr>
        <w:pStyle w:val="Heading1"/>
      </w:pPr>
      <w:r>
        <w:t>严格验证与投稿前检查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2"/>
          </w:tcPr>
          <w:p>
            <w:r>
              <w:t>检查项</w:t>
            </w:r>
          </w:p>
        </w:tc>
        <w:tc>
          <w:tcPr>
            <w:tcW w:type="dxa" w:w="4968"/>
            <w:shd w:fill="D9EAF2"/>
          </w:tcPr>
          <w:p>
            <w:r>
              <w:t>当前结论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结果可追溯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已核对500张初始、400张候选、100张选择和596张清洁集的结果目录；论文中的数量、覆盖指数和成功率均对应本地 report.json 或脚本输出。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指标边界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严格特征成功率仅表示JSON、字段、枚举和依赖规则通过；覆盖指数不是识别准确率；论文未把覆盖改善表述为模型性能提升。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协议冻结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dog_v3.1 schema、提示词、输入三视图和候选选择结果单独保存；v2和v3.1历史结果不覆盖。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人工验证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当前并非596张全部字段人工真值；论文明确说明人工抽查范围有限，后续应报告双人一致率和分歧裁决。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比较实验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当前尚未完成随机、分层随机和贪心选择对照；论文不得声称缺口驱动选择普遍优于其他策略。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识别实验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新增100张未运行独立分类VLM；论文不报告596张整体识别率，也不声称补图提升分类性能。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泛化边界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证据仅来自COCO dog案例，不能推断跨类别泛化。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数据许可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正式投稿前核对COCO原始图片的使用和再分发条款。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引用核验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相关工作引用已链接到Visual Genome、Active Covering、TALISMAN和SELECT的论文或正式出版页面；投稿前按目标期刊格式补齐BibTeX和访问日期。</w:t>
            </w:r>
          </w:p>
        </w:tc>
      </w:tr>
    </w:tbl>
    <w:p>
      <w:r>
        <w:t>文档状态：阶段性论文初稿，适合内部评审和实验记录归档；完成对照实验、人工一致性和独立分类验证后再形成投稿终稿。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