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优点：视觉状态测试与条件诊断的实证成果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最新版：2026年10月7日，修订版v2。与同版《局限性》和中英文论文配套；包含连续面积对照、面积层内诊断、真实输入案例及独立复算的最新结果。</w:t>
      </w:r>
    </w:p>
    <w:p>
      <w:pPr>
        <w:pStyle w:val="Heading1"/>
      </w:pPr>
      <w:r>
        <w:t>1 核心成果与研究定位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研究已经从最初的dog实例，发展为六类别、八架构、三训练种子的固定模型测试研究。它将一个总体分类分数展开为风险层表现、条件Recall、测试构成响应和失败广度，使测试者能看到模型在什么条件下更容易出错，以及哪些薄弱条件值得在新数据中继续测试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最新结果使这一用途更加明确：自动状态报告具有条件诊断价值；只想制造高低层性能落差时，目标大小这个便宜元数据也很有效。因而研究重点应放在条件报告及复用诊断，而非把端点落差作为VLM必要性或Coverage全面优越的证明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 当前有证据支持的五项优点。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928"/>
        <w:gridCol w:w="3572"/>
        <w:gridCol w:w="357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优点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最新证据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对测试工作的作用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风险组织具有经验区分度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六设置Q1−Q5平均F1差14.44—41.80个百分点，超过随机划层波动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揭示总体指标掩盖的条件差异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风险构成响应可测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固定120目标及类别比例，21个真实比例点；F1终点下降12.29—34.77个百分点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说明测试构成如何改变测得能力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冻结条件可在支持充分的新来源确认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COCO与Objects365保留多数薄弱条件方向；VOC支持较少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给出可复用的进一步测试需求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粗尺度调整后仍有条件信息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B中119个可评价非尺度组合有109个负差，D中122个有111个负差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提供目标大小之外的描述性诊断关联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缓存分析可以独立复算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八张新增表、60项历史比较核对一致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便于审查结论、指标与样本的对应关系</w:t>
            </w:r>
          </w:p>
        </w:tc>
      </w:tr>
    </w:tbl>
    <w:p>
      <w:pPr>
        <w:spacing w:after="40" w:line="120" w:lineRule="auto"/>
      </w:pPr>
    </w:p>
    <w:p>
      <w:pPr>
        <w:pStyle w:val="Heading1"/>
      </w:pPr>
      <w:r>
        <w:t>2 优点一：揭示整体分数无法表达的能力差异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六类是dog、cat、horse、sheep、person和car。person指人体对象，不是人脸识别。每个样本使用固定官方框派生的目标区域，分类真值来自数据集；VLM只用于自动状态描述。八架构各有三个种子，共24个冻结分类器，改变状态来源和测试成员时模型权重不变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三个确认池合计5400目标：B/COCO为2400、C/VOC2007为600、D/Objects365为2400，各池六类等量。每类按五维规则分为五个等量层，Q1、Q5分别是类别内相对低、高风险。Macro-F1是六个类别F1的等权平均。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表2 完整风险分层与随机分层对照。G=Q1−Q5 Macro-F1，单位为百分点。随机范围按Q5−Q1给出，表示有限池分组波动。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完整G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随机Q5−Q1的95%范围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六项Holm p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B/COCO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25.50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[−3.24, +3.22]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B/COCO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[−3.24, +3.22]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C/VOC2007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16.57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[−5.61, +5.76]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C/VOC2007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14.44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[−5.61, +5.76]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D/Objects365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41.80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[−4.24, +4.23]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D/Objects365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41.25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[−4.24, +4.23]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每个设置的24运行均出现Q5低于Q1。类别内随机划层每池重复10000次，均没有达到实际面板落差的绝对值。这支持冻结评分的经验区分度，不能据此推断所有有意义的替代分层都更弱。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84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isk_gap_vs_rand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4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图1 风险落差与随机划层直接对照。蓝色菱形为实际Q5−Q1，灰条为类别平衡随机划层的中央95%范围；共同坐标保留真实效应量。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读图重点是实际差与零附近随机范围的位置。论文中可以写：在所评估的固定模型及候选池中，预定义风险分层揭示了超过随机分组波动的条件表现差异。</w:t>
      </w:r>
    </w:p>
    <w:p>
      <w:pPr>
        <w:pStyle w:val="Heading1"/>
      </w:pPr>
      <w:r>
        <w:t>3 优点二：在固定测试预算下观察能力响应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风险混合实验固定120目标、每类20个；Q5占比从0%到100%，每5个百分点取一个真实点，21个比例各抽样1000次。0%从Q1—Q4取图，100%全部来自Q5，分类预测始终来自同一冻结缓存。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表3 固定预算的起点、终点与变化。F1为百分比，差值与配对抽样范围为百分点。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0% Q5 F1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100% Q5 F1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终点−起点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95%配对抽样范围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90.18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−20.78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[−27.06, −14.21]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89.34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72.72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[−22.82, −10.45]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91.80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75.88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−15.92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[−18.76, −13.05]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91.07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78.78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−12.29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[−15.23, −8.98]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79.81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45.04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−34.77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[−42.12, −27.58]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79.33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47.49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−31.84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[−39.65, −24.08]</w:t>
            </w:r>
          </w:p>
        </w:tc>
      </w:tr>
    </w:tbl>
    <w:p>
      <w:pPr>
        <w:spacing w:after="40" w:line="1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50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sk_share_response_del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图2 固定预算下21个实际风险比例点的F1响应。纵轴为相对0%起点的变化，按来源池分面；标记稀疏显示，曲线没有制造新的观测点。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这一实验说明测试构成影响测得能力，模型参数并没有变差。类别比例已固定，有助于将结果解释为所抽取视觉条件的变化；它没有单独操纵覆盖率，也不要求每个类别、每段曲线严格单调。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模型比较也获得更具体的条件信息。ConvNeXt-Tiny和Swin-T在六个完整Q5设置，以及六设置乘21比例点的平均排名中保持前两位。该结果描述当前权重、训练配置和预处理下的表现；接近模型的真实分差与排名不确定性仍需一起阅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49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igh_risk_model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图3 八模型完整高风险层的F1与平均名次。每格为三种子均值，各列在同一测试集合内比较，使用统一色标。</w:t>
      </w:r>
    </w:p>
    <w:p>
      <w:pPr>
        <w:pStyle w:val="Heading1"/>
      </w:pPr>
      <w:r>
        <w:t>4 优点三：提供可复用的具体薄弱条件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研究没有只展示几张错误图，而是从发现池冻结175条状态—架构组合，在确认池继续检查支持量及Recall差。COCO支持153条、Objects365支持160条；不足支持的条件保持不可评价，不改用新的有利条件。VOC只有四条可评价，按其实际证据报告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例如COCO中ResNet-50的dog整体Recall为81.92%，自动标注的背向dog条件有46个目标，其Recall为57.25%，低24.67个百分点。这样的报告可以直接提出“继续独立测试背向dog”的需求。另一条件中的Recall高于类别平均也保留，避免把每条发现都写成成功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314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al_target_c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1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图4 真实目标、分类器实际输入和缓存预测。四个示例按既有条件与明确的结果筛选规则选择，前三例失败、第四例正确；自动状态没有被当作人工真值。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真实案例将“状态名称—实际输入—模型输出”连接起来，也提示中心裁剪会改变目标信息。这有助于测试者同时检查模型与预处理流程，而非仅凭状态标签推断架构缺陷根因。</w:t>
      </w:r>
    </w:p>
    <w:p>
      <w:pPr>
        <w:pStyle w:val="Heading1"/>
      </w:pPr>
      <w:r>
        <w:t>5 优点四：最新尺度对照让增量用途更清楚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只按连续官方框面积比排序的对照不需要VLM。其端点分离已经很强：完整评分相对面积的正增量均未通过六项Holm校正，Objects365中面积方案反而更强。这个结果限定了“为什么使用自动状态”：有用的部分主要是具体条件描述、支持量和可复用诊断，而非必然获得更大的端点落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le_only_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图5 完整风险与仅面积方案的比较。左图显示各自Q1−Q5差，右图直接显示完整减面积的增量与模型/种子bootstrap区间；校正结果见论文表5。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为进一步检查条件信息，沿用冻结假设、排除纯尺度条件后，在每类连续面积五分位层内比较状态与同字段已知非状态。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表4 粗尺度调整后的全部非尺度诊断汇总。平均差按可评价组合汇总，单位百分点，属于描述性结果。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冻结非尺度假设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可评价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平均Recall负差组合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平均调整Recall差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−13.84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−12.93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−30.38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−0.16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−18.65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−16.84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B中119个可评价组合有109个负差，D中122个有111个负差。结果支持许多自动条件在粗尺度构成调整后仍有诊断关联；组合互相重叠，不能当作109或111个独立缺陷，也不等于控制了所有连续面积和其他因素。</w:t>
      </w:r>
    </w:p>
    <w:p>
      <w:pPr>
        <w:pStyle w:val="Heading1"/>
      </w:pPr>
      <w:r>
        <w:t>6 优点五：结果留存已升级为独立缓存复算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新版材料包含三池目标清单、双VLM状态、全部24分类器logits/预测、风险部件、冻结成员与假设、完整提示词和枚举、基线参数、unknown及支持量表。图表与文字可以追溯到同一源表。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独立临时目录解压后运行两条公开在包内的命令，八张新增结果表全部一致，三池60项历史选样比较的效应均值、精确p及四类校正核对一致。完整风险和面积方案共1440个F1单元与直接scikit-learn聚合核对，包含720个历史完整风险层单元。正文218个保留与60个新增数值核对通过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这证明的是无需GPU、网络、原图或API密钥的缓存分析复算。原图获取、原始训练、历史VLM服务调用和完整表征聚类重建属于另一个复现层级，本包没有声称全部从零重跑。</w:t>
      </w:r>
    </w:p>
    <w:p>
      <w:pPr>
        <w:pStyle w:val="Heading1"/>
      </w:pPr>
      <w:r>
        <w:t>7 可直接用于论文与汇报的表述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推荐先展示风险与随机对照，再展示固定预算响应，然后展示具体状态案例与面积对照，最后说明复算入口。这样读者可以依次判断：是否区分了表现、测试构成如何影响评分、状态报告增加什么信息、证据如何复查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可用总结：在所研究的六分类、24冻结分类器和三个确认池中，自动视觉状态协议组织了超过随机分组波动的性能差异，并在支持充分的新来源提供可复用的薄弱条件。许多非尺度条件在粗面积分层调整后保留Recall负差。连续面积本身也能形成明显区分，因此自动状态的主要用途是条件描述与诊断报告，而非普遍最强的风险排序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这是一项测试协议与实证诊断成果，不以F1提高、所有标签准确或Coverage全面胜出为前提。当前优点与局限性是同一组证据的不同侧面，应共同保留。</w:t>
      </w:r>
    </w:p>
    <w:p>
      <w:pPr>
        <w:pStyle w:val="Heading1"/>
      </w:pPr>
      <w:r>
        <w:t>8 证据索引与版本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2来自random_stratification_ablation_20261006/tables/random_summary.csv；表3来自controlled_risk_distribution_20261005/tables/distribution_contrasts.csv；表4来自scale_only_confirmation_20261007/tables/area_condition_summary.csv。尺度图源表为该目录tables/summary.csv；冻结条件对应三确认池transfer/tables；复算记录为submission_closeout_20261007/portable_replay_audit.json和audit.json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配套论文为visual_state_testing_journal_zh/en_20261007修订版v2，正文13表、6图，补充材料S1—S14共9表。作者信息、公共访问地址与图示逐图发布权利仍待真实资料确定；本轮不新增人工复核或模型实验。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