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b/>
          <w:color w:val="24577E"/>
          <w:sz w:val="34"/>
        </w:rPr>
        <w:t>8种模型的分层降幅对比（本地AI描述分组）</w:t>
      </w:r>
    </w:p>
    <w:p>
      <w:pPr>
        <w:keepNext/>
      </w:pPr>
      <w:r>
        <w:t>降幅 = 第1组Macro-F1 − 第5组Macro-F1；单位：百分点。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684000" cy="4046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rop_loc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4046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横条为同一模型3份训练结果的配对降幅平均值；黑色短线为3份配对降幅的最小—最大范围。模型保持不变，比较的是规则预计较容易组与较困难组的表现差异。</w:t>
      </w:r>
    </w:p>
    <w:p>
      <w:r>
        <w:br w:type="page"/>
      </w:r>
    </w:p>
    <w:p>
      <w:pPr>
        <w:keepNext/>
      </w:pPr>
      <w:r>
        <w:rPr>
          <w:b/>
          <w:color w:val="24577E"/>
          <w:sz w:val="34"/>
        </w:rPr>
        <w:t>8种模型的分层降幅对比（在线AI描述分组）</w:t>
      </w:r>
    </w:p>
    <w:p>
      <w:pPr>
        <w:keepNext/>
      </w:pPr>
      <w:r>
        <w:t>降幅 = 第1组Macro-F1 − 第5组Macro-F1；单位：百分点。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684000" cy="4046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rop_on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4046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横条为同一模型3份训练结果的配对降幅平均值；黑色短线为3份配对降幅的最小—最大范围。模型保持不变，比较的是规则预计较容易组与较困难组的表现差异。</w:t>
      </w:r>
    </w:p>
    <w:sectPr w:rsidR="00FC693F" w:rsidRPr="0006063C" w:rsidSect="00034616">
      <w:pgSz w:w="16838" w:h="11906" w:orient="landscape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8种模型的分层性能降幅对比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