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六类别细粒度特征五维评分协议草案</w:t>
      </w:r>
    </w:p>
    <w:p>
      <w:r>
        <w:t>目标：各类别使用适合该类别的细粒度字段，对单个目标生成五维视觉风险分数，用于类别内分层测试。五个维度沿用尺度、可见性、遮挡、截断和朝向；其下使用类别专用的部件及姿态字段。外观字段同时保留，用于条件描述，是否进入风险分数按独立校准证据决定。本文为评分协议设计草案，未执行新标注、分值校准或实验。</w:t>
      </w:r>
    </w:p>
    <w:p>
      <w:pPr>
        <w:pStyle w:val="Heading1"/>
      </w:pPr>
      <w:r>
        <w:t>评分对象与含义</w:t>
      </w:r>
    </w:p>
    <w:p>
      <w:r>
        <w:t>每个目标产生尺度、可见性、遮挡、截断、朝向五项分数和总分，分数越高表示协议定义的视觉挑战越大。该分数属于输入条件，不是分类器正确率；分类器能力仍由官方类别真值与实际预测评价。同一个目标对多个分类器的视觉风险可以共用，各分类器的表现分别统计。</w:t>
      </w:r>
    </w:p>
    <w:p>
      <w:pPr>
        <w:pStyle w:val="Heading1"/>
      </w:pPr>
      <w:r>
        <w:t>类别专用字段</w:t>
      </w:r>
    </w:p>
    <w:p>
      <w:r>
        <w:t>先定义各类别的目标部件、可见性、遮挡部位、截断部位和朝向状态，再冻结字段与有限枚举。犬猫可保留原23项协议，并补齐当前尺度及整体可见性字段；人物和车辆使用各自适用的细项。下表是拟采用的字段范围，马、羊和车辆等新增部件字段尚需冻结具体协议；不表示当前缓存已经具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</w:tcPr>
          <w:p>
            <w:r>
              <w:rPr>
                <w:sz w:val="18"/>
              </w:rPr>
              <w:t>类别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可见部件与外观字段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朝向与姿态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遮挡与截断部件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头部、耳朵、口鼻、眼睛、嘴部、腿部、尾巴；毛色、图案、质地与身体外形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头部与身体朝向、尾巴姿态、站立／坐卧／奔跑等动作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头部、躯干、腿部、尾部；区分物体遮挡与边界缺失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猫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头部、耳朵、口鼻、眼睛、腿部、尾巴；毛色、花纹、质地与身体外形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头部与身体朝向、尾巴姿态、蹲伏／攀爬／梳理等动作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头部、躯干、腿部、尾部；区分物体遮挡与边界缺失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马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头部、口鼻、耳朵、躯干、腿部、尾巴；被毛、鬃毛和身体轮廓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头部与身体朝向、站立／行走／奔跑／被骑乘等姿态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头部、躯干、腿部、尾部；骑乘者等遮挡来源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羊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头部、口鼻、耳朵、躯干、腿部；羊毛颜色、质地及身体轮廓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头部与身体朝向、站立／卧姿／行走／低头等姿态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头部、躯干、腿部；同类重叠、植被等遮挡来源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人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头部、面部、眼睛、鼻子、嘴部、躯干、四肢；头发颜色／长度／质地、头饰、眼镜与服饰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头部与身体朝向、站立／坐卧／弯腰／行走／奔跑等姿态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面部、躯干、上肢、下肢；头发、配饰、物体或其他人物等遮挡来源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车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车头、车尾、侧面、车顶、车窗、车轮、灯具；车身颜色与可见反光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车头／车尾／侧向／斜向／俯视，车辆整体姿态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车头、车尾、车身、车轮；车辆、人物、结构等遮挡来源</w:t>
            </w:r>
          </w:p>
        </w:tc>
      </w:tr>
    </w:tbl>
    <w:p>
      <w:pPr>
        <w:pStyle w:val="Heading1"/>
      </w:pPr>
      <w:r>
        <w:t>五维计算</w:t>
      </w:r>
    </w:p>
    <w:p>
      <w:r>
        <w:t>设类别为c，维度d下的第j个风险分量为rᵢ,c,d,j∈[0,1]，权重为αc,d,j≥0。已知分量按加权平均形成维度分数Rᵢ,c,d；在五维均可评价时，总分Hᵢ,c=100×Σd wc,d Rᵢ,c,d，其中wc,d≥0且Σd wc,d=1。字段可以按类别不同，归一化范围相同。具体等级到分值的映射、子项权重和五维权重需在评价前冻结；本草案不将某套任意权重当作已验证规则。</w:t>
      </w:r>
    </w:p>
    <w:p>
      <w:pPr>
        <w:pStyle w:val="Heading1"/>
      </w:pPr>
      <w:r>
        <w:t>尺度</w:t>
      </w:r>
    </w:p>
    <w:p>
      <w:r>
        <w:t>各类别均由官方框面积与原图面积之比计算。可保留原四档尺度映射作为初始基线。场景作为上下文独立记录，不混入面积计算。局部尺度若使用头部或部件区域，须另有可追溯的区域框，不从完整框面积直接推导。</w:t>
      </w:r>
    </w:p>
    <w:p>
      <w:pPr>
        <w:pStyle w:val="Heading1"/>
      </w:pPr>
      <w:r>
        <w:t>可见性</w:t>
      </w:r>
    </w:p>
    <w:p>
      <w:r>
        <w:t>各类别同时记录整体可见性和关键部件可见性。例如犬猫记录头部、口鼻、腿部与尾部；人物记录面部、躯干与四肢；车辆记录车头／车尾、车身与车轮。对可见等级预定义风险顺序，以局部不可见情况形成分量，再按冻结权重汇总。头发不可见可能由剃发、光头或覆盖造成，不能一律记作高风险；不适用、结构不存在和unknown必须区分。</w:t>
      </w:r>
    </w:p>
    <w:p>
      <w:pPr>
        <w:pStyle w:val="Heading1"/>
      </w:pPr>
      <w:r>
        <w:t>遮挡</w:t>
      </w:r>
    </w:p>
    <w:p>
      <w:r>
        <w:t>分别记录整体遮挡程度、被遮挡部件和遮挡来源。等级字段可按遮挡程度构造有序分量，部位字段用于描述或按预先规定的部件权重评分。来自不同字段的同一缺失情况不应未经处理重复累加；可见性与遮挡的关联需在权重设计及删项分析中检查。</w:t>
      </w:r>
    </w:p>
    <w:p>
      <w:pPr>
        <w:pStyle w:val="Heading1"/>
      </w:pPr>
      <w:r>
        <w:t>截断</w:t>
      </w:r>
    </w:p>
    <w:p>
      <w:r>
        <w:t>记录整体截断程度及缺失部件；结合原图和裁剪图核对边界来源。按类别定义部件，再采用冻结的等级映射或部件聚合规则。遮挡与截断分别记录，unknown不等同于无截断。</w:t>
      </w:r>
    </w:p>
    <w:p>
      <w:pPr>
        <w:pStyle w:val="Heading1"/>
      </w:pPr>
      <w:r>
        <w:t>朝向</w:t>
      </w:r>
    </w:p>
    <w:p>
      <w:r>
        <w:t>分别记录身体朝向和头部／主体前后朝向。犬猫、马羊及人物可另记录动作姿态；车辆使用车头、车尾、侧向、斜向及俯视等字段。动作状态没有普遍的难度顺序，姿态动作及朝向的额外分值需按预定义规则或独立校准确定；不能仅因为站立、奔跑等状态不同就给出不同风险。</w:t>
      </w:r>
    </w:p>
    <w:p>
      <w:pPr>
        <w:pStyle w:val="Heading1"/>
      </w:pPr>
      <w:r>
        <w:t>毛色、发色、纹理等外观如何使用</w:t>
      </w:r>
    </w:p>
    <w:p>
      <w:r>
        <w:t>颜色、图案、发长、耳形及外观纹理先作为描述与覆盖字段，不天然赋予高低风险。如果希望它们也影响分数，应在独立校准集合中估计各状态与目标分类失败的关联，并在独立评价集合检验。它们可作为相应部件风险分量的条件变量，不强行改名为遮挡或朝向。校准若读取分类错误，必须明确该评分使用了历史模型反馈，不能继续声称评分完全不读取模型表现。单一模型拟合的分数也不能自动称作与模型无关的风险。</w:t>
      </w:r>
    </w:p>
    <w:p>
      <w:pPr>
        <w:pStyle w:val="Heading1"/>
      </w:pPr>
      <w:r>
        <w:t>unknown与不适用</w:t>
      </w:r>
    </w:p>
    <w:p>
      <w:r>
        <w:t>每个维度输出分数时同时记录已知分量的权重占比、unknown字段和不适用字段。只有达到预先冻结的最低证据要求时才汇总，证据不足保留不可评价。对于仅部分分量已知的目标，可另算未知分量取最小／最大风险时的总分区间，用于敏感性分析。不得把按已知项重新归一化所得分数当作完整证据下的确定分数。</w:t>
      </w:r>
    </w:p>
    <w:p>
      <w:pPr>
        <w:pStyle w:val="Heading1"/>
      </w:pPr>
      <w:r>
        <w:t>校准与评价分离</w:t>
      </w:r>
    </w:p>
    <w:p>
      <w:r>
        <w:t>先在校准集合中制定或估计映射与权重，再冻结协议，用新目标评价风险层与分类失败是否存在稳定关联。不能用同一批目标的分类错误给特征赋分，再将该批错误率分层差异当作独立验证。若仅用预定义视觉规则，则以类别内测试结果验证，不由实测错误反向调整当前评价分数。</w:t>
      </w:r>
    </w:p>
    <w:p>
      <w:pPr>
        <w:pStyle w:val="Heading1"/>
      </w:pPr>
      <w:r>
        <w:t>类别间比较</w:t>
      </w:r>
    </w:p>
    <w:p>
      <w:r>
        <w:t>即使归一化为0—100，各类别使用不同字段及权重时，也不意味着相同分数具有相同错误风险。先分别在真实类别内排序或划分分位层。跨类别统一风险阈值需另行校准；不能直接将人80分与车80分解释为同等分类困难。</w:t>
      </w:r>
    </w:p>
    <w:p>
      <w:pPr>
        <w:pStyle w:val="Heading1"/>
      </w:pPr>
      <w:r>
        <w:t>落地步骤</w:t>
      </w:r>
    </w:p>
    <w:p>
      <w:r>
        <w:t>先核对六类已有字段与有效标注，形成缺项清单；冻结类别专用协议与值域；小样本检查字段判断和部件依赖；补标缺项；冻结分值及聚合；生成逐目标五维分数、证据量与总分；复算类内分层与条件报告。目标输入及分类器不变时可以复用逐目标预测。原评分作为基线，与扩展评分比较，并分别检查局部可见性、外观及姿态字段的增量作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