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视觉状态驱动模型测试实证结论与结果图"/>
    <w:p>
      <w:pPr>
        <w:pStyle w:val="31"/>
        <w:spacing w:after="100"/>
        <w:jc w:val="center"/>
      </w:pPr>
      <w:r>
        <w:rPr>
          <w:rFonts w:hint="eastAsia"/>
        </w:rPr>
        <w:t xml:space="preserve">视觉状态驱动模型测试：实证结论与结果图</w:t>
      </w:r>
    </w:p>
    <w:p>
      <w:pPr>
        <w:pStyle w:val="FirstParagraph"/>
        <w:spacing w:after="100" w:line="300" w:lineRule="auto"/>
      </w:pPr>
      <w:r>
        <w:rPr>
          <w:rFonts w:hint="eastAsia"/>
        </w:rPr>
        <w:t xml:space="preserve">本报告对应《论文方法章节_视觉状态驱动模型测试_说明完善版_20261012》，整理截至2026年10月12日已完成实验的结果。图表从现有结果表重新汇总，不增加训练或VLM请求。百分比表示指标值；pp表示百分点；诊断广度AUC表示归一化测试预算曲线面积，不是ROC-AUC。</w:t>
      </w:r>
    </w:p>
    <w:bookmarkStart w:id="17" w:name="一当前研究得到什么结论"/>
    <w:p>
      <w:pPr>
        <w:pStyle w:val="4"/>
        <w:spacing w:after="100"/>
      </w:pPr>
      <w:r>
        <w:rPr>
          <w:rFonts w:hint="eastAsia"/>
        </w:rPr>
        <w:t xml:space="preserve">一、当前研究得到什么结论</w:t>
      </w:r>
    </w:p>
    <w:p>
      <w:pPr>
        <w:pStyle w:val="FirstParagraph"/>
        <w:spacing w:after="100" w:line="300" w:lineRule="auto"/>
      </w:pPr>
      <w:r>
        <w:rPr>
          <w:rFonts w:hint="eastAsia"/>
        </w:rPr>
        <w:t xml:space="preserve">当前结果支持将自动视觉状态用于组织模型测试和形成条件能力报告。方法能记录各视觉状态获得的测试支持，区分模型在不同视觉条件下的表现，并将总体指标转化为可继续检查的薄弱条件。在共同风险配额和等错误数约束下，覆盖选样相对随机选样具有部分设置下的额外诊断收益；这一收益没有在所有来源和控制协议下成立。</w:t>
      </w:r>
    </w:p>
    <w:p>
      <w:pPr>
        <w:pStyle w:val="19"/>
        <w:spacing w:after="100" w:line="300" w:lineRule="auto"/>
      </w:pPr>
      <w:r>
        <w:rPr>
          <w:rFonts w:hint="eastAsia"/>
        </w:rPr>
        <w:t xml:space="preserve">最明确的实证结论是：</w:t>
      </w:r>
    </w:p>
    <w:p>
      <w:pPr>
        <w:pStyle w:val="Compact"/>
        <w:numPr>
          <w:ilvl w:val="0"/>
          <w:numId w:val="1001"/>
        </w:numPr>
        <w:spacing w:after="100" w:line="300" w:lineRule="auto"/>
      </w:pPr>
      <w:r>
        <w:rPr>
          <w:rFonts w:hint="eastAsia"/>
        </w:rPr>
        <w:t xml:space="preserve">相同风险配额与测试预算下，覆盖选样在各池最大预算点的覆盖值均高于Random，但不能推断所有预算点都提高。</w:t>
      </w:r>
    </w:p>
    <w:p>
      <w:pPr>
        <w:pStyle w:val="Compact"/>
        <w:numPr>
          <w:ilvl w:val="0"/>
          <w:numId w:val="1001"/>
        </w:numPr>
        <w:spacing w:after="100" w:line="300" w:lineRule="auto"/>
      </w:pPr>
      <w:r>
        <w:rPr>
          <w:rFonts w:hint="eastAsia"/>
        </w:rPr>
        <w:t xml:space="preserve">自动风险层能够区分高、低表现条件，其端点差超出随机划层波动；完整多维评分并非普遍强于只用目标面积分层。</w:t>
      </w:r>
    </w:p>
    <w:p>
      <w:pPr>
        <w:pStyle w:val="Compact"/>
        <w:numPr>
          <w:ilvl w:val="0"/>
          <w:numId w:val="1001"/>
        </w:numPr>
        <w:spacing w:after="100" w:line="300" w:lineRule="auto"/>
      </w:pPr>
      <w:r>
        <w:rPr>
          <w:rFonts w:hint="eastAsia"/>
        </w:rPr>
        <w:t xml:space="preserve">固定测试量和类别比例后，改变风险构成会改变测得性能。这是模型测试构成的效应，不能当作模型训练收益或参数退化。</w:t>
      </w:r>
    </w:p>
    <w:p>
      <w:pPr>
        <w:pStyle w:val="Compact"/>
        <w:numPr>
          <w:ilvl w:val="0"/>
          <w:numId w:val="1001"/>
        </w:numPr>
        <w:spacing w:after="100" w:line="300" w:lineRule="auto"/>
      </w:pPr>
      <w:r>
        <w:rPr>
          <w:rFonts w:hint="eastAsia"/>
        </w:rPr>
        <w:t xml:space="preserve">支持充分的新目标中，既有薄弱条件多保留负向Recall差；小规模VOC2007池多数条件支持不足，不能据此判断这些条件已复现或迁移失败。</w:t>
      </w:r>
    </w:p>
    <w:bookmarkStart w:id="16" w:name="实验对象与比较口径"/>
    <w:p>
      <w:pPr>
        <w:pStyle w:val="5"/>
        <w:spacing w:after="100"/>
      </w:pPr>
      <w:r>
        <w:rPr>
          <w:rFonts w:hint="eastAsia"/>
        </w:rPr>
        <w:t xml:space="preserve">实验对象与比较口径</w:t>
      </w:r>
    </w:p>
    <w:tbl>
      <w:tblPr>
        <w:tblStyle w:val="Table"/>
        <w:tblW w:type="pct" w:w="5000"/>
        <w:tblLayout w:type="fixed"/>
        <w:tblLook w:firstRow="1" w:lastRow="0" w:firstColumn="0" w:lastColumn="0" w:noHBand="0" w:noVBand="0" w:val="0020"/>
      </w:tblPr>
      <w:tblGrid>
        <w:gridCol w:w="3960"/>
        <w:gridCol w:w="3960"/>
      </w:tblGrid>
      <w:tr>
        <w:trPr>
          <w:tblHeader w:val="on"/>
          <w:tblHeader/>
          <w:cantSplit/>
        </w:trPr>
        <w:tc>
          <w:tcPr/>
          <w:p>
            <w:pPr>
              <w:pStyle w:val="Compact"/>
              <w:spacing w:after="40"/>
            </w:pPr>
            <w:r>
              <w:rPr>
                <w:rFonts w:hint="eastAsia"/>
                <w:b/>
                <w:sz w:val="17"/>
              </w:rPr>
              <w:t xml:space="preserve">对象</w:t>
            </w:r>
          </w:p>
        </w:tc>
        <w:tc>
          <w:tcPr/>
          <w:p>
            <w:pPr>
              <w:pStyle w:val="Compact"/>
              <w:spacing w:after="40"/>
            </w:pPr>
            <w:r>
              <w:rPr>
                <w:rFonts w:hint="eastAsia"/>
                <w:b/>
                <w:sz w:val="17"/>
              </w:rPr>
              <w:t xml:space="preserve">规模与用途</w:t>
            </w:r>
          </w:p>
        </w:tc>
      </w:tr>
      <w:tr>
        <w:trPr>
          <w:cantSplit/>
        </w:trPr>
        <w:tc>
          <w:tcPr/>
          <w:p>
            <w:pPr>
              <w:pStyle w:val="Compact"/>
              <w:spacing w:after="40"/>
            </w:pPr>
            <w:r>
              <w:rPr>
                <w:rFonts w:hint="eastAsia"/>
                <w:b w:val="0"/>
                <w:sz w:val="17"/>
              </w:rPr>
              <w:t xml:space="preserve">分类任务</w:t>
            </w:r>
          </w:p>
        </w:tc>
        <w:tc>
          <w:tcPr/>
          <w:p>
            <w:pPr>
              <w:pStyle w:val="Compact"/>
              <w:spacing w:after="40"/>
            </w:pPr>
            <w:r>
              <w:rPr>
                <w:rFonts w:hint="eastAsia"/>
                <w:b w:val="0"/>
                <w:sz w:val="17"/>
              </w:rPr>
              <w:t xml:space="preserve">dog、cat、horse、sheep、person、car；官方框裁剪区域分类</w:t>
            </w:r>
          </w:p>
        </w:tc>
      </w:tr>
      <w:tr>
        <w:trPr>
          <w:cantSplit/>
        </w:trPr>
        <w:tc>
          <w:tcPr/>
          <w:p>
            <w:pPr>
              <w:pStyle w:val="Compact"/>
              <w:spacing w:after="40"/>
            </w:pPr>
            <w:r>
              <w:rPr>
                <w:rFonts w:hint="eastAsia"/>
                <w:b w:val="0"/>
                <w:sz w:val="17"/>
              </w:rPr>
              <w:t xml:space="preserve">状态表示</w:t>
            </w:r>
          </w:p>
        </w:tc>
        <w:tc>
          <w:tcPr/>
          <w:p>
            <w:pPr>
              <w:pStyle w:val="Compact"/>
              <w:spacing w:after="40"/>
            </w:pPr>
            <w:r>
              <w:rPr>
                <w:rFonts w:hint="eastAsia"/>
                <w:b w:val="0"/>
                <w:sz w:val="17"/>
              </w:rPr>
              <w:t xml:space="preserve">14项共享VLM字段＋程序计算的目标尺度；本地与线上来源分别分析</w:t>
            </w:r>
          </w:p>
        </w:tc>
      </w:tr>
      <w:tr>
        <w:trPr>
          <w:cantSplit/>
        </w:trPr>
        <w:tc>
          <w:tcPr/>
          <w:p>
            <w:pPr>
              <w:pStyle w:val="Compact"/>
              <w:spacing w:after="40"/>
            </w:pPr>
            <w:r>
              <w:rPr>
                <w:rFonts w:hint="eastAsia"/>
                <w:b w:val="0"/>
                <w:sz w:val="17"/>
              </w:rPr>
              <w:t xml:space="preserve">主模型面板</w:t>
            </w:r>
          </w:p>
        </w:tc>
        <w:tc>
          <w:tcPr/>
          <w:p>
            <w:pPr>
              <w:pStyle w:val="Compact"/>
              <w:spacing w:after="40"/>
            </w:pPr>
            <w:r>
              <w:rPr>
                <w:rFonts w:hint="eastAsia"/>
                <w:b w:val="0"/>
                <w:sz w:val="17"/>
              </w:rPr>
              <w:t xml:space="preserve">8种架构，各3个训练种子，共24个模型运行</w:t>
            </w:r>
          </w:p>
        </w:tc>
      </w:tr>
      <w:tr>
        <w:trPr>
          <w:cantSplit/>
        </w:trPr>
        <w:tc>
          <w:tcPr/>
          <w:p>
            <w:pPr>
              <w:pStyle w:val="Compact"/>
              <w:spacing w:after="40"/>
            </w:pPr>
            <w:r>
              <w:rPr>
                <w:rFonts w:hint="eastAsia"/>
                <w:b w:val="0"/>
                <w:sz w:val="17"/>
              </w:rPr>
              <w:t xml:space="preserve">发现池A</w:t>
            </w:r>
          </w:p>
        </w:tc>
        <w:tc>
          <w:tcPr/>
          <w:p>
            <w:pPr>
              <w:pStyle w:val="Compact"/>
              <w:spacing w:after="40"/>
            </w:pPr>
            <w:r>
              <w:rPr>
                <w:rFonts w:hint="eastAsia"/>
                <w:b w:val="0"/>
                <w:sz w:val="17"/>
              </w:rPr>
              <w:t xml:space="preserve">2,400目标，用于确定候选薄弱条件</w:t>
            </w:r>
          </w:p>
        </w:tc>
      </w:tr>
      <w:tr>
        <w:trPr>
          <w:cantSplit/>
        </w:trPr>
        <w:tc>
          <w:tcPr/>
          <w:p>
            <w:pPr>
              <w:pStyle w:val="Compact"/>
              <w:spacing w:after="40"/>
            </w:pPr>
            <w:r>
              <w:rPr>
                <w:rFonts w:hint="eastAsia"/>
                <w:b w:val="0"/>
                <w:sz w:val="17"/>
              </w:rPr>
              <w:t xml:space="preserve">确认池B</w:t>
            </w:r>
          </w:p>
        </w:tc>
        <w:tc>
          <w:tcPr/>
          <w:p>
            <w:pPr>
              <w:pStyle w:val="Compact"/>
              <w:spacing w:after="40"/>
            </w:pPr>
            <w:r>
              <w:rPr>
                <w:rFonts w:hint="eastAsia"/>
                <w:b w:val="0"/>
                <w:sz w:val="17"/>
              </w:rPr>
              <w:t xml:space="preserve">COCO新目标，2,400个；与训练数据同来源，不称外部来源</w:t>
            </w:r>
          </w:p>
        </w:tc>
      </w:tr>
      <w:tr>
        <w:trPr>
          <w:cantSplit/>
        </w:trPr>
        <w:tc>
          <w:tcPr/>
          <w:p>
            <w:pPr>
              <w:pStyle w:val="Compact"/>
              <w:spacing w:after="40"/>
            </w:pPr>
            <w:r>
              <w:rPr>
                <w:rFonts w:hint="eastAsia"/>
                <w:b w:val="0"/>
                <w:sz w:val="17"/>
              </w:rPr>
              <w:t xml:space="preserve">确认池C</w:t>
            </w:r>
          </w:p>
        </w:tc>
        <w:tc>
          <w:tcPr/>
          <w:p>
            <w:pPr>
              <w:pStyle w:val="Compact"/>
              <w:spacing w:after="40"/>
            </w:pPr>
            <w:r>
              <w:rPr>
                <w:rFonts w:hint="eastAsia"/>
                <w:b w:val="0"/>
                <w:sz w:val="17"/>
              </w:rPr>
              <w:t xml:space="preserve">VOC2007，600个；外部来源</w:t>
            </w:r>
          </w:p>
        </w:tc>
      </w:tr>
      <w:tr>
        <w:trPr>
          <w:cantSplit/>
        </w:trPr>
        <w:tc>
          <w:tcPr/>
          <w:p>
            <w:pPr>
              <w:pStyle w:val="Compact"/>
              <w:spacing w:after="40"/>
            </w:pPr>
            <w:r>
              <w:rPr>
                <w:rFonts w:hint="eastAsia"/>
                <w:b w:val="0"/>
                <w:sz w:val="17"/>
              </w:rPr>
              <w:t xml:space="preserve">确认池D</w:t>
            </w:r>
          </w:p>
        </w:tc>
        <w:tc>
          <w:tcPr/>
          <w:p>
            <w:pPr>
              <w:pStyle w:val="Compact"/>
              <w:spacing w:after="40"/>
            </w:pPr>
            <w:r>
              <w:rPr>
                <w:b w:val="0"/>
                <w:sz w:val="17"/>
              </w:rPr>
              <w:t xml:space="preserve">Objects365 </w:t>
            </w:r>
            <w:r>
              <w:rPr>
                <w:rFonts w:hint="eastAsia"/>
                <w:b w:val="0"/>
                <w:sz w:val="17"/>
              </w:rPr>
              <w:t xml:space="preserve">v2，2,400个；外部来源</w:t>
            </w:r>
          </w:p>
        </w:tc>
      </w:tr>
      <w:tr>
        <w:trPr>
          <w:cantSplit/>
        </w:trPr>
        <w:tc>
          <w:tcPr/>
          <w:p>
            <w:pPr>
              <w:pStyle w:val="Compact"/>
              <w:spacing w:after="40"/>
            </w:pPr>
            <w:r>
              <w:rPr>
                <w:rFonts w:hint="eastAsia"/>
                <w:b w:val="0"/>
                <w:sz w:val="17"/>
              </w:rPr>
              <w:t xml:space="preserve">模型扩展</w:t>
            </w:r>
          </w:p>
        </w:tc>
        <w:tc>
          <w:tcPr/>
          <w:p>
            <w:pPr>
              <w:pStyle w:val="Compact"/>
              <w:spacing w:after="40"/>
            </w:pPr>
            <w:r>
              <w:rPr>
                <w:rFonts w:hint="eastAsia"/>
                <w:b w:val="0"/>
                <w:sz w:val="17"/>
              </w:rPr>
              <w:t xml:space="preserve">5种架构，各3个种子，单独报告，不与主面板混合排名</w:t>
            </w:r>
          </w:p>
        </w:tc>
      </w:tr>
    </w:tbl>
    <w:p>
      <w:pPr>
        <w:pStyle w:val="19"/>
        <w:spacing w:after="100" w:line="300" w:lineRule="auto"/>
      </w:pPr>
      <w:r>
        <w:rPr>
          <w:rFonts w:hint="eastAsia"/>
        </w:rPr>
        <w:t xml:space="preserve">主面板为ResNet-18、ResNet-50、MobileNetV3-Small、MobileNetV3-Large、DenseNet-121、EfficientNet-B0、ConvNeXt-Tiny和Swin-T。三种子为20260916、20260917、20260918。所有测试组织比较复用相同目标的分类预测。</w:t>
      </w:r>
    </w:p>
    <w:bookmarkEnd w:id="16"/>
    <w:bookmarkEnd w:id="17"/>
    <w:bookmarkStart w:id="26" w:name="二覆盖选样增加了什么证据"/>
    <w:p>
      <w:pPr>
        <w:pStyle w:val="4"/>
        <w:spacing w:after="100"/>
      </w:pPr>
      <w:r>
        <w:rPr>
          <w:rFonts w:hint="eastAsia"/>
        </w:rPr>
        <w:t xml:space="preserve">二、覆盖选样增加了什么证据</w:t>
      </w:r>
    </w:p>
    <w:bookmarkStart w:id="21" w:name="状态支持增加"/>
    <w:p>
      <w:pPr>
        <w:pStyle w:val="5"/>
        <w:spacing w:after="100"/>
      </w:pPr>
      <w:r>
        <w:t xml:space="preserve">2.1 </w:t>
      </w:r>
      <w:r>
        <w:rPr>
          <w:rFonts w:hint="eastAsia"/>
        </w:rPr>
        <w:t xml:space="preserve">状态支持增加</w:t>
      </w:r>
    </w:p>
    <w:p>
      <w:pPr>
        <w:pStyle w:val="FirstParagraph"/>
        <w:spacing w:after="100" w:line="300" w:lineRule="auto"/>
      </w:pPr>
      <w:r>
        <w:rPr>
          <w:rFonts w:hint="eastAsia"/>
        </w:rPr>
        <w:t xml:space="preserve">在共同类别、风险层和风险格配额内，Coverage按稀缺状态增益选择目标，Random在相同格内抽样。图1展示当前频次覆盖指标的预算曲线，饱和阈值统一为20。</w:t>
      </w:r>
    </w:p>
    <w:p>
      <w:pPr>
        <w:pStyle w:val="CaptionedFigure"/>
        <w:keepNext/>
        <w:spacing w:after="100" w:line="300" w:lineRule="auto"/>
      </w:pPr>
      <w:r>
        <w:drawing>
          <wp:inline>
            <wp:extent cx="6120000" cy="3483210"/>
            <wp:effectExtent b="0" l="0" r="0" t="0"/>
            <wp:docPr descr="图1 共同风险配额下的覆盖预算曲线" title="" id="19" name="Picture"/>
            <a:graphic>
              <a:graphicData uri="http://schemas.openxmlformats.org/drawingml/2006/picture">
                <pic:pic>
                  <pic:nvPicPr>
                    <pic:cNvPr descr="../artifacts/current_method_conclusions_20261012/figures/01_coverage_curves.png" id="20" name="Picture"/>
                    <pic:cNvPicPr>
                      <a:picLocks noChangeArrowheads="1" noChangeAspect="1"/>
                    </pic:cNvPicPr>
                  </pic:nvPicPr>
                  <pic:blipFill>
                    <a:blip r:embed="rId18"/>
                    <a:stretch>
                      <a:fillRect/>
                    </a:stretch>
                  </pic:blipFill>
                  <pic:spPr bwMode="auto">
                    <a:xfrm>
                      <a:off x="0" y="0"/>
                      <a:ext cx="6120000" cy="3483210"/>
                    </a:xfrm>
                    <a:prstGeom prst="rect">
                      <a:avLst/>
                    </a:prstGeom>
                    <a:noFill/>
                    <a:ln w="9525">
                      <a:noFill/>
                      <a:headEnd/>
                      <a:tailEnd/>
                    </a:ln>
                  </pic:spPr>
                </pic:pic>
              </a:graphicData>
            </a:graphic>
          </wp:inline>
        </w:drawing>
      </w:r>
    </w:p>
    <w:p>
      <w:pPr>
        <w:pStyle w:val="ImageCaption"/>
        <w:spacing w:after="100" w:line="300" w:lineRule="auto"/>
      </w:pPr>
      <w:r>
        <w:rPr>
          <w:rFonts w:hint="eastAsia"/>
        </w:rPr>
        <w:t xml:space="preserve">图1</w:t>
      </w:r>
      <w:r>
        <w:t xml:space="preserve"> </w:t>
      </w:r>
      <w:r>
        <w:rPr>
          <w:rFonts w:hint="eastAsia"/>
        </w:rPr>
        <w:t xml:space="preserve">共同风险配额下的覆盖预算曲线</w:t>
      </w:r>
    </w:p>
    <w:p>
      <w:pPr>
        <w:pStyle w:val="19"/>
        <w:spacing w:after="100" w:line="276" w:lineRule="auto"/>
        <w:ind w:firstLine="0"/>
      </w:pPr>
      <w:r>
        <w:rPr>
          <w:rFonts w:hint="eastAsia"/>
          <w:sz w:val="18"/>
        </w:rPr>
        <w:t xml:space="preserve">图1说明：每条线只有5个实际预算点。Coverage选样确定，Random为1000次抽样均值；相同选样的覆盖值不依赖被测模型。B/D每类预算20—100，C为10—50。各池状态词表不同，曲线用于池内比较，不直接按覆盖百分比给数据来源排名。</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blHeader/>
          <w:cantSplit/>
        </w:trPr>
        <w:tc>
          <w:tcPr/>
          <w:p>
            <w:pPr>
              <w:pStyle w:val="Compact"/>
              <w:spacing w:after="40"/>
            </w:pPr>
            <w:r>
              <w:rPr>
                <w:rFonts w:hint="eastAsia"/>
                <w:b/>
                <w:sz w:val="17"/>
              </w:rPr>
              <w:t xml:space="preserve">池／来源</w:t>
            </w:r>
          </w:p>
        </w:tc>
        <w:tc>
          <w:tcPr/>
          <w:p>
            <w:pPr>
              <w:pStyle w:val="Compact"/>
              <w:spacing w:after="40"/>
              <w:jc w:val="right"/>
            </w:pPr>
            <w:r>
              <w:rPr>
                <w:rFonts w:hint="eastAsia"/>
                <w:b/>
                <w:sz w:val="17"/>
              </w:rPr>
              <w:t xml:space="preserve">最大总预算</w:t>
            </w:r>
          </w:p>
        </w:tc>
        <w:tc>
          <w:tcPr/>
          <w:p>
            <w:pPr>
              <w:pStyle w:val="Compact"/>
              <w:spacing w:after="40"/>
              <w:jc w:val="right"/>
            </w:pPr>
            <w:r>
              <w:rPr>
                <w:rFonts w:hint="eastAsia"/>
                <w:b/>
                <w:sz w:val="17"/>
              </w:rPr>
              <w:t xml:space="preserve">Coverage覆盖(%)</w:t>
            </w:r>
          </w:p>
        </w:tc>
        <w:tc>
          <w:tcPr/>
          <w:p>
            <w:pPr>
              <w:pStyle w:val="Compact"/>
              <w:spacing w:after="40"/>
              <w:jc w:val="right"/>
            </w:pPr>
            <w:r>
              <w:rPr>
                <w:rFonts w:hint="eastAsia"/>
                <w:b/>
                <w:sz w:val="17"/>
              </w:rPr>
              <w:t xml:space="preserve">Random覆盖(%)</w:t>
            </w:r>
          </w:p>
        </w:tc>
        <w:tc>
          <w:tcPr/>
          <w:p>
            <w:pPr>
              <w:pStyle w:val="Compact"/>
              <w:spacing w:after="40"/>
              <w:jc w:val="right"/>
            </w:pPr>
            <w:r>
              <w:rPr>
                <w:rFonts w:hint="eastAsia"/>
                <w:b/>
                <w:sz w:val="17"/>
              </w:rPr>
              <w:t xml:space="preserve">差值(pp)</w:t>
            </w:r>
          </w:p>
        </w:tc>
      </w:tr>
      <w:tr>
        <w:trPr>
          <w:cantSplit/>
        </w:trPr>
        <w:tc>
          <w:tcPr/>
          <w:p>
            <w:pPr>
              <w:pStyle w:val="Compact"/>
              <w:spacing w:after="40"/>
            </w:pPr>
            <w:r>
              <w:rPr>
                <w:rFonts w:hint="eastAsia"/>
                <w:b w:val="0"/>
                <w:sz w:val="17"/>
              </w:rPr>
              <w:t xml:space="preserve">B／本地</w:t>
            </w:r>
          </w:p>
        </w:tc>
        <w:tc>
          <w:tcPr/>
          <w:p>
            <w:pPr>
              <w:pStyle w:val="Compact"/>
              <w:spacing w:after="40"/>
              <w:jc w:val="right"/>
            </w:pPr>
            <w:r>
              <w:rPr>
                <w:b w:val="0"/>
                <w:sz w:val="17"/>
              </w:rPr>
              <w:t xml:space="preserve">600</w:t>
            </w:r>
          </w:p>
        </w:tc>
        <w:tc>
          <w:tcPr/>
          <w:p>
            <w:pPr>
              <w:pStyle w:val="Compact"/>
              <w:spacing w:after="40"/>
              <w:jc w:val="right"/>
            </w:pPr>
            <w:r>
              <w:rPr>
                <w:b w:val="0"/>
                <w:sz w:val="17"/>
              </w:rPr>
              <w:t xml:space="preserve">67.07</w:t>
            </w:r>
          </w:p>
        </w:tc>
        <w:tc>
          <w:tcPr/>
          <w:p>
            <w:pPr>
              <w:pStyle w:val="Compact"/>
              <w:spacing w:after="40"/>
              <w:jc w:val="right"/>
            </w:pPr>
            <w:r>
              <w:rPr>
                <w:b w:val="0"/>
                <w:sz w:val="17"/>
              </w:rPr>
              <w:t xml:space="preserve">58.11</w:t>
            </w:r>
          </w:p>
        </w:tc>
        <w:tc>
          <w:tcPr/>
          <w:p>
            <w:pPr>
              <w:pStyle w:val="Compact"/>
              <w:spacing w:after="40"/>
              <w:jc w:val="right"/>
            </w:pPr>
            <w:r>
              <w:rPr>
                <w:b w:val="0"/>
                <w:sz w:val="17"/>
              </w:rPr>
              <w:t xml:space="preserve">+8.97</w:t>
            </w:r>
          </w:p>
        </w:tc>
      </w:tr>
      <w:tr>
        <w:trPr>
          <w:cantSplit/>
        </w:trPr>
        <w:tc>
          <w:tcPr/>
          <w:p>
            <w:pPr>
              <w:pStyle w:val="Compact"/>
              <w:spacing w:after="40"/>
            </w:pPr>
            <w:r>
              <w:rPr>
                <w:rFonts w:hint="eastAsia"/>
                <w:b w:val="0"/>
                <w:sz w:val="17"/>
              </w:rPr>
              <w:t xml:space="preserve">B／线上</w:t>
            </w:r>
          </w:p>
        </w:tc>
        <w:tc>
          <w:tcPr/>
          <w:p>
            <w:pPr>
              <w:pStyle w:val="Compact"/>
              <w:spacing w:after="40"/>
              <w:jc w:val="right"/>
            </w:pPr>
            <w:r>
              <w:rPr>
                <w:b w:val="0"/>
                <w:sz w:val="17"/>
              </w:rPr>
              <w:t xml:space="preserve">600</w:t>
            </w:r>
          </w:p>
        </w:tc>
        <w:tc>
          <w:tcPr/>
          <w:p>
            <w:pPr>
              <w:pStyle w:val="Compact"/>
              <w:spacing w:after="40"/>
              <w:jc w:val="right"/>
            </w:pPr>
            <w:r>
              <w:rPr>
                <w:b w:val="0"/>
                <w:sz w:val="17"/>
              </w:rPr>
              <w:t xml:space="preserve">67.61</w:t>
            </w:r>
          </w:p>
        </w:tc>
        <w:tc>
          <w:tcPr/>
          <w:p>
            <w:pPr>
              <w:pStyle w:val="Compact"/>
              <w:spacing w:after="40"/>
              <w:jc w:val="right"/>
            </w:pPr>
            <w:r>
              <w:rPr>
                <w:b w:val="0"/>
                <w:sz w:val="17"/>
              </w:rPr>
              <w:t xml:space="preserve">59.00</w:t>
            </w:r>
          </w:p>
        </w:tc>
        <w:tc>
          <w:tcPr/>
          <w:p>
            <w:pPr>
              <w:pStyle w:val="Compact"/>
              <w:spacing w:after="40"/>
              <w:jc w:val="right"/>
            </w:pPr>
            <w:r>
              <w:rPr>
                <w:b w:val="0"/>
                <w:sz w:val="17"/>
              </w:rPr>
              <w:t xml:space="preserve">+8.62</w:t>
            </w:r>
          </w:p>
        </w:tc>
      </w:tr>
      <w:tr>
        <w:trPr>
          <w:cantSplit/>
        </w:trPr>
        <w:tc>
          <w:tcPr/>
          <w:p>
            <w:pPr>
              <w:pStyle w:val="Compact"/>
              <w:spacing w:after="40"/>
            </w:pPr>
            <w:r>
              <w:rPr>
                <w:rFonts w:hint="eastAsia"/>
                <w:b w:val="0"/>
                <w:sz w:val="17"/>
              </w:rPr>
              <w:t xml:space="preserve">C／本地</w:t>
            </w:r>
          </w:p>
        </w:tc>
        <w:tc>
          <w:tcPr/>
          <w:p>
            <w:pPr>
              <w:pStyle w:val="Compact"/>
              <w:spacing w:after="40"/>
              <w:jc w:val="right"/>
            </w:pPr>
            <w:r>
              <w:rPr>
                <w:b w:val="0"/>
                <w:sz w:val="17"/>
              </w:rPr>
              <w:t xml:space="preserve">300</w:t>
            </w:r>
          </w:p>
        </w:tc>
        <w:tc>
          <w:tcPr/>
          <w:p>
            <w:pPr>
              <w:pStyle w:val="Compact"/>
              <w:spacing w:after="40"/>
              <w:jc w:val="right"/>
            </w:pPr>
            <w:r>
              <w:rPr>
                <w:b w:val="0"/>
                <w:sz w:val="17"/>
              </w:rPr>
              <w:t xml:space="preserve">46.20</w:t>
            </w:r>
          </w:p>
        </w:tc>
        <w:tc>
          <w:tcPr/>
          <w:p>
            <w:pPr>
              <w:pStyle w:val="Compact"/>
              <w:spacing w:after="40"/>
              <w:jc w:val="right"/>
            </w:pPr>
            <w:r>
              <w:rPr>
                <w:b w:val="0"/>
                <w:sz w:val="17"/>
              </w:rPr>
              <w:t xml:space="preserve">43.85</w:t>
            </w:r>
          </w:p>
        </w:tc>
        <w:tc>
          <w:tcPr/>
          <w:p>
            <w:pPr>
              <w:pStyle w:val="Compact"/>
              <w:spacing w:after="40"/>
              <w:jc w:val="right"/>
            </w:pPr>
            <w:r>
              <w:rPr>
                <w:b w:val="0"/>
                <w:sz w:val="17"/>
              </w:rPr>
              <w:t xml:space="preserve">+2.36</w:t>
            </w:r>
          </w:p>
        </w:tc>
      </w:tr>
      <w:tr>
        <w:trPr>
          <w:cantSplit/>
        </w:trPr>
        <w:tc>
          <w:tcPr/>
          <w:p>
            <w:pPr>
              <w:pStyle w:val="Compact"/>
              <w:spacing w:after="40"/>
            </w:pPr>
            <w:r>
              <w:rPr>
                <w:rFonts w:hint="eastAsia"/>
                <w:b w:val="0"/>
                <w:sz w:val="17"/>
              </w:rPr>
              <w:t xml:space="preserve">C／线上</w:t>
            </w:r>
          </w:p>
        </w:tc>
        <w:tc>
          <w:tcPr/>
          <w:p>
            <w:pPr>
              <w:pStyle w:val="Compact"/>
              <w:spacing w:after="40"/>
              <w:jc w:val="right"/>
            </w:pPr>
            <w:r>
              <w:rPr>
                <w:b w:val="0"/>
                <w:sz w:val="17"/>
              </w:rPr>
              <w:t xml:space="preserve">300</w:t>
            </w:r>
          </w:p>
        </w:tc>
        <w:tc>
          <w:tcPr/>
          <w:p>
            <w:pPr>
              <w:pStyle w:val="Compact"/>
              <w:spacing w:after="40"/>
              <w:jc w:val="right"/>
            </w:pPr>
            <w:r>
              <w:rPr>
                <w:b w:val="0"/>
                <w:sz w:val="17"/>
              </w:rPr>
              <w:t xml:space="preserve">47.25</w:t>
            </w:r>
          </w:p>
        </w:tc>
        <w:tc>
          <w:tcPr/>
          <w:p>
            <w:pPr>
              <w:pStyle w:val="Compact"/>
              <w:spacing w:after="40"/>
              <w:jc w:val="right"/>
            </w:pPr>
            <w:r>
              <w:rPr>
                <w:b w:val="0"/>
                <w:sz w:val="17"/>
              </w:rPr>
              <w:t xml:space="preserve">44.62</w:t>
            </w:r>
          </w:p>
        </w:tc>
        <w:tc>
          <w:tcPr/>
          <w:p>
            <w:pPr>
              <w:pStyle w:val="Compact"/>
              <w:spacing w:after="40"/>
              <w:jc w:val="right"/>
            </w:pPr>
            <w:r>
              <w:rPr>
                <w:b w:val="0"/>
                <w:sz w:val="17"/>
              </w:rPr>
              <w:t xml:space="preserve">+2.63</w:t>
            </w:r>
          </w:p>
        </w:tc>
      </w:tr>
      <w:tr>
        <w:trPr>
          <w:cantSplit/>
        </w:trPr>
        <w:tc>
          <w:tcPr/>
          <w:p>
            <w:pPr>
              <w:pStyle w:val="Compact"/>
              <w:spacing w:after="40"/>
            </w:pPr>
            <w:r>
              <w:rPr>
                <w:rFonts w:hint="eastAsia"/>
                <w:b w:val="0"/>
                <w:sz w:val="17"/>
              </w:rPr>
              <w:t xml:space="preserve">D／本地</w:t>
            </w:r>
          </w:p>
        </w:tc>
        <w:tc>
          <w:tcPr/>
          <w:p>
            <w:pPr>
              <w:pStyle w:val="Compact"/>
              <w:spacing w:after="40"/>
              <w:jc w:val="right"/>
            </w:pPr>
            <w:r>
              <w:rPr>
                <w:b w:val="0"/>
                <w:sz w:val="17"/>
              </w:rPr>
              <w:t xml:space="preserve">600</w:t>
            </w:r>
          </w:p>
        </w:tc>
        <w:tc>
          <w:tcPr/>
          <w:p>
            <w:pPr>
              <w:pStyle w:val="Compact"/>
              <w:spacing w:after="40"/>
              <w:jc w:val="right"/>
            </w:pPr>
            <w:r>
              <w:rPr>
                <w:b w:val="0"/>
                <w:sz w:val="17"/>
              </w:rPr>
              <w:t xml:space="preserve">68.03</w:t>
            </w:r>
          </w:p>
        </w:tc>
        <w:tc>
          <w:tcPr/>
          <w:p>
            <w:pPr>
              <w:pStyle w:val="Compact"/>
              <w:spacing w:after="40"/>
              <w:jc w:val="right"/>
            </w:pPr>
            <w:r>
              <w:rPr>
                <w:b w:val="0"/>
                <w:sz w:val="17"/>
              </w:rPr>
              <w:t xml:space="preserve">60.25</w:t>
            </w:r>
          </w:p>
        </w:tc>
        <w:tc>
          <w:tcPr/>
          <w:p>
            <w:pPr>
              <w:pStyle w:val="Compact"/>
              <w:spacing w:after="40"/>
              <w:jc w:val="right"/>
            </w:pPr>
            <w:r>
              <w:rPr>
                <w:b w:val="0"/>
                <w:sz w:val="17"/>
              </w:rPr>
              <w:t xml:space="preserve">+7.77</w:t>
            </w:r>
          </w:p>
        </w:tc>
      </w:tr>
      <w:tr>
        <w:trPr>
          <w:cantSplit/>
        </w:trPr>
        <w:tc>
          <w:tcPr/>
          <w:p>
            <w:pPr>
              <w:pStyle w:val="Compact"/>
              <w:spacing w:after="40"/>
            </w:pPr>
            <w:r>
              <w:rPr>
                <w:rFonts w:hint="eastAsia"/>
                <w:b w:val="0"/>
                <w:sz w:val="17"/>
              </w:rPr>
              <w:t xml:space="preserve">D／线上</w:t>
            </w:r>
          </w:p>
        </w:tc>
        <w:tc>
          <w:tcPr/>
          <w:p>
            <w:pPr>
              <w:pStyle w:val="Compact"/>
              <w:spacing w:after="40"/>
              <w:jc w:val="right"/>
            </w:pPr>
            <w:r>
              <w:rPr>
                <w:b w:val="0"/>
                <w:sz w:val="17"/>
              </w:rPr>
              <w:t xml:space="preserve">600</w:t>
            </w:r>
          </w:p>
        </w:tc>
        <w:tc>
          <w:tcPr/>
          <w:p>
            <w:pPr>
              <w:pStyle w:val="Compact"/>
              <w:spacing w:after="40"/>
              <w:jc w:val="right"/>
            </w:pPr>
            <w:r>
              <w:rPr>
                <w:b w:val="0"/>
                <w:sz w:val="17"/>
              </w:rPr>
              <w:t xml:space="preserve">68.50</w:t>
            </w:r>
          </w:p>
        </w:tc>
        <w:tc>
          <w:tcPr/>
          <w:p>
            <w:pPr>
              <w:pStyle w:val="Compact"/>
              <w:spacing w:after="40"/>
              <w:jc w:val="right"/>
            </w:pPr>
            <w:r>
              <w:rPr>
                <w:b w:val="0"/>
                <w:sz w:val="17"/>
              </w:rPr>
              <w:t xml:space="preserve">60.64</w:t>
            </w:r>
          </w:p>
        </w:tc>
        <w:tc>
          <w:tcPr/>
          <w:p>
            <w:pPr>
              <w:pStyle w:val="Compact"/>
              <w:spacing w:after="40"/>
              <w:jc w:val="right"/>
            </w:pPr>
            <w:r>
              <w:rPr>
                <w:b w:val="0"/>
                <w:sz w:val="17"/>
              </w:rPr>
              <w:t xml:space="preserve">+7.86</w:t>
            </w:r>
          </w:p>
        </w:tc>
      </w:tr>
    </w:tbl>
    <w:p>
      <w:pPr>
        <w:pStyle w:val="19"/>
        <w:spacing w:after="100" w:line="300" w:lineRule="auto"/>
      </w:pPr>
      <w:r>
        <w:rPr>
          <w:rFonts w:hint="eastAsia"/>
        </w:rPr>
        <w:t xml:space="preserve">最大预算点的增益为2.36—8.97个百分点，说明这些已选测试集合包含了更多未饱和状态支持。C本地的最小预算点有−0.0062个百分点的微小负差，下一点近乎持平；因此不能写成“任意预算下覆盖选样都更高”。本表是覆盖指标比较，不是准确率提升。</w:t>
      </w:r>
    </w:p>
    <w:bookmarkEnd w:id="21"/>
    <w:bookmarkStart w:id="25" w:name="额外诊断收益有条件"/>
    <w:p>
      <w:pPr>
        <w:pStyle w:val="5"/>
        <w:spacing w:after="100"/>
      </w:pPr>
      <w:r>
        <w:t xml:space="preserve">2.2 </w:t>
      </w:r>
      <w:r>
        <w:rPr>
          <w:rFonts w:hint="eastAsia"/>
        </w:rPr>
        <w:t xml:space="preserve">额外诊断收益有条件</w:t>
      </w:r>
    </w:p>
    <w:p>
      <w:pPr>
        <w:pStyle w:val="FirstParagraph"/>
        <w:spacing w:after="100" w:line="300" w:lineRule="auto"/>
      </w:pPr>
      <w:r>
        <w:rPr>
          <w:rFonts w:hint="eastAsia"/>
        </w:rPr>
        <w:t xml:space="preserve">覆盖值提高本身不足以说明测试更有效。进一步控制共同风险配额，并在每个真实类别中匹配两方法的错误数量后，比较混淆类型和错误表征簇的广度。</w:t>
      </w:r>
    </w:p>
    <w:p>
      <w:pPr>
        <w:pStyle w:val="CaptionedFigure"/>
        <w:keepNext/>
        <w:spacing w:after="100" w:line="300" w:lineRule="auto"/>
      </w:pPr>
      <w:r>
        <w:drawing>
          <wp:inline>
            <wp:extent cx="6120000" cy="2452790"/>
            <wp:effectExtent b="0" l="0" r="0" t="0"/>
            <wp:docPr descr="图2 等错误数下Coverage相对Random的诊断广度增量" title="" id="23" name="Picture"/>
            <a:graphic>
              <a:graphicData uri="http://schemas.openxmlformats.org/drawingml/2006/picture">
                <pic:pic>
                  <pic:nvPicPr>
                    <pic:cNvPr descr="../artifacts/current_method_conclusions_20261012/figures/02_diagnostic_gains.png" id="24" name="Picture"/>
                    <pic:cNvPicPr>
                      <a:picLocks noChangeArrowheads="1" noChangeAspect="1"/>
                    </pic:cNvPicPr>
                  </pic:nvPicPr>
                  <pic:blipFill>
                    <a:blip r:embed="rId22"/>
                    <a:stretch>
                      <a:fillRect/>
                    </a:stretch>
                  </pic:blipFill>
                  <pic:spPr bwMode="auto">
                    <a:xfrm>
                      <a:off x="0" y="0"/>
                      <a:ext cx="6120000" cy="2452790"/>
                    </a:xfrm>
                    <a:prstGeom prst="rect">
                      <a:avLst/>
                    </a:prstGeom>
                    <a:noFill/>
                    <a:ln w="9525">
                      <a:noFill/>
                      <a:headEnd/>
                      <a:tailEnd/>
                    </a:ln>
                  </pic:spPr>
                </pic:pic>
              </a:graphicData>
            </a:graphic>
          </wp:inline>
        </w:drawing>
      </w:r>
    </w:p>
    <w:p>
      <w:pPr>
        <w:pStyle w:val="ImageCaption"/>
        <w:spacing w:after="100" w:line="300" w:lineRule="auto"/>
      </w:pPr>
      <w:r>
        <w:rPr>
          <w:rFonts w:hint="eastAsia"/>
        </w:rPr>
        <w:t xml:space="preserve">图2</w:t>
      </w:r>
      <w:r>
        <w:t xml:space="preserve"> </w:t>
      </w:r>
      <w:r>
        <w:rPr>
          <w:rFonts w:hint="eastAsia"/>
        </w:rPr>
        <w:t xml:space="preserve">等错误数下Coverage相对Random的诊断广度增量</w:t>
      </w:r>
    </w:p>
    <w:p>
      <w:pPr>
        <w:pStyle w:val="19"/>
        <w:spacing w:after="100" w:line="276" w:lineRule="auto"/>
        <w:ind w:firstLine="0"/>
      </w:pPr>
      <w:r>
        <w:rPr>
          <w:rFonts w:hint="eastAsia"/>
          <w:sz w:val="18"/>
        </w:rPr>
        <w:t xml:space="preserve">图2说明：横轴为Coverage减Random的归一化预算AUC，正值表示该指标的平均广度更大。区间沿用架构／种子分层bootstrap结果，条件于当前候选池；实心点表示通过每池主要四项Holm校正，空心点表示未通过。区间与校正检验不是同一统计程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blHeader/>
          <w:cantSplit/>
        </w:trPr>
        <w:tc>
          <w:tcPr/>
          <w:p>
            <w:pPr>
              <w:pStyle w:val="Compact"/>
              <w:spacing w:after="40"/>
            </w:pPr>
            <w:r>
              <w:rPr>
                <w:rFonts w:hint="eastAsia"/>
                <w:b/>
                <w:sz w:val="17"/>
              </w:rPr>
              <w:t xml:space="preserve">池／来源</w:t>
            </w:r>
          </w:p>
        </w:tc>
        <w:tc>
          <w:tcPr/>
          <w:p>
            <w:pPr>
              <w:pStyle w:val="Compact"/>
              <w:spacing w:after="40"/>
              <w:jc w:val="right"/>
            </w:pPr>
            <w:r>
              <w:rPr>
                <w:rFonts w:hint="eastAsia"/>
                <w:b/>
                <w:sz w:val="17"/>
              </w:rPr>
              <w:t xml:space="preserve">混淆AUC差</w:t>
            </w:r>
          </w:p>
        </w:tc>
        <w:tc>
          <w:tcPr/>
          <w:p>
            <w:pPr>
              <w:pStyle w:val="Compact"/>
              <w:spacing w:after="40"/>
              <w:jc w:val="right"/>
            </w:pPr>
            <w:r>
              <w:rPr>
                <w:rFonts w:hint="eastAsia"/>
                <w:b/>
                <w:sz w:val="17"/>
              </w:rPr>
              <w:t xml:space="preserve">主要四项Holm</w:t>
            </w:r>
            <w:r>
              <w:rPr>
                <w:b/>
                <w:sz w:val="17"/>
              </w:rPr>
              <w:t xml:space="preserve"> p</w:t>
            </w:r>
          </w:p>
        </w:tc>
        <w:tc>
          <w:tcPr/>
          <w:p>
            <w:pPr>
              <w:pStyle w:val="Compact"/>
              <w:spacing w:after="40"/>
              <w:jc w:val="right"/>
            </w:pPr>
            <w:r>
              <w:rPr>
                <w:rFonts w:hint="eastAsia"/>
                <w:b/>
                <w:sz w:val="17"/>
              </w:rPr>
              <w:t xml:space="preserve">错误簇AUC差</w:t>
            </w:r>
          </w:p>
        </w:tc>
        <w:tc>
          <w:tcPr/>
          <w:p>
            <w:pPr>
              <w:pStyle w:val="Compact"/>
              <w:spacing w:after="40"/>
              <w:jc w:val="right"/>
            </w:pPr>
            <w:r>
              <w:rPr>
                <w:rFonts w:hint="eastAsia"/>
                <w:b/>
                <w:sz w:val="17"/>
              </w:rPr>
              <w:t xml:space="preserve">主要四项Holm</w:t>
            </w:r>
            <w:r>
              <w:rPr>
                <w:b/>
                <w:sz w:val="17"/>
              </w:rPr>
              <w:t xml:space="preserve"> p</w:t>
            </w:r>
          </w:p>
        </w:tc>
      </w:tr>
      <w:tr>
        <w:trPr>
          <w:cantSplit/>
        </w:trPr>
        <w:tc>
          <w:tcPr/>
          <w:p>
            <w:pPr>
              <w:pStyle w:val="Compact"/>
              <w:spacing w:after="40"/>
            </w:pPr>
            <w:r>
              <w:rPr>
                <w:rFonts w:hint="eastAsia"/>
                <w:b w:val="0"/>
                <w:sz w:val="17"/>
              </w:rPr>
              <w:t xml:space="preserve">B／本地</w:t>
            </w:r>
          </w:p>
        </w:tc>
        <w:tc>
          <w:tcPr/>
          <w:p>
            <w:pPr>
              <w:pStyle w:val="Compact"/>
              <w:spacing w:after="40"/>
              <w:jc w:val="right"/>
            </w:pPr>
            <w:r>
              <w:rPr>
                <w:b w:val="0"/>
                <w:sz w:val="17"/>
              </w:rPr>
              <w:t xml:space="preserve">+0.0158</w:t>
            </w:r>
          </w:p>
        </w:tc>
        <w:tc>
          <w:tcPr/>
          <w:p>
            <w:pPr>
              <w:pStyle w:val="Compact"/>
              <w:spacing w:after="40"/>
              <w:jc w:val="right"/>
            </w:pPr>
            <w:r>
              <w:rPr>
                <w:b w:val="0"/>
                <w:sz w:val="17"/>
              </w:rPr>
              <w:t xml:space="preserve">0.03125</w:t>
            </w:r>
          </w:p>
        </w:tc>
        <w:tc>
          <w:tcPr/>
          <w:p>
            <w:pPr>
              <w:pStyle w:val="Compact"/>
              <w:spacing w:after="40"/>
              <w:jc w:val="right"/>
            </w:pPr>
            <w:r>
              <w:rPr>
                <w:b w:val="0"/>
                <w:sz w:val="17"/>
              </w:rPr>
              <w:t xml:space="preserve">+0.0103</w:t>
            </w:r>
          </w:p>
        </w:tc>
        <w:tc>
          <w:tcPr/>
          <w:p>
            <w:pPr>
              <w:pStyle w:val="Compact"/>
              <w:spacing w:after="40"/>
              <w:jc w:val="right"/>
            </w:pPr>
            <w:r>
              <w:rPr>
                <w:b w:val="0"/>
                <w:sz w:val="17"/>
              </w:rPr>
              <w:t xml:space="preserve">0.03125</w:t>
            </w:r>
          </w:p>
        </w:tc>
      </w:tr>
      <w:tr>
        <w:trPr>
          <w:cantSplit/>
        </w:trPr>
        <w:tc>
          <w:tcPr/>
          <w:p>
            <w:pPr>
              <w:pStyle w:val="Compact"/>
              <w:spacing w:after="40"/>
            </w:pPr>
            <w:r>
              <w:rPr>
                <w:rFonts w:hint="eastAsia"/>
                <w:b w:val="0"/>
                <w:sz w:val="17"/>
              </w:rPr>
              <w:t xml:space="preserve">B／线上</w:t>
            </w:r>
          </w:p>
        </w:tc>
        <w:tc>
          <w:tcPr/>
          <w:p>
            <w:pPr>
              <w:pStyle w:val="Compact"/>
              <w:spacing w:after="40"/>
              <w:jc w:val="right"/>
            </w:pPr>
            <w:r>
              <w:rPr>
                <w:b w:val="0"/>
                <w:sz w:val="17"/>
              </w:rPr>
              <w:t xml:space="preserve">+0.0224</w:t>
            </w:r>
          </w:p>
        </w:tc>
        <w:tc>
          <w:tcPr/>
          <w:p>
            <w:pPr>
              <w:pStyle w:val="Compact"/>
              <w:spacing w:after="40"/>
              <w:jc w:val="right"/>
            </w:pPr>
            <w:r>
              <w:rPr>
                <w:b w:val="0"/>
                <w:sz w:val="17"/>
              </w:rPr>
              <w:t xml:space="preserve">0.03125</w:t>
            </w:r>
          </w:p>
        </w:tc>
        <w:tc>
          <w:tcPr/>
          <w:p>
            <w:pPr>
              <w:pStyle w:val="Compact"/>
              <w:spacing w:after="40"/>
              <w:jc w:val="right"/>
            </w:pPr>
            <w:r>
              <w:rPr>
                <w:b w:val="0"/>
                <w:sz w:val="17"/>
              </w:rPr>
              <w:t xml:space="preserve">+0.0070</w:t>
            </w:r>
          </w:p>
        </w:tc>
        <w:tc>
          <w:tcPr/>
          <w:p>
            <w:pPr>
              <w:pStyle w:val="Compact"/>
              <w:spacing w:after="40"/>
              <w:jc w:val="right"/>
            </w:pPr>
            <w:r>
              <w:rPr>
                <w:b w:val="0"/>
                <w:sz w:val="17"/>
              </w:rPr>
              <w:t xml:space="preserve">0.04688</w:t>
            </w:r>
          </w:p>
        </w:tc>
      </w:tr>
      <w:tr>
        <w:trPr>
          <w:cantSplit/>
        </w:trPr>
        <w:tc>
          <w:tcPr/>
          <w:p>
            <w:pPr>
              <w:pStyle w:val="Compact"/>
              <w:spacing w:after="40"/>
            </w:pPr>
            <w:r>
              <w:rPr>
                <w:rFonts w:hint="eastAsia"/>
                <w:b w:val="0"/>
                <w:sz w:val="17"/>
              </w:rPr>
              <w:t xml:space="preserve">C／本地</w:t>
            </w:r>
          </w:p>
        </w:tc>
        <w:tc>
          <w:tcPr/>
          <w:p>
            <w:pPr>
              <w:pStyle w:val="Compact"/>
              <w:spacing w:after="40"/>
              <w:jc w:val="right"/>
            </w:pPr>
            <w:r>
              <w:rPr>
                <w:b w:val="0"/>
                <w:sz w:val="17"/>
              </w:rPr>
              <w:t xml:space="preserve">+0.0018</w:t>
            </w:r>
          </w:p>
        </w:tc>
        <w:tc>
          <w:tcPr/>
          <w:p>
            <w:pPr>
              <w:pStyle w:val="Compact"/>
              <w:spacing w:after="40"/>
              <w:jc w:val="right"/>
            </w:pPr>
            <w:r>
              <w:rPr>
                <w:b w:val="0"/>
                <w:sz w:val="17"/>
              </w:rPr>
              <w:t xml:space="preserve">0.98438</w:t>
            </w:r>
          </w:p>
        </w:tc>
        <w:tc>
          <w:tcPr/>
          <w:p>
            <w:pPr>
              <w:pStyle w:val="Compact"/>
              <w:spacing w:after="40"/>
              <w:jc w:val="right"/>
            </w:pPr>
            <w:r>
              <w:rPr>
                <w:b w:val="0"/>
                <w:sz w:val="17"/>
              </w:rPr>
              <w:t xml:space="preserve">+0.0010</w:t>
            </w:r>
          </w:p>
        </w:tc>
        <w:tc>
          <w:tcPr/>
          <w:p>
            <w:pPr>
              <w:pStyle w:val="Compact"/>
              <w:spacing w:after="40"/>
              <w:jc w:val="right"/>
            </w:pPr>
            <w:r>
              <w:rPr>
                <w:b w:val="0"/>
                <w:sz w:val="17"/>
              </w:rPr>
              <w:t xml:space="preserve">0.98438</w:t>
            </w:r>
          </w:p>
        </w:tc>
      </w:tr>
      <w:tr>
        <w:trPr>
          <w:cantSplit/>
        </w:trPr>
        <w:tc>
          <w:tcPr/>
          <w:p>
            <w:pPr>
              <w:pStyle w:val="Compact"/>
              <w:spacing w:after="40"/>
            </w:pPr>
            <w:r>
              <w:rPr>
                <w:rFonts w:hint="eastAsia"/>
                <w:b w:val="0"/>
                <w:sz w:val="17"/>
              </w:rPr>
              <w:t xml:space="preserve">C／线上</w:t>
            </w:r>
          </w:p>
        </w:tc>
        <w:tc>
          <w:tcPr/>
          <w:p>
            <w:pPr>
              <w:pStyle w:val="Compact"/>
              <w:spacing w:after="40"/>
              <w:jc w:val="right"/>
            </w:pPr>
            <w:r>
              <w:rPr>
                <w:b w:val="0"/>
                <w:sz w:val="17"/>
              </w:rPr>
              <w:t xml:space="preserve">+0.0185</w:t>
            </w:r>
          </w:p>
        </w:tc>
        <w:tc>
          <w:tcPr/>
          <w:p>
            <w:pPr>
              <w:pStyle w:val="Compact"/>
              <w:spacing w:after="40"/>
              <w:jc w:val="right"/>
            </w:pPr>
            <w:r>
              <w:rPr>
                <w:b w:val="0"/>
                <w:sz w:val="17"/>
              </w:rPr>
              <w:t xml:space="preserve">0.03125</w:t>
            </w:r>
          </w:p>
        </w:tc>
        <w:tc>
          <w:tcPr/>
          <w:p>
            <w:pPr>
              <w:pStyle w:val="Compact"/>
              <w:spacing w:after="40"/>
              <w:jc w:val="right"/>
            </w:pPr>
            <w:r>
              <w:rPr>
                <w:b w:val="0"/>
                <w:sz w:val="17"/>
              </w:rPr>
              <w:t xml:space="preserve">+0.0164</w:t>
            </w:r>
          </w:p>
        </w:tc>
        <w:tc>
          <w:tcPr/>
          <w:p>
            <w:pPr>
              <w:pStyle w:val="Compact"/>
              <w:spacing w:after="40"/>
              <w:jc w:val="right"/>
            </w:pPr>
            <w:r>
              <w:rPr>
                <w:b w:val="0"/>
                <w:sz w:val="17"/>
              </w:rPr>
              <w:t xml:space="preserve">0.03125</w:t>
            </w:r>
          </w:p>
        </w:tc>
      </w:tr>
      <w:tr>
        <w:trPr>
          <w:cantSplit/>
        </w:trPr>
        <w:tc>
          <w:tcPr/>
          <w:p>
            <w:pPr>
              <w:pStyle w:val="Compact"/>
              <w:spacing w:after="40"/>
            </w:pPr>
            <w:r>
              <w:rPr>
                <w:rFonts w:hint="eastAsia"/>
                <w:b w:val="0"/>
                <w:sz w:val="17"/>
              </w:rPr>
              <w:t xml:space="preserve">D／本地</w:t>
            </w:r>
          </w:p>
        </w:tc>
        <w:tc>
          <w:tcPr/>
          <w:p>
            <w:pPr>
              <w:pStyle w:val="Compact"/>
              <w:spacing w:after="40"/>
              <w:jc w:val="right"/>
            </w:pPr>
            <w:r>
              <w:rPr>
                <w:b w:val="0"/>
                <w:sz w:val="17"/>
              </w:rPr>
              <w:t xml:space="preserve">+0.0377</w:t>
            </w:r>
          </w:p>
        </w:tc>
        <w:tc>
          <w:tcPr/>
          <w:p>
            <w:pPr>
              <w:pStyle w:val="Compact"/>
              <w:spacing w:after="40"/>
              <w:jc w:val="right"/>
            </w:pPr>
            <w:r>
              <w:rPr>
                <w:b w:val="0"/>
                <w:sz w:val="17"/>
              </w:rPr>
              <w:t xml:space="preserve">0.03125</w:t>
            </w:r>
          </w:p>
        </w:tc>
        <w:tc>
          <w:tcPr/>
          <w:p>
            <w:pPr>
              <w:pStyle w:val="Compact"/>
              <w:spacing w:after="40"/>
              <w:jc w:val="right"/>
            </w:pPr>
            <w:r>
              <w:rPr>
                <w:b w:val="0"/>
                <w:sz w:val="17"/>
              </w:rPr>
              <w:t xml:space="preserve">+0.0262</w:t>
            </w:r>
          </w:p>
        </w:tc>
        <w:tc>
          <w:tcPr/>
          <w:p>
            <w:pPr>
              <w:pStyle w:val="Compact"/>
              <w:spacing w:after="40"/>
              <w:jc w:val="right"/>
            </w:pPr>
            <w:r>
              <w:rPr>
                <w:b w:val="0"/>
                <w:sz w:val="17"/>
              </w:rPr>
              <w:t xml:space="preserve">0.03125</w:t>
            </w:r>
          </w:p>
        </w:tc>
      </w:tr>
      <w:tr>
        <w:trPr>
          <w:cantSplit/>
        </w:trPr>
        <w:tc>
          <w:tcPr/>
          <w:p>
            <w:pPr>
              <w:pStyle w:val="Compact"/>
              <w:spacing w:after="40"/>
            </w:pPr>
            <w:r>
              <w:rPr>
                <w:rFonts w:hint="eastAsia"/>
                <w:b w:val="0"/>
                <w:sz w:val="17"/>
              </w:rPr>
              <w:t xml:space="preserve">D／线上</w:t>
            </w:r>
          </w:p>
        </w:tc>
        <w:tc>
          <w:tcPr/>
          <w:p>
            <w:pPr>
              <w:pStyle w:val="Compact"/>
              <w:spacing w:after="40"/>
              <w:jc w:val="right"/>
            </w:pPr>
            <w:r>
              <w:rPr>
                <w:b w:val="0"/>
                <w:sz w:val="17"/>
              </w:rPr>
              <w:t xml:space="preserve">+0.0168</w:t>
            </w:r>
          </w:p>
        </w:tc>
        <w:tc>
          <w:tcPr/>
          <w:p>
            <w:pPr>
              <w:pStyle w:val="Compact"/>
              <w:spacing w:after="40"/>
              <w:jc w:val="right"/>
            </w:pPr>
            <w:r>
              <w:rPr>
                <w:b w:val="0"/>
                <w:sz w:val="17"/>
              </w:rPr>
              <w:t xml:space="preserve">0.03125</w:t>
            </w:r>
          </w:p>
        </w:tc>
        <w:tc>
          <w:tcPr/>
          <w:p>
            <w:pPr>
              <w:pStyle w:val="Compact"/>
              <w:spacing w:after="40"/>
              <w:jc w:val="right"/>
            </w:pPr>
            <w:r>
              <w:rPr>
                <w:b w:val="0"/>
                <w:sz w:val="17"/>
              </w:rPr>
              <w:t xml:space="preserve">+0.0123</w:t>
            </w:r>
          </w:p>
        </w:tc>
        <w:tc>
          <w:tcPr/>
          <w:p>
            <w:pPr>
              <w:pStyle w:val="Compact"/>
              <w:spacing w:after="40"/>
              <w:jc w:val="right"/>
            </w:pPr>
            <w:r>
              <w:rPr>
                <w:b w:val="0"/>
                <w:sz w:val="17"/>
              </w:rPr>
              <w:t xml:space="preserve">0.03125</w:t>
            </w:r>
          </w:p>
        </w:tc>
      </w:tr>
    </w:tbl>
    <w:p>
      <w:pPr>
        <w:pStyle w:val="19"/>
        <w:spacing w:after="100" w:line="300" w:lineRule="auto"/>
      </w:pPr>
      <w:r>
        <w:rPr>
          <w:rFonts w:hint="eastAsia"/>
        </w:rPr>
        <w:t xml:space="preserve">在这一主要比较家族中，B/D的两来源均获支持，C仅线上来源获支持。将各池全部20项比较共同校正后，均未获支持；相对DeepGini、DSA和k-center的强基线家族也未获得校正支持。点估计并非全面占优，例如C本地相对k-center的混淆／错误簇差为−0.0072／−0.0089，D线上相对DeepGini的混淆差为−0.0031。</w:t>
      </w:r>
    </w:p>
    <w:p>
      <w:pPr>
        <w:pStyle w:val="19"/>
        <w:spacing w:after="100" w:line="300" w:lineRule="auto"/>
      </w:pPr>
      <w:r>
        <w:rPr>
          <w:rFonts w:hint="eastAsia"/>
        </w:rPr>
        <w:t xml:space="preserve">控制协议和表征也影响结果：精确匹配Coverage自身风险直方图的另一协议中，D仅本地混淆类型保留校正支持；统一ViT错误簇表征时，B/C两来源未获支持，D两来源获支持。因此，当前可写“在指定设置下相对随机选样获得额外诊断广度”，不能写“全面最优”“完全独立于风险”或“发现更多独立缺陷”。</w:t>
      </w:r>
    </w:p>
    <w:bookmarkEnd w:id="25"/>
    <w:bookmarkEnd w:id="26"/>
    <w:bookmarkStart w:id="35" w:name="三风险组织揭示了什么模型表现"/>
    <w:p>
      <w:pPr>
        <w:pStyle w:val="4"/>
        <w:spacing w:after="100"/>
      </w:pPr>
      <w:r>
        <w:rPr>
          <w:rFonts w:hint="eastAsia"/>
        </w:rPr>
        <w:t xml:space="preserve">三、风险组织揭示了什么模型表现</w:t>
      </w:r>
    </w:p>
    <w:bookmarkStart w:id="30" w:name="高低风险层区分度超出随机划层波动"/>
    <w:p>
      <w:pPr>
        <w:pStyle w:val="5"/>
        <w:spacing w:after="100"/>
      </w:pPr>
      <w:r>
        <w:t xml:space="preserve">3.1 </w:t>
      </w:r>
      <w:r>
        <w:rPr>
          <w:rFonts w:hint="eastAsia"/>
        </w:rPr>
        <w:t xml:space="preserve">高低风险层区分度超出随机划层波动</w:t>
      </w:r>
    </w:p>
    <w:p>
      <w:pPr>
        <w:pStyle w:val="CaptionedFigure"/>
        <w:keepNext/>
        <w:spacing w:after="100" w:line="300" w:lineRule="auto"/>
      </w:pPr>
      <w:r>
        <w:drawing>
          <wp:inline>
            <wp:extent cx="6120000" cy="2452790"/>
            <wp:effectExtent b="0" l="0" r="0" t="0"/>
            <wp:docPr descr="图3 风险分层的随机对照与面积对照" title="" id="28" name="Picture"/>
            <a:graphic>
              <a:graphicData uri="http://schemas.openxmlformats.org/drawingml/2006/picture">
                <pic:pic>
                  <pic:nvPicPr>
                    <pic:cNvPr descr="../artifacts/current_method_conclusions_20261012/figures/03_risk_controls.png" id="29" name="Picture"/>
                    <pic:cNvPicPr>
                      <a:picLocks noChangeArrowheads="1" noChangeAspect="1"/>
                    </pic:cNvPicPr>
                  </pic:nvPicPr>
                  <pic:blipFill>
                    <a:blip r:embed="rId27"/>
                    <a:stretch>
                      <a:fillRect/>
                    </a:stretch>
                  </pic:blipFill>
                  <pic:spPr bwMode="auto">
                    <a:xfrm>
                      <a:off x="0" y="0"/>
                      <a:ext cx="6120000" cy="2452790"/>
                    </a:xfrm>
                    <a:prstGeom prst="rect">
                      <a:avLst/>
                    </a:prstGeom>
                    <a:noFill/>
                    <a:ln w="9525">
                      <a:noFill/>
                      <a:headEnd/>
                      <a:tailEnd/>
                    </a:ln>
                  </pic:spPr>
                </pic:pic>
              </a:graphicData>
            </a:graphic>
          </wp:inline>
        </w:drawing>
      </w:r>
    </w:p>
    <w:p>
      <w:pPr>
        <w:pStyle w:val="ImageCaption"/>
        <w:spacing w:after="100" w:line="300" w:lineRule="auto"/>
      </w:pPr>
      <w:r>
        <w:rPr>
          <w:rFonts w:hint="eastAsia"/>
        </w:rPr>
        <w:t xml:space="preserve">图3</w:t>
      </w:r>
      <w:r>
        <w:t xml:space="preserve"> </w:t>
      </w:r>
      <w:r>
        <w:rPr>
          <w:rFonts w:hint="eastAsia"/>
        </w:rPr>
        <w:t xml:space="preserve">风险分层的随机对照与面积对照</w:t>
      </w:r>
    </w:p>
    <w:p>
      <w:pPr>
        <w:pStyle w:val="19"/>
        <w:spacing w:after="100" w:line="276" w:lineRule="auto"/>
        <w:ind w:firstLine="0"/>
      </w:pPr>
      <w:r>
        <w:rPr>
          <w:rFonts w:hint="eastAsia"/>
          <w:sz w:val="18"/>
        </w:rPr>
        <w:t xml:space="preserve">图3说明：左图为主面板的Q1减Q5</w:t>
      </w:r>
      <w:r>
        <w:rPr>
          <w:sz w:val="18"/>
        </w:rPr>
        <w:t xml:space="preserve"> </w:t>
      </w:r>
      <w:r>
        <w:rPr>
          <w:rFonts w:hint="eastAsia"/>
          <w:sz w:val="18"/>
        </w:rPr>
        <w:t xml:space="preserve">Macro-F1。彩色点为实际风险落差，灰色段为10000次类别平衡随机五等分落差的中心95%范围，后者不是部署性能置信区间。右图为完整评分落差减仅面积落差，区间为既有架构／种子bootstrap结果；正值有利于完整评分。</w:t>
      </w:r>
    </w:p>
    <w:p>
      <w:pPr>
        <w:pStyle w:val="19"/>
        <w:spacing w:after="100" w:line="300" w:lineRule="auto"/>
      </w:pPr>
      <w:r>
        <w:rPr>
          <w:rFonts w:hint="eastAsia"/>
        </w:rPr>
        <w:t xml:space="preserve">六个“池—标注来源”设置的平均高低层落差为14.44—41.80个百分点，所有主面板运行的Q5表现均低于Q1。六个随机对照的Holm</w:t>
      </w:r>
      <w:r>
        <w:t xml:space="preserve"> </w:t>
      </w:r>
      <w:r>
        <w:rPr>
          <w:rFonts w:hint="eastAsia"/>
        </w:rPr>
        <w:t xml:space="preserve">p均约0.00060，表明随机划层波动不足以解释当前端点差。不过中间层可以出现回升，不能声称风险层与性能逐层严格单调。</w:t>
      </w:r>
    </w:p>
    <w:p>
      <w:pPr>
        <w:pStyle w:val="19"/>
        <w:spacing w:after="100" w:line="300" w:lineRule="auto"/>
      </w:pPr>
      <w:r>
        <w:rPr>
          <w:rFonts w:hint="eastAsia"/>
        </w:rPr>
        <w:t xml:space="preserve">只用官方框面积比也能产生较大落差。完整评分相对仅面积的增量在B本地、C两来源为正，在B线上、D两来源为负；正增量均未通过六项Holm校正，D两项负增量的校正p均为0.04688。该结果限定了VLM多维风险评分的增量价值：它可以组织可解释条件，但现有证据不支持其端点区分普遍强于简单面积信息。</w:t>
      </w:r>
    </w:p>
    <w:bookmarkEnd w:id="30"/>
    <w:bookmarkStart w:id="34" w:name="固定预算下测试构成改变测得性能"/>
    <w:p>
      <w:pPr>
        <w:pStyle w:val="5"/>
        <w:spacing w:after="100"/>
      </w:pPr>
      <w:r>
        <w:t xml:space="preserve">3.2 </w:t>
      </w:r>
      <w:r>
        <w:rPr>
          <w:rFonts w:hint="eastAsia"/>
        </w:rPr>
        <w:t xml:space="preserve">固定预算下，测试构成改变测得性能</w:t>
      </w:r>
    </w:p>
    <w:p>
      <w:pPr>
        <w:pStyle w:val="CaptionedFigure"/>
        <w:keepNext/>
        <w:spacing w:after="100" w:line="300" w:lineRule="auto"/>
      </w:pPr>
      <w:r>
        <w:drawing>
          <wp:inline>
            <wp:extent cx="6120000" cy="2055951"/>
            <wp:effectExtent b="0" l="0" r="0" t="0"/>
            <wp:docPr descr="图4 固定120目标时的风险混合性能响应" title="" id="32" name="Picture"/>
            <a:graphic>
              <a:graphicData uri="http://schemas.openxmlformats.org/drawingml/2006/picture">
                <pic:pic>
                  <pic:nvPicPr>
                    <pic:cNvPr descr="../artifacts/current_method_conclusions_20261012/figures/04_risk_mixture.png" id="33" name="Picture"/>
                    <pic:cNvPicPr>
                      <a:picLocks noChangeArrowheads="1" noChangeAspect="1"/>
                    </pic:cNvPicPr>
                  </pic:nvPicPr>
                  <pic:blipFill>
                    <a:blip r:embed="rId31"/>
                    <a:stretch>
                      <a:fillRect/>
                    </a:stretch>
                  </pic:blipFill>
                  <pic:spPr bwMode="auto">
                    <a:xfrm>
                      <a:off x="0" y="0"/>
                      <a:ext cx="6120000" cy="2055951"/>
                    </a:xfrm>
                    <a:prstGeom prst="rect">
                      <a:avLst/>
                    </a:prstGeom>
                    <a:noFill/>
                    <a:ln w="9525">
                      <a:noFill/>
                      <a:headEnd/>
                      <a:tailEnd/>
                    </a:ln>
                  </pic:spPr>
                </pic:pic>
              </a:graphicData>
            </a:graphic>
          </wp:inline>
        </w:drawing>
      </w:r>
    </w:p>
    <w:p>
      <w:pPr>
        <w:pStyle w:val="ImageCaption"/>
        <w:spacing w:after="100" w:line="300" w:lineRule="auto"/>
      </w:pPr>
      <w:r>
        <w:rPr>
          <w:rFonts w:hint="eastAsia"/>
        </w:rPr>
        <w:t xml:space="preserve">图4</w:t>
      </w:r>
      <w:r>
        <w:t xml:space="preserve"> </w:t>
      </w:r>
      <w:r>
        <w:rPr>
          <w:rFonts w:hint="eastAsia"/>
        </w:rPr>
        <w:t xml:space="preserve">固定120目标时的风险混合性能响应</w:t>
      </w:r>
    </w:p>
    <w:p>
      <w:pPr>
        <w:pStyle w:val="19"/>
        <w:spacing w:after="100" w:line="276" w:lineRule="auto"/>
        <w:ind w:firstLine="0"/>
      </w:pPr>
      <w:r>
        <w:rPr>
          <w:rFonts w:hint="eastAsia"/>
          <w:sz w:val="18"/>
        </w:rPr>
        <w:t xml:space="preserve">图4说明：每类20个目标，共120个。Q5占比从0%至100%，共21个实测比例点，每点1000次抽样；图中连接既有面板均值，不生成拟合观测。0%从Q1—Q4并集抽取，100%全部来自Q5。两种状态来源分别组织测试，曲线不代表两分类器。</w:t>
      </w:r>
    </w:p>
    <w:tbl>
      <w:tblPr>
        <w:tblStyle w:val="Table"/>
        <w:tblW w:type="auto" w:w="0"/>
        <w:tblLook w:firstRow="1" w:lastRow="0" w:firstColumn="0" w:lastColumn="0" w:noHBand="0" w:noVBand="0" w:val="0020"/>
      </w:tblPr>
      <w:tblGrid>
        <w:gridCol w:w="1980"/>
        <w:gridCol w:w="1980"/>
        <w:gridCol w:w="1980"/>
        <w:gridCol w:w="1980"/>
      </w:tblGrid>
      <w:tr>
        <w:trPr>
          <w:tblHeader w:val="on"/>
          <w:tblHeader/>
          <w:cantSplit/>
        </w:trPr>
        <w:tc>
          <w:tcPr/>
          <w:p>
            <w:pPr>
              <w:pStyle w:val="Compact"/>
              <w:spacing w:after="40"/>
            </w:pPr>
            <w:r>
              <w:rPr>
                <w:rFonts w:hint="eastAsia"/>
                <w:b/>
                <w:sz w:val="17"/>
              </w:rPr>
              <w:t xml:space="preserve">池／来源</w:t>
            </w:r>
          </w:p>
        </w:tc>
        <w:tc>
          <w:tcPr/>
          <w:p>
            <w:pPr>
              <w:pStyle w:val="Compact"/>
              <w:spacing w:after="40"/>
              <w:jc w:val="right"/>
            </w:pPr>
            <w:r>
              <w:rPr>
                <w:b/>
                <w:sz w:val="17"/>
              </w:rPr>
              <w:t xml:space="preserve">0% </w:t>
            </w:r>
            <w:r>
              <w:rPr>
                <w:rFonts w:hint="eastAsia"/>
                <w:b/>
                <w:sz w:val="17"/>
              </w:rPr>
              <w:t xml:space="preserve">Q5的F1(%)</w:t>
            </w:r>
          </w:p>
        </w:tc>
        <w:tc>
          <w:tcPr/>
          <w:p>
            <w:pPr>
              <w:pStyle w:val="Compact"/>
              <w:spacing w:after="40"/>
              <w:jc w:val="right"/>
            </w:pPr>
            <w:r>
              <w:rPr>
                <w:b/>
                <w:sz w:val="17"/>
              </w:rPr>
              <w:t xml:space="preserve">100% </w:t>
            </w:r>
            <w:r>
              <w:rPr>
                <w:rFonts w:hint="eastAsia"/>
                <w:b/>
                <w:sz w:val="17"/>
              </w:rPr>
              <w:t xml:space="preserve">Q5的F1(%)</w:t>
            </w:r>
          </w:p>
        </w:tc>
        <w:tc>
          <w:tcPr/>
          <w:p>
            <w:pPr>
              <w:pStyle w:val="Compact"/>
              <w:spacing w:after="40"/>
              <w:jc w:val="right"/>
            </w:pPr>
            <w:r>
              <w:rPr>
                <w:rFonts w:hint="eastAsia"/>
                <w:b/>
                <w:sz w:val="17"/>
              </w:rPr>
              <w:t xml:space="preserve">终点差(pp)</w:t>
            </w:r>
          </w:p>
        </w:tc>
      </w:tr>
      <w:tr>
        <w:trPr>
          <w:cantSplit/>
        </w:trPr>
        <w:tc>
          <w:tcPr/>
          <w:p>
            <w:pPr>
              <w:pStyle w:val="Compact"/>
              <w:spacing w:after="40"/>
            </w:pPr>
            <w:r>
              <w:rPr>
                <w:rFonts w:hint="eastAsia"/>
                <w:b w:val="0"/>
                <w:sz w:val="17"/>
              </w:rPr>
              <w:t xml:space="preserve">B／本地</w:t>
            </w:r>
          </w:p>
        </w:tc>
        <w:tc>
          <w:tcPr/>
          <w:p>
            <w:pPr>
              <w:pStyle w:val="Compact"/>
              <w:spacing w:after="40"/>
              <w:jc w:val="right"/>
            </w:pPr>
            <w:r>
              <w:rPr>
                <w:b w:val="0"/>
                <w:sz w:val="17"/>
              </w:rPr>
              <w:t xml:space="preserve">90.18</w:t>
            </w:r>
          </w:p>
        </w:tc>
        <w:tc>
          <w:tcPr/>
          <w:p>
            <w:pPr>
              <w:pStyle w:val="Compact"/>
              <w:spacing w:after="40"/>
              <w:jc w:val="right"/>
            </w:pPr>
            <w:r>
              <w:rPr>
                <w:b w:val="0"/>
                <w:sz w:val="17"/>
              </w:rPr>
              <w:t xml:space="preserve">69.40</w:t>
            </w:r>
          </w:p>
        </w:tc>
        <w:tc>
          <w:tcPr/>
          <w:p>
            <w:pPr>
              <w:pStyle w:val="Compact"/>
              <w:spacing w:after="40"/>
              <w:jc w:val="right"/>
            </w:pPr>
            <w:r>
              <w:rPr>
                <w:b w:val="0"/>
                <w:sz w:val="17"/>
              </w:rPr>
              <w:t xml:space="preserve">−20.78</w:t>
            </w:r>
          </w:p>
        </w:tc>
      </w:tr>
      <w:tr>
        <w:trPr>
          <w:cantSplit/>
        </w:trPr>
        <w:tc>
          <w:tcPr/>
          <w:p>
            <w:pPr>
              <w:pStyle w:val="Compact"/>
              <w:spacing w:after="40"/>
            </w:pPr>
            <w:r>
              <w:rPr>
                <w:rFonts w:hint="eastAsia"/>
                <w:b w:val="0"/>
                <w:sz w:val="17"/>
              </w:rPr>
              <w:t xml:space="preserve">B／线上</w:t>
            </w:r>
          </w:p>
        </w:tc>
        <w:tc>
          <w:tcPr/>
          <w:p>
            <w:pPr>
              <w:pStyle w:val="Compact"/>
              <w:spacing w:after="40"/>
              <w:jc w:val="right"/>
            </w:pPr>
            <w:r>
              <w:rPr>
                <w:b w:val="0"/>
                <w:sz w:val="17"/>
              </w:rPr>
              <w:t xml:space="preserve">89.34</w:t>
            </w:r>
          </w:p>
        </w:tc>
        <w:tc>
          <w:tcPr/>
          <w:p>
            <w:pPr>
              <w:pStyle w:val="Compact"/>
              <w:spacing w:after="40"/>
              <w:jc w:val="right"/>
            </w:pPr>
            <w:r>
              <w:rPr>
                <w:b w:val="0"/>
                <w:sz w:val="17"/>
              </w:rPr>
              <w:t xml:space="preserve">72.72</w:t>
            </w:r>
          </w:p>
        </w:tc>
        <w:tc>
          <w:tcPr/>
          <w:p>
            <w:pPr>
              <w:pStyle w:val="Compact"/>
              <w:spacing w:after="40"/>
              <w:jc w:val="right"/>
            </w:pPr>
            <w:r>
              <w:rPr>
                <w:b w:val="0"/>
                <w:sz w:val="17"/>
              </w:rPr>
              <w:t xml:space="preserve">−16.62</w:t>
            </w:r>
          </w:p>
        </w:tc>
      </w:tr>
      <w:tr>
        <w:trPr>
          <w:cantSplit/>
        </w:trPr>
        <w:tc>
          <w:tcPr/>
          <w:p>
            <w:pPr>
              <w:pStyle w:val="Compact"/>
              <w:spacing w:after="40"/>
            </w:pPr>
            <w:r>
              <w:rPr>
                <w:rFonts w:hint="eastAsia"/>
                <w:b w:val="0"/>
                <w:sz w:val="17"/>
              </w:rPr>
              <w:t xml:space="preserve">C／本地</w:t>
            </w:r>
          </w:p>
        </w:tc>
        <w:tc>
          <w:tcPr/>
          <w:p>
            <w:pPr>
              <w:pStyle w:val="Compact"/>
              <w:spacing w:after="40"/>
              <w:jc w:val="right"/>
            </w:pPr>
            <w:r>
              <w:rPr>
                <w:b w:val="0"/>
                <w:sz w:val="17"/>
              </w:rPr>
              <w:t xml:space="preserve">91.80</w:t>
            </w:r>
          </w:p>
        </w:tc>
        <w:tc>
          <w:tcPr/>
          <w:p>
            <w:pPr>
              <w:pStyle w:val="Compact"/>
              <w:spacing w:after="40"/>
              <w:jc w:val="right"/>
            </w:pPr>
            <w:r>
              <w:rPr>
                <w:b w:val="0"/>
                <w:sz w:val="17"/>
              </w:rPr>
              <w:t xml:space="preserve">75.88</w:t>
            </w:r>
          </w:p>
        </w:tc>
        <w:tc>
          <w:tcPr/>
          <w:p>
            <w:pPr>
              <w:pStyle w:val="Compact"/>
              <w:spacing w:after="40"/>
              <w:jc w:val="right"/>
            </w:pPr>
            <w:r>
              <w:rPr>
                <w:b w:val="0"/>
                <w:sz w:val="17"/>
              </w:rPr>
              <w:t xml:space="preserve">−15.92</w:t>
            </w:r>
          </w:p>
        </w:tc>
      </w:tr>
      <w:tr>
        <w:trPr>
          <w:cantSplit/>
        </w:trPr>
        <w:tc>
          <w:tcPr/>
          <w:p>
            <w:pPr>
              <w:pStyle w:val="Compact"/>
              <w:spacing w:after="40"/>
            </w:pPr>
            <w:r>
              <w:rPr>
                <w:rFonts w:hint="eastAsia"/>
                <w:b w:val="0"/>
                <w:sz w:val="17"/>
              </w:rPr>
              <w:t xml:space="preserve">C／线上</w:t>
            </w:r>
          </w:p>
        </w:tc>
        <w:tc>
          <w:tcPr/>
          <w:p>
            <w:pPr>
              <w:pStyle w:val="Compact"/>
              <w:spacing w:after="40"/>
              <w:jc w:val="right"/>
            </w:pPr>
            <w:r>
              <w:rPr>
                <w:b w:val="0"/>
                <w:sz w:val="17"/>
              </w:rPr>
              <w:t xml:space="preserve">91.07</w:t>
            </w:r>
          </w:p>
        </w:tc>
        <w:tc>
          <w:tcPr/>
          <w:p>
            <w:pPr>
              <w:pStyle w:val="Compact"/>
              <w:spacing w:after="40"/>
              <w:jc w:val="right"/>
            </w:pPr>
            <w:r>
              <w:rPr>
                <w:b w:val="0"/>
                <w:sz w:val="17"/>
              </w:rPr>
              <w:t xml:space="preserve">78.78</w:t>
            </w:r>
          </w:p>
        </w:tc>
        <w:tc>
          <w:tcPr/>
          <w:p>
            <w:pPr>
              <w:pStyle w:val="Compact"/>
              <w:spacing w:after="40"/>
              <w:jc w:val="right"/>
            </w:pPr>
            <w:r>
              <w:rPr>
                <w:b w:val="0"/>
                <w:sz w:val="17"/>
              </w:rPr>
              <w:t xml:space="preserve">−12.29</w:t>
            </w:r>
          </w:p>
        </w:tc>
      </w:tr>
      <w:tr>
        <w:trPr>
          <w:cantSplit/>
        </w:trPr>
        <w:tc>
          <w:tcPr/>
          <w:p>
            <w:pPr>
              <w:pStyle w:val="Compact"/>
              <w:spacing w:after="40"/>
            </w:pPr>
            <w:r>
              <w:rPr>
                <w:rFonts w:hint="eastAsia"/>
                <w:b w:val="0"/>
                <w:sz w:val="17"/>
              </w:rPr>
              <w:t xml:space="preserve">D／本地</w:t>
            </w:r>
          </w:p>
        </w:tc>
        <w:tc>
          <w:tcPr/>
          <w:p>
            <w:pPr>
              <w:pStyle w:val="Compact"/>
              <w:spacing w:after="40"/>
              <w:jc w:val="right"/>
            </w:pPr>
            <w:r>
              <w:rPr>
                <w:b w:val="0"/>
                <w:sz w:val="17"/>
              </w:rPr>
              <w:t xml:space="preserve">79.81</w:t>
            </w:r>
          </w:p>
        </w:tc>
        <w:tc>
          <w:tcPr/>
          <w:p>
            <w:pPr>
              <w:pStyle w:val="Compact"/>
              <w:spacing w:after="40"/>
              <w:jc w:val="right"/>
            </w:pPr>
            <w:r>
              <w:rPr>
                <w:b w:val="0"/>
                <w:sz w:val="17"/>
              </w:rPr>
              <w:t xml:space="preserve">45.04</w:t>
            </w:r>
          </w:p>
        </w:tc>
        <w:tc>
          <w:tcPr/>
          <w:p>
            <w:pPr>
              <w:pStyle w:val="Compact"/>
              <w:spacing w:after="40"/>
              <w:jc w:val="right"/>
            </w:pPr>
            <w:r>
              <w:rPr>
                <w:b w:val="0"/>
                <w:sz w:val="17"/>
              </w:rPr>
              <w:t xml:space="preserve">−34.77</w:t>
            </w:r>
          </w:p>
        </w:tc>
      </w:tr>
      <w:tr>
        <w:trPr>
          <w:cantSplit/>
        </w:trPr>
        <w:tc>
          <w:tcPr/>
          <w:p>
            <w:pPr>
              <w:pStyle w:val="Compact"/>
              <w:spacing w:after="40"/>
            </w:pPr>
            <w:r>
              <w:rPr>
                <w:rFonts w:hint="eastAsia"/>
                <w:b w:val="0"/>
                <w:sz w:val="17"/>
              </w:rPr>
              <w:t xml:space="preserve">D／线上</w:t>
            </w:r>
          </w:p>
        </w:tc>
        <w:tc>
          <w:tcPr/>
          <w:p>
            <w:pPr>
              <w:pStyle w:val="Compact"/>
              <w:spacing w:after="40"/>
              <w:jc w:val="right"/>
            </w:pPr>
            <w:r>
              <w:rPr>
                <w:b w:val="0"/>
                <w:sz w:val="17"/>
              </w:rPr>
              <w:t xml:space="preserve">79.33</w:t>
            </w:r>
          </w:p>
        </w:tc>
        <w:tc>
          <w:tcPr/>
          <w:p>
            <w:pPr>
              <w:pStyle w:val="Compact"/>
              <w:spacing w:after="40"/>
              <w:jc w:val="right"/>
            </w:pPr>
            <w:r>
              <w:rPr>
                <w:b w:val="0"/>
                <w:sz w:val="17"/>
              </w:rPr>
              <w:t xml:space="preserve">47.49</w:t>
            </w:r>
          </w:p>
        </w:tc>
        <w:tc>
          <w:tcPr/>
          <w:p>
            <w:pPr>
              <w:pStyle w:val="Compact"/>
              <w:spacing w:after="40"/>
              <w:jc w:val="right"/>
            </w:pPr>
            <w:r>
              <w:rPr>
                <w:b w:val="0"/>
                <w:sz w:val="17"/>
              </w:rPr>
              <w:t xml:space="preserve">−31.84</w:t>
            </w:r>
          </w:p>
        </w:tc>
      </w:tr>
    </w:tbl>
    <w:p>
      <w:pPr>
        <w:pStyle w:val="19"/>
        <w:spacing w:after="100" w:line="300" w:lineRule="auto"/>
      </w:pPr>
      <w:r>
        <w:rPr>
          <w:rFonts w:hint="eastAsia"/>
        </w:rPr>
        <w:t xml:space="preserve">六个设置的平均终点变化均为负，降幅为12.29—34.77个百分点；主面板48个架构—设置的平均终点差也均为负。变化来自测试成员和风险构成，模型权重及同一目标的预测未改变。这说明总体指标必须结合测试构成解释，不能将其下降解释为模型训练后变差，也不能反向保证所有类别、Precision或Recall都同步下降。</w:t>
      </w:r>
    </w:p>
    <w:p>
      <w:pPr>
        <w:pStyle w:val="19"/>
        <w:spacing w:after="100" w:line="300" w:lineRule="auto"/>
      </w:pPr>
      <w:r>
        <w:rPr>
          <w:rFonts w:hint="eastAsia"/>
        </w:rPr>
        <w:t xml:space="preserve">更多错误也不必然意味着更多不同失败信息。风险混合中，原始失败状态广度上升，但对20%</w:t>
      </w:r>
      <w:r>
        <w:t xml:space="preserve"> </w:t>
      </w:r>
      <w:r>
        <w:rPr>
          <w:rFonts w:hint="eastAsia"/>
        </w:rPr>
        <w:t xml:space="preserve">Q5参考进行等错误数控制后，混淆和错误簇广度未一致增加。当前证据支持“测试构成暴露条件能力差异”，不支持“高风险比例越高，独立诊断收益必然越大”。</w:t>
      </w:r>
    </w:p>
    <w:bookmarkEnd w:id="34"/>
    <w:bookmarkEnd w:id="35"/>
    <w:bookmarkStart w:id="44" w:name="四条件报告能否得到可复查的结果"/>
    <w:p>
      <w:pPr>
        <w:pStyle w:val="4"/>
        <w:spacing w:after="100"/>
      </w:pPr>
      <w:r>
        <w:rPr>
          <w:rFonts w:hint="eastAsia"/>
        </w:rPr>
        <w:t xml:space="preserve">四、条件报告能否得到可复查的结果</w:t>
      </w:r>
    </w:p>
    <w:bookmarkStart w:id="39" w:name="保留支持不足与非复现方向"/>
    <w:p>
      <w:pPr>
        <w:pStyle w:val="5"/>
        <w:spacing w:after="100"/>
      </w:pPr>
      <w:r>
        <w:t xml:space="preserve">4.1 </w:t>
      </w:r>
      <w:r>
        <w:rPr>
          <w:rFonts w:hint="eastAsia"/>
        </w:rPr>
        <w:t xml:space="preserve">保留支持不足与非复现方向</w:t>
      </w:r>
    </w:p>
    <w:p>
      <w:pPr>
        <w:pStyle w:val="FirstParagraph"/>
        <w:spacing w:after="100" w:line="300" w:lineRule="auto"/>
      </w:pPr>
      <w:r>
        <w:rPr>
          <w:rFonts w:hint="eastAsia"/>
        </w:rPr>
        <w:t xml:space="preserve">发现池确定175个“来源—架构—类别—状态”组合，本地87个、线上88个，三个确认池沿用同一清单。发现阶段使用支持数至少20、种子平均条件Recall落后类别Recall至少10个百分点的筛选规则；新目标复查检查支持数和负向差值，不重复要求10个百分点落差。</w:t>
      </w:r>
    </w:p>
    <w:p>
      <w:pPr>
        <w:pStyle w:val="CaptionedFigure"/>
        <w:keepNext/>
        <w:spacing w:after="100" w:line="300" w:lineRule="auto"/>
      </w:pPr>
      <w:r>
        <w:drawing>
          <wp:inline>
            <wp:extent cx="6120000" cy="2622329"/>
            <wp:effectExtent b="0" l="0" r="0" t="0"/>
            <wp:docPr descr="图5 候选薄弱条件的新目标复查" title="" id="37" name="Picture"/>
            <a:graphic>
              <a:graphicData uri="http://schemas.openxmlformats.org/drawingml/2006/picture">
                <pic:pic>
                  <pic:nvPicPr>
                    <pic:cNvPr descr="../artifacts/current_method_conclusions_20261012/figures/05_condition_confirmation.png" id="38" name="Picture"/>
                    <pic:cNvPicPr>
                      <a:picLocks noChangeArrowheads="1" noChangeAspect="1"/>
                    </pic:cNvPicPr>
                  </pic:nvPicPr>
                  <pic:blipFill>
                    <a:blip r:embed="rId36"/>
                    <a:stretch>
                      <a:fillRect/>
                    </a:stretch>
                  </pic:blipFill>
                  <pic:spPr bwMode="auto">
                    <a:xfrm>
                      <a:off x="0" y="0"/>
                      <a:ext cx="6120000" cy="2622329"/>
                    </a:xfrm>
                    <a:prstGeom prst="rect">
                      <a:avLst/>
                    </a:prstGeom>
                    <a:noFill/>
                    <a:ln w="9525">
                      <a:noFill/>
                      <a:headEnd/>
                      <a:tailEnd/>
                    </a:ln>
                  </pic:spPr>
                </pic:pic>
              </a:graphicData>
            </a:graphic>
          </wp:inline>
        </w:drawing>
      </w:r>
    </w:p>
    <w:p>
      <w:pPr>
        <w:pStyle w:val="ImageCaption"/>
        <w:spacing w:after="100" w:line="300" w:lineRule="auto"/>
      </w:pPr>
      <w:r>
        <w:rPr>
          <w:rFonts w:hint="eastAsia"/>
        </w:rPr>
        <w:t xml:space="preserve">图5</w:t>
      </w:r>
      <w:r>
        <w:t xml:space="preserve"> </w:t>
      </w:r>
      <w:r>
        <w:rPr>
          <w:rFonts w:hint="eastAsia"/>
        </w:rPr>
        <w:t xml:space="preserve">候选薄弱条件的新目标复查</w:t>
      </w:r>
    </w:p>
    <w:p>
      <w:pPr>
        <w:pStyle w:val="19"/>
        <w:spacing w:after="100" w:line="276" w:lineRule="auto"/>
        <w:ind w:firstLine="0"/>
      </w:pPr>
      <w:r>
        <w:rPr>
          <w:rFonts w:hint="eastAsia"/>
          <w:sz w:val="18"/>
        </w:rPr>
        <w:t xml:space="preserve">图5说明：左图先在每个既定组合中平均三个种子的差值，再按平均负差、平均非负差和支持不足计数；这是描述性组合统计，不代替方法中逐种子的复查状态。右图先在每个架构／种子内平均可评价条件，再平均种子、以架构为单位汇总Recall差；不直接平均全部重叠状态。C本地／线上仅1／3种架构可进入该汇总，故用空心点提示支持范围有限。</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blHeader/>
          <w:cantSplit/>
        </w:trPr>
        <w:tc>
          <w:tcPr/>
          <w:p>
            <w:pPr>
              <w:pStyle w:val="Compact"/>
              <w:spacing w:after="40"/>
            </w:pPr>
            <w:r>
              <w:rPr>
                <w:rFonts w:hint="eastAsia"/>
                <w:b/>
                <w:sz w:val="17"/>
              </w:rPr>
              <w:t xml:space="preserve">池／来源</w:t>
            </w:r>
          </w:p>
        </w:tc>
        <w:tc>
          <w:tcPr/>
          <w:p>
            <w:pPr>
              <w:pStyle w:val="Compact"/>
              <w:spacing w:after="40"/>
              <w:jc w:val="right"/>
            </w:pPr>
            <w:r>
              <w:rPr>
                <w:rFonts w:hint="eastAsia"/>
                <w:b/>
                <w:sz w:val="17"/>
              </w:rPr>
              <w:t xml:space="preserve">原清单</w:t>
            </w:r>
          </w:p>
        </w:tc>
        <w:tc>
          <w:tcPr/>
          <w:p>
            <w:pPr>
              <w:pStyle w:val="Compact"/>
              <w:spacing w:after="40"/>
              <w:jc w:val="right"/>
            </w:pPr>
            <w:r>
              <w:rPr>
                <w:rFonts w:hint="eastAsia"/>
                <w:b/>
                <w:sz w:val="17"/>
              </w:rPr>
              <w:t xml:space="preserve">可评价</w:t>
            </w:r>
          </w:p>
        </w:tc>
        <w:tc>
          <w:tcPr/>
          <w:p>
            <w:pPr>
              <w:pStyle w:val="Compact"/>
              <w:spacing w:after="40"/>
              <w:jc w:val="right"/>
            </w:pPr>
            <w:r>
              <w:rPr>
                <w:rFonts w:hint="eastAsia"/>
                <w:b/>
                <w:sz w:val="17"/>
              </w:rPr>
              <w:t xml:space="preserve">种子平均负差</w:t>
            </w:r>
          </w:p>
        </w:tc>
        <w:tc>
          <w:tcPr/>
          <w:p>
            <w:pPr>
              <w:pStyle w:val="Compact"/>
              <w:spacing w:after="40"/>
              <w:jc w:val="right"/>
            </w:pPr>
            <w:r>
              <w:rPr>
                <w:rFonts w:hint="eastAsia"/>
                <w:b/>
                <w:sz w:val="17"/>
              </w:rPr>
              <w:t xml:space="preserve">支持不足</w:t>
            </w:r>
          </w:p>
        </w:tc>
        <w:tc>
          <w:tcPr/>
          <w:p>
            <w:pPr>
              <w:pStyle w:val="Compact"/>
              <w:spacing w:after="40"/>
              <w:jc w:val="right"/>
            </w:pPr>
            <w:r>
              <w:rPr>
                <w:rFonts w:hint="eastAsia"/>
                <w:b/>
                <w:sz w:val="17"/>
              </w:rPr>
              <w:t xml:space="preserve">架构汇总Recall差(pp)</w:t>
            </w:r>
          </w:p>
        </w:tc>
      </w:tr>
      <w:tr>
        <w:trPr>
          <w:cantSplit/>
        </w:trPr>
        <w:tc>
          <w:tcPr/>
          <w:p>
            <w:pPr>
              <w:pStyle w:val="Compact"/>
              <w:spacing w:after="40"/>
            </w:pPr>
            <w:r>
              <w:rPr>
                <w:rFonts w:hint="eastAsia"/>
                <w:b w:val="0"/>
                <w:sz w:val="17"/>
              </w:rPr>
              <w:t xml:space="preserve">B／本地</w:t>
            </w:r>
          </w:p>
        </w:tc>
        <w:tc>
          <w:tcPr/>
          <w:p>
            <w:pPr>
              <w:pStyle w:val="Compact"/>
              <w:spacing w:after="40"/>
              <w:jc w:val="right"/>
            </w:pPr>
            <w:r>
              <w:rPr>
                <w:b w:val="0"/>
                <w:sz w:val="17"/>
              </w:rPr>
              <w:t xml:space="preserve">87</w:t>
            </w:r>
          </w:p>
        </w:tc>
        <w:tc>
          <w:tcPr/>
          <w:p>
            <w:pPr>
              <w:pStyle w:val="Compact"/>
              <w:spacing w:after="40"/>
              <w:jc w:val="right"/>
            </w:pPr>
            <w:r>
              <w:rPr>
                <w:b w:val="0"/>
                <w:sz w:val="17"/>
              </w:rPr>
              <w:t xml:space="preserve">78</w:t>
            </w:r>
          </w:p>
        </w:tc>
        <w:tc>
          <w:tcPr/>
          <w:p>
            <w:pPr>
              <w:pStyle w:val="Compact"/>
              <w:spacing w:after="40"/>
              <w:jc w:val="right"/>
            </w:pPr>
            <w:r>
              <w:rPr>
                <w:b w:val="0"/>
                <w:sz w:val="17"/>
              </w:rPr>
              <w:t xml:space="preserve">69</w:t>
            </w:r>
          </w:p>
        </w:tc>
        <w:tc>
          <w:tcPr/>
          <w:p>
            <w:pPr>
              <w:pStyle w:val="Compact"/>
              <w:spacing w:after="40"/>
              <w:jc w:val="right"/>
            </w:pPr>
            <w:r>
              <w:rPr>
                <w:b w:val="0"/>
                <w:sz w:val="17"/>
              </w:rPr>
              <w:t xml:space="preserve">9</w:t>
            </w:r>
          </w:p>
        </w:tc>
        <w:tc>
          <w:tcPr/>
          <w:p>
            <w:pPr>
              <w:pStyle w:val="Compact"/>
              <w:spacing w:after="40"/>
              <w:jc w:val="right"/>
            </w:pPr>
            <w:r>
              <w:rPr>
                <w:b w:val="0"/>
                <w:sz w:val="17"/>
              </w:rPr>
              <w:t xml:space="preserve">−21.73</w:t>
            </w:r>
          </w:p>
        </w:tc>
      </w:tr>
      <w:tr>
        <w:trPr>
          <w:cantSplit/>
        </w:trPr>
        <w:tc>
          <w:tcPr/>
          <w:p>
            <w:pPr>
              <w:pStyle w:val="Compact"/>
              <w:spacing w:after="40"/>
            </w:pPr>
            <w:r>
              <w:rPr>
                <w:rFonts w:hint="eastAsia"/>
                <w:b w:val="0"/>
                <w:sz w:val="17"/>
              </w:rPr>
              <w:t xml:space="preserve">B／线上</w:t>
            </w:r>
          </w:p>
        </w:tc>
        <w:tc>
          <w:tcPr/>
          <w:p>
            <w:pPr>
              <w:pStyle w:val="Compact"/>
              <w:spacing w:after="40"/>
              <w:jc w:val="right"/>
            </w:pPr>
            <w:r>
              <w:rPr>
                <w:b w:val="0"/>
                <w:sz w:val="17"/>
              </w:rPr>
              <w:t xml:space="preserve">88</w:t>
            </w:r>
          </w:p>
        </w:tc>
        <w:tc>
          <w:tcPr/>
          <w:p>
            <w:pPr>
              <w:pStyle w:val="Compact"/>
              <w:spacing w:after="40"/>
              <w:jc w:val="right"/>
            </w:pPr>
            <w:r>
              <w:rPr>
                <w:b w:val="0"/>
                <w:sz w:val="17"/>
              </w:rPr>
              <w:t xml:space="preserve">75</w:t>
            </w:r>
          </w:p>
        </w:tc>
        <w:tc>
          <w:tcPr/>
          <w:p>
            <w:pPr>
              <w:pStyle w:val="Compact"/>
              <w:spacing w:after="40"/>
              <w:jc w:val="right"/>
            </w:pPr>
            <w:r>
              <w:rPr>
                <w:b w:val="0"/>
                <w:sz w:val="17"/>
              </w:rPr>
              <w:t xml:space="preserve">69</w:t>
            </w:r>
          </w:p>
        </w:tc>
        <w:tc>
          <w:tcPr/>
          <w:p>
            <w:pPr>
              <w:pStyle w:val="Compact"/>
              <w:spacing w:after="40"/>
              <w:jc w:val="right"/>
            </w:pPr>
            <w:r>
              <w:rPr>
                <w:b w:val="0"/>
                <w:sz w:val="17"/>
              </w:rPr>
              <w:t xml:space="preserve">13</w:t>
            </w:r>
          </w:p>
        </w:tc>
        <w:tc>
          <w:tcPr/>
          <w:p>
            <w:pPr>
              <w:pStyle w:val="Compact"/>
              <w:spacing w:after="40"/>
              <w:jc w:val="right"/>
            </w:pPr>
            <w:r>
              <w:rPr>
                <w:b w:val="0"/>
                <w:sz w:val="17"/>
              </w:rPr>
              <w:t xml:space="preserve">−20.77</w:t>
            </w:r>
          </w:p>
        </w:tc>
      </w:tr>
      <w:tr>
        <w:trPr>
          <w:cantSplit/>
        </w:trPr>
        <w:tc>
          <w:tcPr/>
          <w:p>
            <w:pPr>
              <w:pStyle w:val="Compact"/>
              <w:spacing w:after="40"/>
            </w:pPr>
            <w:r>
              <w:rPr>
                <w:rFonts w:hint="eastAsia"/>
                <w:b w:val="0"/>
                <w:sz w:val="17"/>
              </w:rPr>
              <w:t xml:space="preserve">C／本地</w:t>
            </w:r>
          </w:p>
        </w:tc>
        <w:tc>
          <w:tcPr/>
          <w:p>
            <w:pPr>
              <w:pStyle w:val="Compact"/>
              <w:spacing w:after="40"/>
              <w:jc w:val="right"/>
            </w:pPr>
            <w:r>
              <w:rPr>
                <w:b w:val="0"/>
                <w:sz w:val="17"/>
              </w:rPr>
              <w:t xml:space="preserve">87</w:t>
            </w:r>
          </w:p>
        </w:tc>
        <w:tc>
          <w:tcPr/>
          <w:p>
            <w:pPr>
              <w:pStyle w:val="Compact"/>
              <w:spacing w:after="40"/>
              <w:jc w:val="right"/>
            </w:pPr>
            <w:r>
              <w:rPr>
                <w:b w:val="0"/>
                <w:sz w:val="17"/>
              </w:rPr>
              <w:t xml:space="preserve">1</w:t>
            </w:r>
          </w:p>
        </w:tc>
        <w:tc>
          <w:tcPr/>
          <w:p>
            <w:pPr>
              <w:pStyle w:val="Compact"/>
              <w:spacing w:after="40"/>
              <w:jc w:val="right"/>
            </w:pPr>
            <w:r>
              <w:rPr>
                <w:b w:val="0"/>
                <w:sz w:val="17"/>
              </w:rPr>
              <w:t xml:space="preserve">1</w:t>
            </w:r>
          </w:p>
        </w:tc>
        <w:tc>
          <w:tcPr/>
          <w:p>
            <w:pPr>
              <w:pStyle w:val="Compact"/>
              <w:spacing w:after="40"/>
              <w:jc w:val="right"/>
            </w:pPr>
            <w:r>
              <w:rPr>
                <w:b w:val="0"/>
                <w:sz w:val="17"/>
              </w:rPr>
              <w:t xml:space="preserve">86</w:t>
            </w:r>
          </w:p>
        </w:tc>
        <w:tc>
          <w:tcPr/>
          <w:p>
            <w:pPr>
              <w:pStyle w:val="Compact"/>
              <w:spacing w:after="40"/>
              <w:jc w:val="right"/>
            </w:pPr>
            <w:r>
              <w:rPr>
                <w:b w:val="0"/>
                <w:sz w:val="17"/>
              </w:rPr>
              <w:t xml:space="preserve">−23.83</w:t>
            </w:r>
          </w:p>
        </w:tc>
      </w:tr>
      <w:tr>
        <w:trPr>
          <w:cantSplit/>
        </w:trPr>
        <w:tc>
          <w:tcPr/>
          <w:p>
            <w:pPr>
              <w:pStyle w:val="Compact"/>
              <w:spacing w:after="40"/>
            </w:pPr>
            <w:r>
              <w:rPr>
                <w:rFonts w:hint="eastAsia"/>
                <w:b w:val="0"/>
                <w:sz w:val="17"/>
              </w:rPr>
              <w:t xml:space="preserve">C／线上</w:t>
            </w:r>
          </w:p>
        </w:tc>
        <w:tc>
          <w:tcPr/>
          <w:p>
            <w:pPr>
              <w:pStyle w:val="Compact"/>
              <w:spacing w:after="40"/>
              <w:jc w:val="right"/>
            </w:pPr>
            <w:r>
              <w:rPr>
                <w:b w:val="0"/>
                <w:sz w:val="17"/>
              </w:rPr>
              <w:t xml:space="preserve">88</w:t>
            </w:r>
          </w:p>
        </w:tc>
        <w:tc>
          <w:tcPr/>
          <w:p>
            <w:pPr>
              <w:pStyle w:val="Compact"/>
              <w:spacing w:after="40"/>
              <w:jc w:val="right"/>
            </w:pPr>
            <w:r>
              <w:rPr>
                <w:b w:val="0"/>
                <w:sz w:val="17"/>
              </w:rPr>
              <w:t xml:space="preserve">3</w:t>
            </w:r>
          </w:p>
        </w:tc>
        <w:tc>
          <w:tcPr/>
          <w:p>
            <w:pPr>
              <w:pStyle w:val="Compact"/>
              <w:spacing w:after="40"/>
              <w:jc w:val="right"/>
            </w:pPr>
            <w:r>
              <w:rPr>
                <w:b w:val="0"/>
                <w:sz w:val="17"/>
              </w:rPr>
              <w:t xml:space="preserve">1</w:t>
            </w:r>
          </w:p>
        </w:tc>
        <w:tc>
          <w:tcPr/>
          <w:p>
            <w:pPr>
              <w:pStyle w:val="Compact"/>
              <w:spacing w:after="40"/>
              <w:jc w:val="right"/>
            </w:pPr>
            <w:r>
              <w:rPr>
                <w:b w:val="0"/>
                <w:sz w:val="17"/>
              </w:rPr>
              <w:t xml:space="preserve">85</w:t>
            </w:r>
          </w:p>
        </w:tc>
        <w:tc>
          <w:tcPr/>
          <w:p>
            <w:pPr>
              <w:pStyle w:val="Compact"/>
              <w:spacing w:after="40"/>
              <w:jc w:val="right"/>
            </w:pPr>
            <w:r>
              <w:rPr>
                <w:b w:val="0"/>
                <w:sz w:val="17"/>
              </w:rPr>
              <w:t xml:space="preserve">+1.62</w:t>
            </w:r>
          </w:p>
        </w:tc>
      </w:tr>
      <w:tr>
        <w:trPr>
          <w:cantSplit/>
        </w:trPr>
        <w:tc>
          <w:tcPr/>
          <w:p>
            <w:pPr>
              <w:pStyle w:val="Compact"/>
              <w:spacing w:after="40"/>
            </w:pPr>
            <w:r>
              <w:rPr>
                <w:rFonts w:hint="eastAsia"/>
                <w:b w:val="0"/>
                <w:sz w:val="17"/>
              </w:rPr>
              <w:t xml:space="preserve">D／本地</w:t>
            </w:r>
          </w:p>
        </w:tc>
        <w:tc>
          <w:tcPr/>
          <w:p>
            <w:pPr>
              <w:pStyle w:val="Compact"/>
              <w:spacing w:after="40"/>
              <w:jc w:val="right"/>
            </w:pPr>
            <w:r>
              <w:rPr>
                <w:b w:val="0"/>
                <w:sz w:val="17"/>
              </w:rPr>
              <w:t xml:space="preserve">87</w:t>
            </w:r>
          </w:p>
        </w:tc>
        <w:tc>
          <w:tcPr/>
          <w:p>
            <w:pPr>
              <w:pStyle w:val="Compact"/>
              <w:spacing w:after="40"/>
              <w:jc w:val="right"/>
            </w:pPr>
            <w:r>
              <w:rPr>
                <w:b w:val="0"/>
                <w:sz w:val="17"/>
              </w:rPr>
              <w:t xml:space="preserve">79</w:t>
            </w:r>
          </w:p>
        </w:tc>
        <w:tc>
          <w:tcPr/>
          <w:p>
            <w:pPr>
              <w:pStyle w:val="Compact"/>
              <w:spacing w:after="40"/>
              <w:jc w:val="right"/>
            </w:pPr>
            <w:r>
              <w:rPr>
                <w:b w:val="0"/>
                <w:sz w:val="17"/>
              </w:rPr>
              <w:t xml:space="preserve">69</w:t>
            </w:r>
          </w:p>
        </w:tc>
        <w:tc>
          <w:tcPr/>
          <w:p>
            <w:pPr>
              <w:pStyle w:val="Compact"/>
              <w:spacing w:after="40"/>
              <w:jc w:val="right"/>
            </w:pPr>
            <w:r>
              <w:rPr>
                <w:b w:val="0"/>
                <w:sz w:val="17"/>
              </w:rPr>
              <w:t xml:space="preserve">8</w:t>
            </w:r>
          </w:p>
        </w:tc>
        <w:tc>
          <w:tcPr/>
          <w:p>
            <w:pPr>
              <w:pStyle w:val="Compact"/>
              <w:spacing w:after="40"/>
              <w:jc w:val="right"/>
            </w:pPr>
            <w:r>
              <w:rPr>
                <w:b w:val="0"/>
                <w:sz w:val="17"/>
              </w:rPr>
              <w:t xml:space="preserve">−22.89</w:t>
            </w:r>
          </w:p>
        </w:tc>
      </w:tr>
      <w:tr>
        <w:trPr>
          <w:cantSplit/>
        </w:trPr>
        <w:tc>
          <w:tcPr/>
          <w:p>
            <w:pPr>
              <w:pStyle w:val="Compact"/>
              <w:spacing w:after="40"/>
            </w:pPr>
            <w:r>
              <w:rPr>
                <w:rFonts w:hint="eastAsia"/>
                <w:b w:val="0"/>
                <w:sz w:val="17"/>
              </w:rPr>
              <w:t xml:space="preserve">D／线上</w:t>
            </w:r>
          </w:p>
        </w:tc>
        <w:tc>
          <w:tcPr/>
          <w:p>
            <w:pPr>
              <w:pStyle w:val="Compact"/>
              <w:spacing w:after="40"/>
              <w:jc w:val="right"/>
            </w:pPr>
            <w:r>
              <w:rPr>
                <w:b w:val="0"/>
                <w:sz w:val="17"/>
              </w:rPr>
              <w:t xml:space="preserve">88</w:t>
            </w:r>
          </w:p>
        </w:tc>
        <w:tc>
          <w:tcPr/>
          <w:p>
            <w:pPr>
              <w:pStyle w:val="Compact"/>
              <w:spacing w:after="40"/>
              <w:jc w:val="right"/>
            </w:pPr>
            <w:r>
              <w:rPr>
                <w:b w:val="0"/>
                <w:sz w:val="17"/>
              </w:rPr>
              <w:t xml:space="preserve">81</w:t>
            </w:r>
          </w:p>
        </w:tc>
        <w:tc>
          <w:tcPr/>
          <w:p>
            <w:pPr>
              <w:pStyle w:val="Compact"/>
              <w:spacing w:after="40"/>
              <w:jc w:val="right"/>
            </w:pPr>
            <w:r>
              <w:rPr>
                <w:b w:val="0"/>
                <w:sz w:val="17"/>
              </w:rPr>
              <w:t xml:space="preserve">73</w:t>
            </w:r>
          </w:p>
        </w:tc>
        <w:tc>
          <w:tcPr/>
          <w:p>
            <w:pPr>
              <w:pStyle w:val="Compact"/>
              <w:spacing w:after="40"/>
              <w:jc w:val="right"/>
            </w:pPr>
            <w:r>
              <w:rPr>
                <w:b w:val="0"/>
                <w:sz w:val="17"/>
              </w:rPr>
              <w:t xml:space="preserve">7</w:t>
            </w:r>
          </w:p>
        </w:tc>
        <w:tc>
          <w:tcPr/>
          <w:p>
            <w:pPr>
              <w:pStyle w:val="Compact"/>
              <w:spacing w:after="40"/>
              <w:jc w:val="right"/>
            </w:pPr>
            <w:r>
              <w:rPr>
                <w:b w:val="0"/>
                <w:sz w:val="17"/>
              </w:rPr>
              <w:t xml:space="preserve">−20.43</w:t>
            </w:r>
          </w:p>
        </w:tc>
      </w:tr>
    </w:tbl>
    <w:p>
      <w:pPr>
        <w:pStyle w:val="19"/>
        <w:spacing w:after="100" w:line="300" w:lineRule="auto"/>
      </w:pPr>
      <w:r>
        <w:rPr>
          <w:rFonts w:hint="eastAsia"/>
        </w:rPr>
        <w:t xml:space="preserve">B的153个可评价组合中138个平均差为负，D的160个中142个为负；B/D的来源汇总均通过各池两项Holm校正，p为0.015625。C只有4个组合可评价，不能据其少数正负结果判断完整清单的迁移。</w:t>
      </w:r>
    </w:p>
    <w:p>
      <w:pPr>
        <w:pStyle w:val="19"/>
        <w:spacing w:after="100" w:line="300" w:lineRule="auto"/>
      </w:pPr>
      <w:r>
        <w:rPr>
          <w:rFonts w:hint="eastAsia"/>
        </w:rPr>
        <w:t xml:space="preserve">逐种子复查也完整保留：每池共525条“组合—种子”记录，B为416条薄弱方向复现、43条未复现、66条支持不足；C为6、6、513条；D为430、50、45条。这些记录共享模型、目标和重叠状态，不能当作525次独立实验。</w:t>
      </w:r>
    </w:p>
    <w:p>
      <w:pPr>
        <w:pStyle w:val="19"/>
        <w:spacing w:after="100" w:line="300" w:lineRule="auto"/>
      </w:pPr>
      <w:r>
        <w:rPr>
          <w:rFonts w:hint="eastAsia"/>
        </w:rPr>
        <w:t xml:space="preserve">粗尺度调整后，原有141个非尺度组合中，B有119个可评价、109个平均调整差为负；D有122个可评价、111个为负。这提供了粗面积构成之外的条件诊断关联。它只调整类别内五个面积层，未精确控制连续面积或其他共现因素，也不构成状态导致错误的因果证明。</w:t>
      </w:r>
    </w:p>
    <w:bookmarkEnd w:id="39"/>
    <w:bookmarkStart w:id="43" w:name="总体指标如何转为后续测试对象"/>
    <w:p>
      <w:pPr>
        <w:pStyle w:val="5"/>
        <w:spacing w:after="100"/>
      </w:pPr>
      <w:r>
        <w:t xml:space="preserve">4.2 </w:t>
      </w:r>
      <w:r>
        <w:rPr>
          <w:rFonts w:hint="eastAsia"/>
        </w:rPr>
        <w:t xml:space="preserve">总体指标如何转为后续测试对象</w:t>
      </w:r>
    </w:p>
    <w:p>
      <w:pPr>
        <w:pStyle w:val="CaptionedFigure"/>
        <w:keepNext/>
        <w:spacing w:after="100" w:line="300" w:lineRule="auto"/>
      </w:pPr>
      <w:r>
        <w:drawing>
          <wp:inline>
            <wp:extent cx="6120000" cy="2047027"/>
            <wp:effectExtent b="0" l="0" r="0" t="0"/>
            <wp:docPr descr="图6 类别总体Recall与具体条件Recall" title="" id="41" name="Picture"/>
            <a:graphic>
              <a:graphicData uri="http://schemas.openxmlformats.org/drawingml/2006/picture">
                <pic:pic>
                  <pic:nvPicPr>
                    <pic:cNvPr descr="../artifacts/current_method_conclusions_20261012/figures/07_condition_cases.png" id="42" name="Picture"/>
                    <pic:cNvPicPr>
                      <a:picLocks noChangeArrowheads="1" noChangeAspect="1"/>
                    </pic:cNvPicPr>
                  </pic:nvPicPr>
                  <pic:blipFill>
                    <a:blip r:embed="rId40"/>
                    <a:stretch>
                      <a:fillRect/>
                    </a:stretch>
                  </pic:blipFill>
                  <pic:spPr bwMode="auto">
                    <a:xfrm>
                      <a:off x="0" y="0"/>
                      <a:ext cx="6120000" cy="2047027"/>
                    </a:xfrm>
                    <a:prstGeom prst="rect">
                      <a:avLst/>
                    </a:prstGeom>
                    <a:noFill/>
                    <a:ln w="9525">
                      <a:noFill/>
                      <a:headEnd/>
                      <a:tailEnd/>
                    </a:ln>
                  </pic:spPr>
                </pic:pic>
              </a:graphicData>
            </a:graphic>
          </wp:inline>
        </w:drawing>
      </w:r>
    </w:p>
    <w:p>
      <w:pPr>
        <w:pStyle w:val="ImageCaption"/>
        <w:spacing w:after="100" w:line="300" w:lineRule="auto"/>
      </w:pPr>
      <w:r>
        <w:rPr>
          <w:rFonts w:hint="eastAsia"/>
        </w:rPr>
        <w:t xml:space="preserve">图6</w:t>
      </w:r>
      <w:r>
        <w:t xml:space="preserve"> </w:t>
      </w:r>
      <w:r>
        <w:rPr>
          <w:rFonts w:hint="eastAsia"/>
        </w:rPr>
        <w:t xml:space="preserve">类别总体Recall与具体条件Recall</w:t>
      </w:r>
    </w:p>
    <w:p>
      <w:pPr>
        <w:pStyle w:val="19"/>
        <w:spacing w:after="100" w:line="276" w:lineRule="auto"/>
        <w:ind w:firstLine="0"/>
      </w:pPr>
      <w:r>
        <w:rPr>
          <w:rFonts w:hint="eastAsia"/>
          <w:sz w:val="18"/>
        </w:rPr>
        <w:t xml:space="preserve">图6说明：案例来自B池，Recall为三种子均值，n为唯一目标数。方块为类别总体Recall，圆点为条件Recall。前三项说明总体指标会掩盖低表现条件；第四项保留平均正向差，展示发现阶段的薄弱条件并非全部复现。案例为既有结果的说明，不估计所有条件的失败率。</w:t>
      </w:r>
    </w:p>
    <w:p>
      <w:pPr>
        <w:pStyle w:val="19"/>
        <w:spacing w:after="100" w:line="300" w:lineRule="auto"/>
      </w:pPr>
      <w:r>
        <w:rPr>
          <w:rFonts w:hint="eastAsia"/>
        </w:rPr>
        <w:t xml:space="preserve">例如，ResNet-50的dog总体Recall为81.92%，背向dog为57.25%（n=46），落差24.67个百分点；这可以转化为明确的后续测试需求：“在独立新目标中继续检查背向dog”。DenseNet-121的中等尺度dog则为81.01%，高于类别总体73.42%，说明条件报告应保留未复现结果，不能只展示低分状态。</w:t>
      </w:r>
    </w:p>
    <w:bookmarkEnd w:id="43"/>
    <w:bookmarkEnd w:id="44"/>
    <w:bookmarkStart w:id="48" w:name="五扩展模型是否保留风险端点差"/>
    <w:p>
      <w:pPr>
        <w:pStyle w:val="4"/>
        <w:spacing w:after="100"/>
      </w:pPr>
      <w:r>
        <w:rPr>
          <w:rFonts w:hint="eastAsia"/>
        </w:rPr>
        <w:t xml:space="preserve">五、扩展模型是否保留风险端点差</w:t>
      </w:r>
    </w:p>
    <w:p>
      <w:pPr>
        <w:pStyle w:val="FirstParagraph"/>
        <w:spacing w:after="100" w:line="300" w:lineRule="auto"/>
      </w:pPr>
      <w:r>
        <w:rPr>
          <w:rFonts w:hint="eastAsia"/>
        </w:rPr>
        <w:t xml:space="preserve">扩展模型为YOLO26-S-cls、PE-Core-B16、SigLIP2</w:t>
      </w:r>
      <w:r>
        <w:t xml:space="preserve"> </w:t>
      </w:r>
      <w:r>
        <w:rPr>
          <w:rFonts w:hint="eastAsia"/>
        </w:rPr>
        <w:t xml:space="preserve">Base、MobileCLIP2-S0和AIMv2-Large，各保留三个种子的完整结果。</w:t>
      </w:r>
    </w:p>
    <w:p>
      <w:pPr>
        <w:pStyle w:val="CaptionedFigure"/>
        <w:keepNext/>
        <w:spacing w:after="100" w:line="300" w:lineRule="auto"/>
      </w:pPr>
      <w:r>
        <w:drawing>
          <wp:inline>
            <wp:extent cx="6120000" cy="2897233"/>
            <wp:effectExtent b="0" l="0" r="0" t="0"/>
            <wp:docPr descr="图7 五模型风险端点落差的扩展验证" title="" id="46" name="Picture"/>
            <a:graphic>
              <a:graphicData uri="http://schemas.openxmlformats.org/drawingml/2006/picture">
                <pic:pic>
                  <pic:nvPicPr>
                    <pic:cNvPr descr="../artifacts/current_method_conclusions_20261012/figures/06_recent_models_gap.png" id="47" name="Picture"/>
                    <pic:cNvPicPr>
                      <a:picLocks noChangeArrowheads="1" noChangeAspect="1"/>
                    </pic:cNvPicPr>
                  </pic:nvPicPr>
                  <pic:blipFill>
                    <a:blip r:embed="rId45"/>
                    <a:stretch>
                      <a:fillRect/>
                    </a:stretch>
                  </pic:blipFill>
                  <pic:spPr bwMode="auto">
                    <a:xfrm>
                      <a:off x="0" y="0"/>
                      <a:ext cx="6120000" cy="2897233"/>
                    </a:xfrm>
                    <a:prstGeom prst="rect">
                      <a:avLst/>
                    </a:prstGeom>
                    <a:noFill/>
                    <a:ln w="9525">
                      <a:noFill/>
                      <a:headEnd/>
                      <a:tailEnd/>
                    </a:ln>
                  </pic:spPr>
                </pic:pic>
              </a:graphicData>
            </a:graphic>
          </wp:inline>
        </w:drawing>
      </w:r>
    </w:p>
    <w:p>
      <w:pPr>
        <w:pStyle w:val="ImageCaption"/>
        <w:spacing w:after="100" w:line="300" w:lineRule="auto"/>
      </w:pPr>
      <w:r>
        <w:rPr>
          <w:rFonts w:hint="eastAsia"/>
        </w:rPr>
        <w:t xml:space="preserve">图7</w:t>
      </w:r>
      <w:r>
        <w:t xml:space="preserve"> </w:t>
      </w:r>
      <w:r>
        <w:rPr>
          <w:rFonts w:hint="eastAsia"/>
        </w:rPr>
        <w:t xml:space="preserve">五模型风险端点落差的扩展验证</w:t>
      </w:r>
    </w:p>
    <w:p>
      <w:pPr>
        <w:pStyle w:val="19"/>
        <w:spacing w:after="100" w:line="276" w:lineRule="auto"/>
        <w:ind w:firstLine="0"/>
      </w:pPr>
      <w:r>
        <w:rPr>
          <w:rFonts w:hint="eastAsia"/>
          <w:sz w:val="18"/>
        </w:rPr>
        <w:t xml:space="preserve">图7说明：每格为三个种子的平均Q1减Q5</w:t>
      </w:r>
      <w:r>
        <w:rPr>
          <w:sz w:val="18"/>
        </w:rPr>
        <w:t xml:space="preserve"> </w:t>
      </w:r>
      <w:r>
        <w:rPr>
          <w:rFonts w:hint="eastAsia"/>
          <w:sz w:val="18"/>
        </w:rPr>
        <w:t xml:space="preserve">Macro-F1，单位为百分点。完整风险层B/D为480目标、C为120目标，不能与固定120目标的混合曲线预算混为一谈。热图是端点差比较，不是模型总体性能排名。</w:t>
      </w:r>
    </w:p>
    <w:p>
      <w:pPr>
        <w:pStyle w:val="19"/>
        <w:spacing w:after="100" w:line="300" w:lineRule="auto"/>
      </w:pPr>
      <w:r>
        <w:rPr>
          <w:rFonts w:hint="eastAsia"/>
        </w:rPr>
        <w:t xml:space="preserve">30个“模型—池—来源”平均端点差均为正，范围为14.92—42.01个百分点；逐种子的90个对应记录也均为正。这说明主面板之外的五种模型，在当前任务和状态分层下仍呈现高低风险条件的表现差异。30个平均分层序列中有10个出现相邻层回升，故仍不能声称逐层严格下降。</w:t>
      </w:r>
    </w:p>
    <w:p>
      <w:pPr>
        <w:pStyle w:val="19"/>
        <w:spacing w:after="100" w:line="300" w:lineRule="auto"/>
      </w:pPr>
      <w:r>
        <w:rPr>
          <w:rFonts w:hint="eastAsia"/>
        </w:rPr>
        <w:t xml:space="preserve">扩展组风险混合使用Q1与Q5两端；主面板图4使用Q1—Q4与Q5。两组协议分别报告，不互换0%端点，也不合并排名。扩展组未新增随机划层或仅面积对照，不能将主面板的对照结果当成这五模型的直接检验。PE-Core的训练适配对种子明显敏感，全部低值种子已保留，不据此断言其架构固有能力最差。</w:t>
      </w:r>
    </w:p>
    <w:bookmarkEnd w:id="48"/>
    <w:bookmarkStart w:id="49" w:name="六可直接用于论文的结论文字"/>
    <w:p>
      <w:pPr>
        <w:pStyle w:val="4"/>
        <w:spacing w:after="100"/>
      </w:pPr>
      <w:r>
        <w:rPr>
          <w:rFonts w:hint="eastAsia"/>
        </w:rPr>
        <w:t xml:space="preserve">六、可直接用于论文的结论文字</w:t>
      </w:r>
    </w:p>
    <w:p>
      <w:pPr>
        <w:pStyle w:val="FirstParagraph"/>
        <w:spacing w:after="100" w:line="300" w:lineRule="auto"/>
      </w:pPr>
      <w:r>
        <w:rPr>
          <w:rFonts w:hint="eastAsia"/>
        </w:rPr>
        <w:t xml:space="preserve">本文对视觉状态驱动的多类别图像分类模型测试开展实证研究，利用官方类别与目标框确定分类真值，利用自动结构化视觉状态组织测试条件，并将分类预测转化为条件能力报告。研究分别评价状态覆盖、风险构成与失败信息广度，避免将覆盖数值增长直接等同于模型性能提升。</w:t>
      </w:r>
    </w:p>
    <w:p>
      <w:pPr>
        <w:pStyle w:val="19"/>
        <w:spacing w:after="100" w:line="300" w:lineRule="auto"/>
      </w:pPr>
      <w:r>
        <w:rPr>
          <w:rFonts w:hint="eastAsia"/>
        </w:rPr>
        <w:t xml:space="preserve">三个确认池的结果表明，风险分层能够揭示固定模型在不同视觉条件下的表现差异，并超出类别平衡随机划层的波动。固定测试量与类别比例后的风险混合进一步显示，测得性能会随测试构成变化。覆盖引导选样在最大预算点增加了状态支持，在共同风险配额及等错误数约束下，相对随机选样具有部分设置下的诊断广度收益；该收益受标注来源、控制协议及表征选择限制，未获得普遍优于强基线的证据。完整多维风险评分也未表现出相对目标面积信息的普遍端点优势。</w:t>
      </w:r>
    </w:p>
    <w:p>
      <w:pPr>
        <w:pStyle w:val="19"/>
        <w:spacing w:after="100" w:line="300" w:lineRule="auto"/>
      </w:pPr>
      <w:r>
        <w:rPr>
          <w:rFonts w:hint="eastAsia"/>
        </w:rPr>
        <w:t xml:space="preserve">条件能力报告在支持充分的新目标中保留了多数既有薄弱条件的负向差值，并提供了可继续检查的具体类别与视觉状态。支持不足和未复现条件的保留，使报告能够区分已有负向证据与当前无法判断的情况。由此，当前方法的实证价值主要在于补充总体分类指标、呈现测试条件的支持程度，以及形成可复查的后续测试线索。现有结果不证明状态标签准确、错误因果根源或再训练收益。</w:t>
      </w:r>
    </w:p>
    <w:bookmarkEnd w:id="49"/>
    <w:bookmarkStart w:id="68" w:name="七结论范围与依据"/>
    <w:p>
      <w:pPr>
        <w:pStyle w:val="4"/>
        <w:spacing w:after="100"/>
      </w:pPr>
      <w:r>
        <w:rPr>
          <w:rFonts w:hint="eastAsia"/>
        </w:rPr>
        <w:t xml:space="preserve">七、结论范围与依据</w:t>
      </w:r>
    </w:p>
    <w:tbl>
      <w:tblPr>
        <w:tblStyle w:val="Table"/>
        <w:tblW w:type="pct" w:w="5000"/>
        <w:tblLayout w:type="fixed"/>
        <w:tblLook w:firstRow="1" w:lastRow="0" w:firstColumn="0" w:lastColumn="0" w:noHBand="0" w:noVBand="0" w:val="0020"/>
      </w:tblPr>
      <w:tblGrid>
        <w:gridCol w:w="3960"/>
        <w:gridCol w:w="3960"/>
      </w:tblGrid>
      <w:tr>
        <w:trPr>
          <w:tblHeader w:val="on"/>
          <w:tblHeader/>
          <w:cantSplit/>
        </w:trPr>
        <w:tc>
          <w:tcPr/>
          <w:p>
            <w:pPr>
              <w:pStyle w:val="Compact"/>
              <w:spacing w:after="40"/>
            </w:pPr>
            <w:r>
              <w:rPr>
                <w:rFonts w:hint="eastAsia"/>
                <w:b/>
                <w:sz w:val="17"/>
              </w:rPr>
              <w:t xml:space="preserve">可以支持的表述</w:t>
            </w:r>
          </w:p>
        </w:tc>
        <w:tc>
          <w:tcPr/>
          <w:p>
            <w:pPr>
              <w:pStyle w:val="Compact"/>
              <w:spacing w:after="40"/>
            </w:pPr>
            <w:r>
              <w:rPr>
                <w:rFonts w:hint="eastAsia"/>
                <w:b/>
                <w:sz w:val="17"/>
              </w:rPr>
              <w:t xml:space="preserve">对应边界</w:t>
            </w:r>
          </w:p>
        </w:tc>
      </w:tr>
      <w:tr>
        <w:trPr>
          <w:cantSplit/>
        </w:trPr>
        <w:tc>
          <w:tcPr/>
          <w:p>
            <w:pPr>
              <w:pStyle w:val="Compact"/>
              <w:spacing w:after="40"/>
            </w:pPr>
            <w:r>
              <w:rPr>
                <w:rFonts w:hint="eastAsia"/>
                <w:b w:val="0"/>
                <w:sz w:val="17"/>
              </w:rPr>
              <w:t xml:space="preserve">最大预算下Coverage获得更多状态支持</w:t>
            </w:r>
          </w:p>
        </w:tc>
        <w:tc>
          <w:tcPr/>
          <w:p>
            <w:pPr>
              <w:pStyle w:val="Compact"/>
              <w:spacing w:after="40"/>
            </w:pPr>
            <w:r>
              <w:rPr>
                <w:rFonts w:hint="eastAsia"/>
                <w:b w:val="0"/>
                <w:sz w:val="17"/>
              </w:rPr>
              <w:t xml:space="preserve">同池、同词表、同阈值；不保证所有预算点占优</w:t>
            </w:r>
          </w:p>
        </w:tc>
      </w:tr>
      <w:tr>
        <w:trPr>
          <w:cantSplit/>
        </w:trPr>
        <w:tc>
          <w:tcPr/>
          <w:p>
            <w:pPr>
              <w:pStyle w:val="Compact"/>
              <w:spacing w:after="40"/>
            </w:pPr>
            <w:r>
              <w:rPr>
                <w:rFonts w:hint="eastAsia"/>
                <w:b w:val="0"/>
                <w:sz w:val="17"/>
              </w:rPr>
              <w:t xml:space="preserve">风险端点区分当前模型的测得表现</w:t>
            </w:r>
          </w:p>
        </w:tc>
        <w:tc>
          <w:tcPr/>
          <w:p>
            <w:pPr>
              <w:pStyle w:val="Compact"/>
              <w:spacing w:after="40"/>
            </w:pPr>
            <w:r>
              <w:rPr>
                <w:rFonts w:hint="eastAsia"/>
                <w:b w:val="0"/>
                <w:sz w:val="17"/>
              </w:rPr>
              <w:t xml:space="preserve">当前任务、候选池和预处理；中间层不必严格单调</w:t>
            </w:r>
          </w:p>
        </w:tc>
      </w:tr>
      <w:tr>
        <w:trPr>
          <w:cantSplit/>
        </w:trPr>
        <w:tc>
          <w:tcPr/>
          <w:p>
            <w:pPr>
              <w:pStyle w:val="Compact"/>
              <w:spacing w:after="40"/>
            </w:pPr>
            <w:r>
              <w:rPr>
                <w:rFonts w:hint="eastAsia"/>
                <w:b w:val="0"/>
                <w:sz w:val="17"/>
              </w:rPr>
              <w:t xml:space="preserve">测试构成改变总体分数</w:t>
            </w:r>
          </w:p>
        </w:tc>
        <w:tc>
          <w:tcPr/>
          <w:p>
            <w:pPr>
              <w:pStyle w:val="Compact"/>
              <w:spacing w:after="40"/>
            </w:pPr>
            <w:r>
              <w:rPr>
                <w:rFonts w:hint="eastAsia"/>
                <w:b w:val="0"/>
                <w:sz w:val="17"/>
              </w:rPr>
              <w:t xml:space="preserve">相同模型的测试组织比较；不是训练效果比较</w:t>
            </w:r>
          </w:p>
        </w:tc>
      </w:tr>
      <w:tr>
        <w:trPr>
          <w:cantSplit/>
        </w:trPr>
        <w:tc>
          <w:tcPr/>
          <w:p>
            <w:pPr>
              <w:pStyle w:val="Compact"/>
              <w:spacing w:after="40"/>
            </w:pPr>
            <w:r>
              <w:rPr>
                <w:rFonts w:hint="eastAsia"/>
                <w:b w:val="0"/>
                <w:sz w:val="17"/>
              </w:rPr>
              <w:t xml:space="preserve">部分设置下Coverage比Random提供更广诊断证据</w:t>
            </w:r>
          </w:p>
        </w:tc>
        <w:tc>
          <w:tcPr/>
          <w:p>
            <w:pPr>
              <w:pStyle w:val="Compact"/>
              <w:spacing w:after="40"/>
            </w:pPr>
            <w:r>
              <w:rPr>
                <w:rFonts w:hint="eastAsia"/>
                <w:b w:val="0"/>
                <w:sz w:val="17"/>
              </w:rPr>
              <w:t xml:space="preserve">主要四项家族结果；更大校正家族及强基线不支持全面优势</w:t>
            </w:r>
          </w:p>
        </w:tc>
      </w:tr>
      <w:tr>
        <w:trPr>
          <w:cantSplit/>
        </w:trPr>
        <w:tc>
          <w:tcPr/>
          <w:p>
            <w:pPr>
              <w:pStyle w:val="Compact"/>
              <w:spacing w:after="40"/>
            </w:pPr>
            <w:r>
              <w:rPr>
                <w:rFonts w:hint="eastAsia"/>
                <w:b w:val="0"/>
                <w:sz w:val="17"/>
              </w:rPr>
              <w:t xml:space="preserve">多数支持充分的候选条件保留平均负差</w:t>
            </w:r>
          </w:p>
        </w:tc>
        <w:tc>
          <w:tcPr/>
          <w:p>
            <w:pPr>
              <w:pStyle w:val="Compact"/>
              <w:spacing w:after="40"/>
            </w:pPr>
            <w:r>
              <w:rPr>
                <w:rFonts w:hint="eastAsia"/>
                <w:b w:val="0"/>
                <w:sz w:val="17"/>
              </w:rPr>
              <w:t xml:space="preserve">重叠条件的关联；方向复现不等于逐项显著或因果根源</w:t>
            </w:r>
          </w:p>
        </w:tc>
      </w:tr>
      <w:tr>
        <w:trPr>
          <w:cantSplit/>
        </w:trPr>
        <w:tc>
          <w:tcPr/>
          <w:p>
            <w:pPr>
              <w:pStyle w:val="Compact"/>
              <w:spacing w:after="40"/>
            </w:pPr>
            <w:r>
              <w:rPr>
                <w:rFonts w:hint="eastAsia"/>
                <w:b w:val="0"/>
                <w:sz w:val="17"/>
              </w:rPr>
              <w:t xml:space="preserve">方法可输出可解释的后续测试线索</w:t>
            </w:r>
          </w:p>
        </w:tc>
        <w:tc>
          <w:tcPr/>
          <w:p>
            <w:pPr>
              <w:pStyle w:val="Compact"/>
              <w:spacing w:after="40"/>
            </w:pPr>
            <w:r>
              <w:rPr>
                <w:rFonts w:hint="eastAsia"/>
                <w:b w:val="0"/>
                <w:sz w:val="17"/>
              </w:rPr>
              <w:t xml:space="preserve">尚未证明据此再训练或修复能够改善模型</w:t>
            </w:r>
          </w:p>
        </w:tc>
      </w:tr>
    </w:tbl>
    <w:p>
      <w:pPr>
        <w:pStyle w:val="19"/>
        <w:spacing w:after="100" w:line="300" w:lineRule="auto"/>
      </w:pPr>
      <w:r>
        <w:rPr>
          <w:rFonts w:hint="eastAsia"/>
        </w:rPr>
        <w:t xml:space="preserve">τ=20仍为既定操作性参数，现有分析未系统扫描其他阈值。自动状态的语义误差、有限候选池、表征聚类及预处理信息损失均限制外推。结论保持在实际测试协议和现有证据范围内，不宣称覆盖全面性或方法普遍最优。</w:t>
      </w:r>
    </w:p>
    <w:bookmarkStart w:id="67" w:name="数值与图表来源"/>
    <w:p>
      <w:pPr>
        <w:pStyle w:val="5"/>
        <w:spacing w:after="100"/>
      </w:pPr>
      <w:r>
        <w:rPr>
          <w:rFonts w:hint="eastAsia"/>
        </w:rPr>
        <w:t xml:space="preserve">数值与图表来源</w:t>
      </w:r>
    </w:p>
    <w:tbl>
      <w:tblPr>
        <w:tblStyle w:val="Table"/>
        <w:tblW w:type="pct" w:w="5000"/>
        <w:tblLayout w:type="fixed"/>
        <w:tblLook w:firstRow="1" w:lastRow="0" w:firstColumn="0" w:lastColumn="0" w:noHBand="0" w:noVBand="0" w:val="0020"/>
      </w:tblPr>
      <w:tblGrid>
        <w:gridCol w:w="2640"/>
        <w:gridCol w:w="2640"/>
        <w:gridCol w:w="2640"/>
      </w:tblGrid>
      <w:tr>
        <w:trPr>
          <w:tblHeader w:val="on"/>
          <w:tblHeader/>
          <w:cantSplit/>
        </w:trPr>
        <w:tc>
          <w:tcPr/>
          <w:p>
            <w:pPr>
              <w:pStyle w:val="Compact"/>
              <w:spacing w:after="40"/>
            </w:pPr>
            <w:r>
              <w:rPr>
                <w:rFonts w:hint="eastAsia"/>
                <w:b/>
                <w:sz w:val="17"/>
              </w:rPr>
              <w:t xml:space="preserve">图表／结论</w:t>
            </w:r>
          </w:p>
        </w:tc>
        <w:tc>
          <w:tcPr/>
          <w:p>
            <w:pPr>
              <w:pStyle w:val="Compact"/>
              <w:spacing w:after="40"/>
            </w:pPr>
            <w:r>
              <w:rPr>
                <w:rFonts w:hint="eastAsia"/>
                <w:b/>
                <w:sz w:val="17"/>
              </w:rPr>
              <w:t xml:space="preserve">可复算汇总表</w:t>
            </w:r>
          </w:p>
        </w:tc>
        <w:tc>
          <w:tcPr/>
          <w:p>
            <w:pPr>
              <w:pStyle w:val="Compact"/>
              <w:spacing w:after="40"/>
            </w:pPr>
            <w:r>
              <w:rPr>
                <w:rFonts w:hint="eastAsia"/>
                <w:b/>
                <w:sz w:val="17"/>
              </w:rPr>
              <w:t xml:space="preserve">原始证据</w:t>
            </w:r>
          </w:p>
        </w:tc>
      </w:tr>
      <w:tr>
        <w:trPr>
          <w:cantSplit/>
        </w:trPr>
        <w:tc>
          <w:tcPr/>
          <w:p>
            <w:pPr>
              <w:pStyle w:val="Compact"/>
              <w:spacing w:after="40"/>
            </w:pPr>
            <w:r>
              <w:rPr>
                <w:rFonts w:hint="eastAsia"/>
                <w:b w:val="0"/>
                <w:sz w:val="17"/>
              </w:rPr>
              <w:t xml:space="preserve">图1／覆盖增量</w:t>
            </w:r>
          </w:p>
        </w:tc>
        <w:tc>
          <w:tcPr/>
          <w:p>
            <w:pPr>
              <w:pStyle w:val="Compact"/>
              <w:spacing w:after="40"/>
            </w:pPr>
            <w:hyperlink r:id="rId50">
              <w:r>
                <w:rPr>
                  <w:rStyle w:val="Hyperlink"/>
                </w:rPr>
                <w:t xml:space="preserve">coverage_curves.csv</w:t>
              </w:r>
            </w:hyperlink>
          </w:p>
        </w:tc>
        <w:tc>
          <w:tcPr/>
          <w:p>
            <w:pPr>
              <w:pStyle w:val="Compact"/>
              <w:spacing w:after="40"/>
            </w:pPr>
            <w:r>
              <w:rPr>
                <w:rFonts w:hint="eastAsia"/>
                <w:b w:val="0"/>
                <w:sz w:val="17"/>
              </w:rPr>
              <w:t xml:space="preserve">三池comparison/tables/fixed_metrics.csv及random_metrics.csv</w:t>
            </w:r>
          </w:p>
        </w:tc>
      </w:tr>
      <w:tr>
        <w:trPr>
          <w:cantSplit/>
        </w:trPr>
        <w:tc>
          <w:tcPr/>
          <w:p>
            <w:pPr>
              <w:pStyle w:val="Compact"/>
              <w:spacing w:after="40"/>
            </w:pPr>
            <w:r>
              <w:rPr>
                <w:rFonts w:hint="eastAsia"/>
                <w:b w:val="0"/>
                <w:sz w:val="17"/>
              </w:rPr>
              <w:t xml:space="preserve">图2／诊断广度</w:t>
            </w:r>
          </w:p>
        </w:tc>
        <w:tc>
          <w:tcPr/>
          <w:p>
            <w:pPr>
              <w:pStyle w:val="Compact"/>
              <w:spacing w:after="40"/>
            </w:pPr>
            <w:hyperlink r:id="rId51">
              <w:r>
                <w:rPr>
                  <w:rStyle w:val="Hyperlink"/>
                </w:rPr>
                <w:t xml:space="preserve">diagnostic_auc_contrasts.csv</w:t>
              </w:r>
            </w:hyperlink>
          </w:p>
        </w:tc>
        <w:tc>
          <w:tcPr/>
          <w:p>
            <w:pPr>
              <w:pStyle w:val="Compact"/>
              <w:spacing w:after="40"/>
            </w:pPr>
            <w:r>
              <w:rPr>
                <w:rFonts w:hint="eastAsia"/>
                <w:b w:val="0"/>
                <w:sz w:val="17"/>
              </w:rPr>
              <w:t xml:space="preserve">三池comparison/tables/equal_error_metrics.csv及comparisons.csv</w:t>
            </w:r>
          </w:p>
        </w:tc>
      </w:tr>
      <w:tr>
        <w:trPr>
          <w:cantSplit/>
        </w:trPr>
        <w:tc>
          <w:tcPr/>
          <w:p>
            <w:pPr>
              <w:pStyle w:val="Compact"/>
              <w:spacing w:after="40"/>
            </w:pPr>
            <w:r>
              <w:rPr>
                <w:rFonts w:hint="eastAsia"/>
                <w:b w:val="0"/>
                <w:sz w:val="17"/>
              </w:rPr>
              <w:t xml:space="preserve">强基线边界</w:t>
            </w:r>
          </w:p>
        </w:tc>
        <w:tc>
          <w:tcPr/>
          <w:p>
            <w:pPr>
              <w:pStyle w:val="Compact"/>
              <w:spacing w:after="40"/>
            </w:pPr>
            <w:hyperlink r:id="rId52">
              <w:r>
                <w:rPr>
                  <w:rStyle w:val="Hyperlink"/>
                </w:rPr>
                <w:t xml:space="preserve">strong_baseline_contrasts.csv</w:t>
              </w:r>
            </w:hyperlink>
          </w:p>
        </w:tc>
        <w:tc>
          <w:tcPr/>
          <w:p>
            <w:pPr>
              <w:pStyle w:val="Compact"/>
              <w:spacing w:after="40"/>
            </w:pPr>
            <w:r>
              <w:rPr>
                <w:rFonts w:hint="eastAsia"/>
                <w:b w:val="0"/>
                <w:sz w:val="17"/>
              </w:rPr>
              <w:t xml:space="preserve">三池comparison/tables/comparisons.csv</w:t>
            </w:r>
          </w:p>
        </w:tc>
      </w:tr>
      <w:tr>
        <w:trPr>
          <w:cantSplit/>
        </w:trPr>
        <w:tc>
          <w:tcPr/>
          <w:p>
            <w:pPr>
              <w:pStyle w:val="Compact"/>
              <w:spacing w:after="40"/>
            </w:pPr>
            <w:r>
              <w:rPr>
                <w:rFonts w:hint="eastAsia"/>
                <w:b w:val="0"/>
                <w:sz w:val="17"/>
              </w:rPr>
              <w:t xml:space="preserve">图3／随机与面积对照</w:t>
            </w:r>
          </w:p>
        </w:tc>
        <w:tc>
          <w:tcPr/>
          <w:p>
            <w:pPr>
              <w:pStyle w:val="Compact"/>
              <w:spacing w:after="40"/>
            </w:pPr>
            <w:hyperlink r:id="rId53">
              <w:r>
                <w:rPr>
                  <w:rStyle w:val="Hyperlink"/>
                </w:rPr>
                <w:t xml:space="preserve">risk_random_control.csv</w:t>
              </w:r>
            </w:hyperlink>
            <w:r>
              <w:rPr>
                <w:b w:val="0"/>
                <w:sz w:val="17"/>
              </w:rPr>
              <w:t xml:space="preserve">、</w:t>
            </w:r>
            <w:hyperlink r:id="rId54">
              <w:r>
                <w:rPr>
                  <w:rStyle w:val="Hyperlink"/>
                </w:rPr>
                <w:t xml:space="preserve">risk_area_control.csv</w:t>
              </w:r>
            </w:hyperlink>
          </w:p>
        </w:tc>
        <w:tc>
          <w:tcPr/>
          <w:p>
            <w:pPr>
              <w:pStyle w:val="Compact"/>
              <w:spacing w:after="40"/>
            </w:pPr>
            <w:r>
              <w:rPr>
                <w:rFonts w:hint="eastAsia"/>
                <w:b w:val="0"/>
                <w:sz w:val="17"/>
              </w:rPr>
              <w:t xml:space="preserve">random_stratification_ablation_20261006与scale_only_confirmation_20261007</w:t>
            </w:r>
          </w:p>
        </w:tc>
      </w:tr>
      <w:tr>
        <w:trPr>
          <w:cantSplit/>
        </w:trPr>
        <w:tc>
          <w:tcPr/>
          <w:p>
            <w:pPr>
              <w:pStyle w:val="Compact"/>
              <w:spacing w:after="40"/>
            </w:pPr>
            <w:r>
              <w:rPr>
                <w:rFonts w:hint="eastAsia"/>
                <w:b w:val="0"/>
                <w:sz w:val="17"/>
              </w:rPr>
              <w:t xml:space="preserve">图4／构成响应</w:t>
            </w:r>
          </w:p>
        </w:tc>
        <w:tc>
          <w:tcPr/>
          <w:p>
            <w:pPr>
              <w:pStyle w:val="Compact"/>
              <w:spacing w:after="40"/>
            </w:pPr>
            <w:hyperlink r:id="rId55">
              <w:r>
                <w:rPr>
                  <w:rStyle w:val="Hyperlink"/>
                </w:rPr>
                <w:t xml:space="preserve">risk_mixture_curves.csv</w:t>
              </w:r>
            </w:hyperlink>
          </w:p>
        </w:tc>
        <w:tc>
          <w:tcPr/>
          <w:p>
            <w:pPr>
              <w:pStyle w:val="Compact"/>
              <w:spacing w:after="40"/>
            </w:pPr>
            <w:r>
              <w:rPr>
                <w:b w:val="0"/>
                <w:sz w:val="17"/>
              </w:rPr>
              <w:t xml:space="preserve">controlled_risk_distribution_20261005/tables/panel_summary.csv</w:t>
            </w:r>
          </w:p>
        </w:tc>
      </w:tr>
      <w:tr>
        <w:trPr>
          <w:cantSplit/>
        </w:trPr>
        <w:tc>
          <w:tcPr/>
          <w:p>
            <w:pPr>
              <w:pStyle w:val="Compact"/>
              <w:spacing w:after="40"/>
            </w:pPr>
            <w:r>
              <w:rPr>
                <w:rFonts w:hint="eastAsia"/>
                <w:b w:val="0"/>
                <w:sz w:val="17"/>
              </w:rPr>
              <w:t xml:space="preserve">图5／薄弱条件复查</w:t>
            </w:r>
          </w:p>
        </w:tc>
        <w:tc>
          <w:tcPr/>
          <w:p>
            <w:pPr>
              <w:pStyle w:val="Compact"/>
              <w:spacing w:after="40"/>
            </w:pPr>
            <w:hyperlink r:id="rId56">
              <w:r>
                <w:rPr>
                  <w:rStyle w:val="Hyperlink"/>
                </w:rPr>
                <w:t xml:space="preserve">condition_support.csv</w:t>
              </w:r>
            </w:hyperlink>
            <w:r>
              <w:rPr>
                <w:b w:val="0"/>
                <w:sz w:val="17"/>
              </w:rPr>
              <w:t xml:space="preserve">、</w:t>
            </w:r>
            <w:hyperlink r:id="rId57">
              <w:r>
                <w:rPr>
                  <w:rStyle w:val="Hyperlink"/>
                </w:rPr>
                <w:t xml:space="preserve">condition_recall_contrasts.csv</w:t>
              </w:r>
            </w:hyperlink>
          </w:p>
        </w:tc>
        <w:tc>
          <w:tcPr/>
          <w:p>
            <w:pPr>
              <w:pStyle w:val="Compact"/>
              <w:spacing w:after="40"/>
            </w:pPr>
            <w:r>
              <w:rPr>
                <w:rFonts w:hint="eastAsia"/>
                <w:b w:val="0"/>
                <w:sz w:val="17"/>
              </w:rPr>
              <w:t xml:space="preserve">三池transfer/tables/state_validation.csv及comparisons.csv</w:t>
            </w:r>
          </w:p>
        </w:tc>
      </w:tr>
      <w:tr>
        <w:trPr>
          <w:cantSplit/>
        </w:trPr>
        <w:tc>
          <w:tcPr/>
          <w:p>
            <w:pPr>
              <w:pStyle w:val="Compact"/>
              <w:spacing w:after="40"/>
            </w:pPr>
            <w:r>
              <w:rPr>
                <w:rFonts w:hint="eastAsia"/>
                <w:b w:val="0"/>
                <w:sz w:val="17"/>
              </w:rPr>
              <w:t xml:space="preserve">非尺度调整结果</w:t>
            </w:r>
          </w:p>
        </w:tc>
        <w:tc>
          <w:tcPr/>
          <w:p>
            <w:pPr>
              <w:pStyle w:val="Compact"/>
              <w:spacing w:after="40"/>
            </w:pPr>
            <w:hyperlink r:id="rId58">
              <w:r>
                <w:rPr>
                  <w:rStyle w:val="Hyperlink"/>
                </w:rPr>
                <w:t xml:space="preserve">area_condition_support.csv</w:t>
              </w:r>
            </w:hyperlink>
          </w:p>
        </w:tc>
        <w:tc>
          <w:tcPr/>
          <w:p>
            <w:pPr>
              <w:pStyle w:val="Compact"/>
              <w:spacing w:after="40"/>
            </w:pPr>
            <w:r>
              <w:rPr>
                <w:b w:val="0"/>
                <w:sz w:val="17"/>
              </w:rPr>
              <w:t xml:space="preserve">scale_only_confirmation_20261007/tables/area_condition_summary.csv</w:t>
            </w:r>
          </w:p>
        </w:tc>
      </w:tr>
      <w:tr>
        <w:trPr>
          <w:cantSplit/>
        </w:trPr>
        <w:tc>
          <w:tcPr/>
          <w:p>
            <w:pPr>
              <w:pStyle w:val="Compact"/>
              <w:spacing w:after="40"/>
            </w:pPr>
            <w:r>
              <w:rPr>
                <w:rFonts w:hint="eastAsia"/>
                <w:b w:val="0"/>
                <w:sz w:val="17"/>
              </w:rPr>
              <w:t xml:space="preserve">图6／条件案例</w:t>
            </w:r>
          </w:p>
        </w:tc>
        <w:tc>
          <w:tcPr/>
          <w:p>
            <w:pPr>
              <w:pStyle w:val="Compact"/>
              <w:spacing w:after="40"/>
            </w:pPr>
            <w:hyperlink r:id="rId59">
              <w:r>
                <w:rPr>
                  <w:rStyle w:val="Hyperlink"/>
                </w:rPr>
                <w:t xml:space="preserve">condition_cases.csv</w:t>
              </w:r>
            </w:hyperlink>
          </w:p>
        </w:tc>
        <w:tc>
          <w:tcPr/>
          <w:p>
            <w:pPr>
              <w:pStyle w:val="Compact"/>
              <w:spacing w:after="40"/>
            </w:pPr>
            <w:r>
              <w:rPr>
                <w:rFonts w:hint="eastAsia"/>
                <w:b w:val="0"/>
                <w:sz w:val="17"/>
              </w:rPr>
              <w:t xml:space="preserve">B池transfer/tables/state_validation.csv</w:t>
            </w:r>
          </w:p>
        </w:tc>
      </w:tr>
      <w:tr>
        <w:trPr>
          <w:cantSplit/>
        </w:trPr>
        <w:tc>
          <w:tcPr/>
          <w:p>
            <w:pPr>
              <w:pStyle w:val="Compact"/>
              <w:spacing w:after="40"/>
            </w:pPr>
            <w:r>
              <w:rPr>
                <w:rFonts w:hint="eastAsia"/>
                <w:b w:val="0"/>
                <w:sz w:val="17"/>
              </w:rPr>
              <w:t xml:space="preserve">图7／模型扩展</w:t>
            </w:r>
          </w:p>
        </w:tc>
        <w:tc>
          <w:tcPr/>
          <w:p>
            <w:pPr>
              <w:pStyle w:val="Compact"/>
              <w:spacing w:after="40"/>
            </w:pPr>
            <w:hyperlink r:id="rId60">
              <w:r>
                <w:rPr>
                  <w:rStyle w:val="Hyperlink"/>
                </w:rPr>
                <w:t xml:space="preserve">recent_models_gap.csv</w:t>
              </w:r>
            </w:hyperlink>
          </w:p>
        </w:tc>
        <w:tc>
          <w:tcPr/>
          <w:p>
            <w:pPr>
              <w:pStyle w:val="Compact"/>
              <w:spacing w:after="40"/>
            </w:pPr>
            <w:r>
              <w:rPr>
                <w:b w:val="0"/>
                <w:sz w:val="17"/>
              </w:rPr>
              <w:t xml:space="preserve">recent_five_models_20261009/tables/risk_gaps_runs.csv</w:t>
            </w:r>
          </w:p>
        </w:tc>
      </w:tr>
    </w:tbl>
    <w:p>
      <w:pPr>
        <w:pStyle w:val="19"/>
        <w:spacing w:after="100" w:line="300" w:lineRule="auto"/>
      </w:pPr>
      <w:r>
        <w:rPr>
          <w:rFonts w:hint="eastAsia"/>
        </w:rPr>
        <w:t xml:space="preserve">三个确认池的原始比较表分别为</w:t>
      </w:r>
      <w:hyperlink r:id="rId61">
        <w:r>
          <w:rPr>
            <w:rStyle w:val="Hyperlink"/>
            <w:rFonts w:hint="eastAsia"/>
          </w:rPr>
          <w:t xml:space="preserve">B／COCO</w:t>
        </w:r>
      </w:hyperlink>
      <w:r>
        <w:t xml:space="preserve">、</w:t>
      </w:r>
      <w:hyperlink r:id="rId62">
        <w:r>
          <w:rPr>
            <w:rStyle w:val="Hyperlink"/>
            <w:rFonts w:hint="eastAsia"/>
          </w:rPr>
          <w:t xml:space="preserve">C／VOC2007</w:t>
        </w:r>
      </w:hyperlink>
      <w:r>
        <w:rPr>
          <w:rFonts w:hint="eastAsia"/>
        </w:rPr>
        <w:t xml:space="preserve">与</w:t>
      </w:r>
      <w:hyperlink r:id="rId63">
        <w:r>
          <w:rPr>
            <w:rStyle w:val="Hyperlink"/>
            <w:rFonts w:hint="eastAsia"/>
          </w:rPr>
          <w:t xml:space="preserve">D／Objects365</w:t>
        </w:r>
      </w:hyperlink>
      <w:r>
        <w:rPr>
          <w:rFonts w:hint="eastAsia"/>
        </w:rPr>
        <w:t xml:space="preserve">。图1—6绘制脚本为</w:t>
      </w:r>
      <w:hyperlink r:id="rId64">
        <w:r>
          <w:rPr>
            <w:rStyle w:val="Hyperlink"/>
            <w:rFonts w:hint="eastAsia"/>
          </w:rPr>
          <w:t xml:space="preserve">主结果绘图脚本</w:t>
        </w:r>
      </w:hyperlink>
      <w:r>
        <w:rPr>
          <w:rFonts w:hint="eastAsia"/>
        </w:rPr>
        <w:t xml:space="preserve">，图7脚本为</w:t>
      </w:r>
      <w:hyperlink r:id="rId65">
        <w:r>
          <w:rPr>
            <w:rStyle w:val="Hyperlink"/>
            <w:rFonts w:hint="eastAsia"/>
          </w:rPr>
          <w:t xml:space="preserve">扩展模型绘图脚本</w:t>
        </w:r>
      </w:hyperlink>
      <w:r>
        <w:rPr>
          <w:rFonts w:hint="eastAsia"/>
        </w:rPr>
        <w:t xml:space="preserve">。原始CSV校验值与18项主结果复算记录见</w:t>
      </w:r>
      <w:hyperlink r:id="rId66">
        <w:r>
          <w:rPr>
            <w:rStyle w:val="Hyperlink"/>
            <w:rFonts w:hint="eastAsia"/>
          </w:rPr>
          <w:t xml:space="preserve">结果审计</w:t>
        </w:r>
      </w:hyperlink>
      <w:r>
        <w:t xml:space="preserve">。</w:t>
      </w:r>
    </w:p>
    <w:bookmarkEnd w:id="67"/>
    <w:bookmarkEnd w:id="68"/>
    <w:bookmarkEnd w:id="69"/>
    <w:sectPr>
      <w:footerReference r:id="rId5" w:type="default"/>
      <w:pgSz w:h="16838" w:w="11906"/>
      <w:pgMar w:bottom="1191" w:footer="720" w:gutter="0" w:header="720" w:left="1134" w:right="1134" w:top="1191"/>
      <w:cols w:num="1" w:space="72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ＭＳ ゴシック">
    <w:altName w:val="Arial Unicode M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BB90">
    <w:pPr>
      <w:pStyle w:val="24"/>
      <w:jc w:val="center"/>
    </w:pPr>
    <w:r>
      <w:fldChar w:fldCharType="begin"/>
    </w:r>
    <w:r>
      <w:instrText xml:space="preserve">PAGE</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pos="1080" w:val="left"/>
        </w:tabs>
        <w:ind w:hanging="360" w:left="1080"/>
      </w:pPr>
    </w:lvl>
  </w:abstractNum>
  <w:abstractNum w:abstractNumId="1">
    <w:nsid w:val="FFFFFF7F"/>
    <w:multiLevelType w:val="singleLevel"/>
    <w:tmpl w:val="FFFFFF7F"/>
    <w:lvl w:ilvl="0" w:tentative="0">
      <w:start w:val="1"/>
      <w:numFmt w:val="decimal"/>
      <w:pStyle w:val="13"/>
      <w:lvlText w:val="%1."/>
      <w:lvlJc w:val="left"/>
      <w:pPr>
        <w:tabs>
          <w:tab w:pos="720" w:val="left"/>
        </w:tabs>
        <w:ind w:hanging="360" w:left="720"/>
      </w:pPr>
    </w:lvl>
  </w:abstractNum>
  <w:abstractNum w:abstractNumId="2">
    <w:nsid w:val="FFFFFF82"/>
    <w:multiLevelType w:val="singleLevel"/>
    <w:tmpl w:val="FFFFFF82"/>
    <w:lvl w:ilvl="0" w:tentative="0">
      <w:start w:val="1"/>
      <w:numFmt w:val="bullet"/>
      <w:pStyle w:val="18"/>
      <w:lvlText w:val=""/>
      <w:lvlJc w:val="left"/>
      <w:pPr>
        <w:tabs>
          <w:tab w:pos="1080" w:val="left"/>
        </w:tabs>
        <w:ind w:hanging="360" w:left="1080"/>
      </w:pPr>
      <w:rPr>
        <w:rFonts w:ascii="Symbol" w:hAnsi="Symbol" w:hint="default"/>
      </w:rPr>
    </w:lvl>
  </w:abstractNum>
  <w:abstractNum w:abstractNumId="3">
    <w:nsid w:val="FFFFFF83"/>
    <w:multiLevelType w:val="singleLevel"/>
    <w:tmpl w:val="FFFFFF83"/>
    <w:lvl w:ilvl="0" w:tentative="0">
      <w:start w:val="1"/>
      <w:numFmt w:val="bullet"/>
      <w:pStyle w:val="23"/>
      <w:lvlText w:val=""/>
      <w:lvlJc w:val="left"/>
      <w:pPr>
        <w:tabs>
          <w:tab w:pos="720" w:val="left"/>
        </w:tabs>
        <w:ind w:hanging="360" w:left="720"/>
      </w:pPr>
      <w:rPr>
        <w:rFonts w:ascii="Symbol" w:hAnsi="Symbol" w:hint="default"/>
      </w:rPr>
    </w:lvl>
  </w:abstractNum>
  <w:abstractNum w:abstractNumId="4">
    <w:nsid w:val="FFFFFF88"/>
    <w:multiLevelType w:val="singleLevel"/>
    <w:tmpl w:val="FFFFFF88"/>
    <w:lvl w:ilvl="0" w:tentative="0">
      <w:start w:val="1"/>
      <w:numFmt w:val="decimal"/>
      <w:pStyle w:val="14"/>
      <w:lvlText w:val="%1."/>
      <w:lvlJc w:val="left"/>
      <w:pPr>
        <w:tabs>
          <w:tab w:pos="360" w:val="left"/>
        </w:tabs>
        <w:ind w:hanging="360" w:left="360"/>
      </w:pPr>
    </w:lvl>
  </w:abstractNum>
  <w:abstractNum w:abstractNumId="5">
    <w:nsid w:val="FFFFFF89"/>
    <w:multiLevelType w:val="singleLevel"/>
    <w:tmpl w:val="FFFFFF89"/>
    <w:lvl w:ilvl="0" w:tentative="0">
      <w:start w:val="1"/>
      <w:numFmt w:val="bullet"/>
      <w:pStyle w:val="16"/>
      <w:lvlText w:val=""/>
      <w:lvlJc w:val="left"/>
      <w:pPr>
        <w:tabs>
          <w:tab w:pos="360" w:val="left"/>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6"/>
  <w:embedSystemFonts/>
  <w:bordersDoNotSurroundHeader w:val="0"/>
  <w:bordersDoNotSurroundFooter w:val="0"/>
  <w:proofState w:grammar="clean" w:spelling="clean"/>
  <w:stylePaneFormatFilter w:val="0004"/>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savePreviewPicture/>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8F9415"/>
    <w:rsid w:val="77F7AB19"/>
    <w:rsid w:val="7CEE156C"/>
    <w:rsid w:val="7DAF838E"/>
    <w:rsid w:val="B4FB2942"/>
    <w:rsid w:val="BBEF2BAA"/>
    <w:rsid w:val="DEEA6E60"/>
    <w:rsid w:val="E55F3986"/>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semiHidden="0" w:uiPriority="99"/>
    <w:lsdException w:name="footer"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semiHidden="0" w:uiPriority="99"/>
    <w:lsdException w:name="toa heading" w:uiPriority="99"/>
    <w:lsdException w:name="List" w:semiHidden="0" w:uiPriority="99"/>
    <w:lsdException w:name="List Bullet" w:semiHidden="0" w:uiPriority="99"/>
    <w:lsdException w:name="List Number" w:semiHidden="0" w:uiPriority="99"/>
    <w:lsdException w:name="List 2" w:semiHidden="0" w:uiPriority="99"/>
    <w:lsdException w:name="List 3" w:semiHidden="0" w:uiPriority="99"/>
    <w:lsdException w:name="List 4" w:uiPriority="99"/>
    <w:lsdException w:name="List 5" w:uiPriority="99"/>
    <w:lsdException w:name="List Bullet 2" w:semiHidden="0" w:uiPriority="99"/>
    <w:lsdException w:name="List Bullet 3" w:semiHidden="0" w:uiPriority="99"/>
    <w:lsdException w:name="List Bullet 4" w:uiPriority="99"/>
    <w:lsdException w:name="List Bullet 5" w:uiPriority="99"/>
    <w:lsdException w:name="List Number 2" w:semiHidden="0" w:uiPriority="99"/>
    <w:lsdException w:name="List Number 3" w:semiHidden="0"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semiHidden="0" w:uiPriority="99"/>
    <w:lsdException w:name="Body Text Indent" w:uiPriority="99"/>
    <w:lsdException w:name="List Continue" w:semiHidden="0" w:uiPriority="99"/>
    <w:lsdException w:name="List Continue 2" w:semiHidden="0" w:uiPriority="99"/>
    <w:lsdException w:name="List Continue 3" w:semiHidden="0"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semiHidden="0" w:uiPriority="99"/>
    <w:lsdException w:name="Body Text 3" w:semiHidden="0"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semiHidden="0" w:uiPriority="59" w:unhideWhenUsed="0"/>
    <w:lsdException w:name="Table Theme" w:uiPriority="99"/>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line="276" w:lineRule="auto"/>
    </w:pPr>
    <w:rPr>
      <w:rFonts w:ascii="Times New Roman" w:cstheme="minorBidi" w:eastAsia="宋体" w:hAnsi="Times New Roman"/>
      <w:b w:val="0"/>
      <w:color w:val="000000"/>
      <w:sz w:val="22"/>
      <w:szCs w:val="22"/>
      <w:lang w:bidi="ar-SA" w:eastAsia="en-US" w:val="en-US"/>
    </w:rPr>
  </w:style>
  <w:style w:styleId="3" w:type="paragraph">
    <w:name w:val="heading 1"/>
    <w:basedOn w:val="1"/>
    <w:next w:val="1"/>
    <w:link w:val="138"/>
    <w:qFormat/>
    <w:uiPriority w:val="9"/>
    <w:pPr>
      <w:keepNext/>
      <w:keepLines/>
      <w:spacing w:after="0" w:before="480"/>
      <w:outlineLvl w:val="0"/>
    </w:pPr>
    <w:rPr>
      <w:rFonts w:asciiTheme="majorHAnsi" w:cstheme="majorBidi" w:eastAsiaTheme="majorEastAsia" w:hAnsiTheme="majorHAnsi" w:ascii="Times New Roman" w:hAnsi="Times New Roman" w:eastAsia="黑体"/>
      <w:b/>
      <w:bCs/>
      <w:color w:val="000000"/>
      <w:sz w:val="30"/>
      <w:szCs w:val="28"/>
    </w:rPr>
  </w:style>
  <w:style w:styleId="4" w:type="paragraph">
    <w:name w:val="heading 2"/>
    <w:basedOn w:val="1"/>
    <w:next w:val="1"/>
    <w:link w:val="139"/>
    <w:unhideWhenUsed/>
    <w:qFormat/>
    <w:uiPriority w:val="9"/>
    <w:pPr>
      <w:keepNext/>
      <w:keepLines/>
      <w:spacing w:after="0" w:before="200"/>
      <w:outlineLvl w:val="1"/>
    </w:pPr>
    <w:rPr>
      <w:rFonts w:asciiTheme="majorHAnsi" w:cstheme="majorBidi" w:eastAsiaTheme="majorEastAsia" w:hAnsiTheme="majorHAnsi" w:ascii="Times New Roman" w:hAnsi="Times New Roman" w:eastAsia="黑体"/>
      <w:b/>
      <w:bCs/>
      <w:color w:val="000000"/>
      <w:sz w:val="26"/>
      <w:szCs w:val="26"/>
    </w:rPr>
  </w:style>
  <w:style w:styleId="5" w:type="paragraph">
    <w:name w:val="heading 3"/>
    <w:basedOn w:val="1"/>
    <w:next w:val="1"/>
    <w:link w:val="140"/>
    <w:unhideWhenUsed/>
    <w:qFormat/>
    <w:uiPriority w:val="9"/>
    <w:pPr>
      <w:keepNext/>
      <w:keepLines/>
      <w:spacing w:after="0" w:before="200"/>
      <w:outlineLvl w:val="2"/>
    </w:pPr>
    <w:rPr>
      <w:rFonts w:asciiTheme="majorHAnsi" w:cstheme="majorBidi" w:eastAsiaTheme="majorEastAsia" w:hAnsiTheme="majorHAnsi" w:ascii="Times New Roman" w:hAnsi="Times New Roman" w:eastAsia="黑体"/>
      <w:b/>
      <w:bCs/>
      <w14:textFill>
        <w14:solidFill>
          <w14:schemeClr w14:val="accent1"/>
        </w14:solidFill>
      </w14:textFill>
      <w:color w:val="000000"/>
      <w:sz w:val="23"/>
    </w:rPr>
  </w:style>
  <w:style w:styleId="6" w:type="paragraph">
    <w:name w:val="heading 4"/>
    <w:basedOn w:val="1"/>
    <w:next w:val="1"/>
    <w:link w:val="150"/>
    <w:semiHidden/>
    <w:unhideWhenUsed/>
    <w:qFormat/>
    <w:uiPriority w:val="9"/>
    <w:pPr>
      <w:keepNext/>
      <w:keepLines/>
      <w:spacing w:after="0" w:before="200"/>
      <w:outlineLvl w:val="3"/>
    </w:pPr>
    <w:rPr>
      <w:rFonts w:asciiTheme="majorHAnsi" w:cstheme="majorBidi" w:eastAsiaTheme="majorEastAsia" w:hAnsiTheme="majorHAnsi"/>
      <w:b/>
      <w:bCs/>
      <w:i/>
      <w:iCs/>
      <w:color w:themeColor="accent1" w:val="4F81BD"/>
      <w14:textFill>
        <w14:solidFill>
          <w14:schemeClr w14:val="accent1"/>
        </w14:solidFill>
      </w14:textFill>
    </w:rPr>
  </w:style>
  <w:style w:styleId="7" w:type="paragraph">
    <w:name w:val="heading 5"/>
    <w:basedOn w:val="1"/>
    <w:next w:val="1"/>
    <w:link w:val="151"/>
    <w:semiHidden/>
    <w:unhideWhenUsed/>
    <w:qFormat/>
    <w:uiPriority w:val="9"/>
    <w:pPr>
      <w:keepNext/>
      <w:keepLines/>
      <w:spacing w:after="0" w:before="200"/>
      <w:outlineLvl w:val="4"/>
    </w:pPr>
    <w:rPr>
      <w:rFonts w:asciiTheme="majorHAnsi" w:cstheme="majorBidi" w:eastAsiaTheme="majorEastAsia" w:hAnsiTheme="majorHAnsi"/>
      <w:color w:themeColor="accent1" w:themeShade="80" w:val="254061"/>
    </w:rPr>
  </w:style>
  <w:style w:styleId="8" w:type="paragraph">
    <w:name w:val="heading 6"/>
    <w:basedOn w:val="1"/>
    <w:next w:val="1"/>
    <w:link w:val="152"/>
    <w:semiHidden/>
    <w:unhideWhenUsed/>
    <w:qFormat/>
    <w:uiPriority w:val="9"/>
    <w:pPr>
      <w:keepNext/>
      <w:keepLines/>
      <w:spacing w:after="0" w:before="200"/>
      <w:outlineLvl w:val="5"/>
    </w:pPr>
    <w:rPr>
      <w:rFonts w:asciiTheme="majorHAnsi" w:cstheme="majorBidi" w:eastAsiaTheme="majorEastAsia" w:hAnsiTheme="majorHAnsi"/>
      <w:i/>
      <w:iCs/>
      <w:color w:themeColor="accent1" w:themeShade="80" w:val="254061"/>
    </w:rPr>
  </w:style>
  <w:style w:styleId="9" w:type="paragraph">
    <w:name w:val="heading 7"/>
    <w:basedOn w:val="1"/>
    <w:next w:val="1"/>
    <w:link w:val="153"/>
    <w:semiHidden/>
    <w:unhideWhenUsed/>
    <w:qFormat/>
    <w:uiPriority w:val="9"/>
    <w:pPr>
      <w:keepNext/>
      <w:keepLines/>
      <w:spacing w:after="0" w:before="200"/>
      <w:outlineLvl w:val="6"/>
    </w:pPr>
    <w:rPr>
      <w:rFont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styleId="10" w:type="paragraph">
    <w:name w:val="heading 8"/>
    <w:basedOn w:val="1"/>
    <w:next w:val="1"/>
    <w:link w:val="154"/>
    <w:semiHidden/>
    <w:unhideWhenUsed/>
    <w:qFormat/>
    <w:uiPriority w:val="9"/>
    <w:pPr>
      <w:keepNext/>
      <w:keepLines/>
      <w:spacing w:after="0" w:before="200"/>
      <w:outlineLvl w:val="7"/>
    </w:pPr>
    <w:rPr>
      <w:rFonts w:asciiTheme="majorHAnsi" w:cstheme="majorBidi" w:eastAsiaTheme="majorEastAsia" w:hAnsiTheme="majorHAnsi"/>
      <w:color w:themeColor="accent1" w:val="4F81BD"/>
      <w:sz w:val="20"/>
      <w:szCs w:val="20"/>
      <w14:textFill>
        <w14:solidFill>
          <w14:schemeClr w14:val="accent1"/>
        </w14:solidFill>
      </w14:textFill>
    </w:rPr>
  </w:style>
  <w:style w:styleId="11" w:type="paragraph">
    <w:name w:val="heading 9"/>
    <w:basedOn w:val="1"/>
    <w:next w:val="1"/>
    <w:link w:val="155"/>
    <w:semiHidden/>
    <w:unhideWhenUsed/>
    <w:qFormat/>
    <w:uiPriority w:val="9"/>
    <w:pPr>
      <w:keepNext/>
      <w:keepLines/>
      <w:spacing w:after="0" w:before="200"/>
      <w:outlineLvl w:val="8"/>
    </w:pPr>
    <w:rPr>
      <w:rFont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default="1" w:styleId="132" w:type="character">
    <w:name w:val="Default Paragraph Font"/>
    <w:semiHidden/>
    <w:unhideWhenUsed/>
    <w:uiPriority w:val="1"/>
  </w:style>
  <w:style w:default="1" w:styleId="32" w:type="table">
    <w:name w:val="Normal Table"/>
    <w:semiHidden/>
    <w:unhideWhenUsed/>
    <w:uiPriority w:val="99"/>
    <w:tblPr>
      <w:tblCellMar>
        <w:top w:type="dxa" w:w="0"/>
        <w:left w:type="dxa" w:w="108"/>
        <w:bottom w:type="dxa" w:w="0"/>
        <w:right w:type="dxa" w:w="108"/>
      </w:tblCellMar>
    </w:tblPr>
  </w:style>
  <w:style w:styleId="2" w:type="paragraph">
    <w:name w:val="macro"/>
    <w:link w:val="147"/>
    <w:unhideWhenUsed/>
    <w:uiPriority w:val="99"/>
    <w:pPr>
      <w:tabs>
        <w:tab w:pos="576" w:val="left"/>
        <w:tab w:pos="1152" w:val="left"/>
        <w:tab w:pos="1728" w:val="left"/>
        <w:tab w:pos="2304" w:val="left"/>
        <w:tab w:pos="2880" w:val="left"/>
        <w:tab w:pos="3456" w:val="left"/>
        <w:tab w:pos="4032" w:val="left"/>
      </w:tabs>
      <w:spacing w:after="200" w:line="276" w:lineRule="auto"/>
    </w:pPr>
    <w:rPr>
      <w:rFonts w:ascii="Courier" w:cstheme="minorBidi" w:eastAsiaTheme="minorEastAsia" w:hAnsi="Courier"/>
      <w:sz w:val="20"/>
      <w:szCs w:val="20"/>
      <w:lang w:bidi="ar-SA" w:eastAsia="en-US" w:val="en-US"/>
    </w:rPr>
  </w:style>
  <w:style w:styleId="12" w:type="paragraph">
    <w:name w:val="List 3"/>
    <w:basedOn w:val="1"/>
    <w:unhideWhenUsed/>
    <w:uiPriority w:val="99"/>
    <w:pPr>
      <w:ind w:hanging="360" w:left="1080"/>
      <w:contextualSpacing/>
    </w:pPr>
  </w:style>
  <w:style w:styleId="13" w:type="paragraph">
    <w:name w:val="List Number 2"/>
    <w:basedOn w:val="1"/>
    <w:unhideWhenUsed/>
    <w:uiPriority w:val="99"/>
    <w:pPr>
      <w:numPr>
        <w:ilvl w:val="0"/>
        <w:numId w:val="1"/>
      </w:numPr>
      <w:contextualSpacing/>
    </w:pPr>
  </w:style>
  <w:style w:styleId="14" w:type="paragraph">
    <w:name w:val="List Number"/>
    <w:basedOn w:val="1"/>
    <w:unhideWhenUsed/>
    <w:uiPriority w:val="99"/>
    <w:pPr>
      <w:numPr>
        <w:ilvl w:val="0"/>
        <w:numId w:val="2"/>
      </w:numPr>
      <w:contextualSpacing/>
    </w:pPr>
  </w:style>
  <w:style w:styleId="15" w:type="paragraph">
    <w:name w:val="caption"/>
    <w:basedOn w:val="1"/>
    <w:next w:val="1"/>
    <w:semiHidden/>
    <w:unhideWhenUsed/>
    <w:qFormat/>
    <w:uiPriority w:val="35"/>
    <w:pPr>
      <w:spacing w:line="240" w:lineRule="auto"/>
    </w:pPr>
    <w:rPr>
      <w:rFonts w:ascii="Times New Roman" w:hAnsi="Times New Roman" w:eastAsia="宋体"/>
      <w:b w:val="0"/>
      <w:bCs/>
      <w:color w:val="000000"/>
      <w:sz w:val="18"/>
      <w:szCs w:val="18"/>
      <w14:textFill>
        <w14:solidFill>
          <w14:schemeClr w14:val="accent1"/>
        </w14:solidFill>
      </w14:textFill>
    </w:rPr>
  </w:style>
  <w:style w:styleId="16" w:type="paragraph">
    <w:name w:val="List Bullet"/>
    <w:basedOn w:val="1"/>
    <w:unhideWhenUsed/>
    <w:uiPriority w:val="99"/>
    <w:pPr>
      <w:numPr>
        <w:ilvl w:val="0"/>
        <w:numId w:val="3"/>
      </w:numPr>
      <w:contextualSpacing/>
    </w:pPr>
  </w:style>
  <w:style w:styleId="17" w:type="paragraph">
    <w:name w:val="Body Text 3"/>
    <w:basedOn w:val="1"/>
    <w:link w:val="146"/>
    <w:unhideWhenUsed/>
    <w:uiPriority w:val="99"/>
    <w:pPr>
      <w:spacing w:after="120"/>
    </w:pPr>
    <w:rPr>
      <w:sz w:val="16"/>
      <w:szCs w:val="16"/>
    </w:rPr>
  </w:style>
  <w:style w:styleId="18" w:type="paragraph">
    <w:name w:val="List Bullet 3"/>
    <w:basedOn w:val="1"/>
    <w:unhideWhenUsed/>
    <w:uiPriority w:val="99"/>
    <w:pPr>
      <w:numPr>
        <w:ilvl w:val="0"/>
        <w:numId w:val="4"/>
      </w:numPr>
      <w:contextualSpacing/>
    </w:pPr>
  </w:style>
  <w:style w:styleId="19" w:type="paragraph">
    <w:name w:val="Body Text"/>
    <w:basedOn w:val="1"/>
    <w:link w:val="144"/>
    <w:unhideWhenUsed/>
    <w:uiPriority w:val="99"/>
    <w:pPr>
      <w:spacing w:after="120"/>
    </w:pPr>
  </w:style>
  <w:style w:styleId="20" w:type="paragraph">
    <w:name w:val="List Number 3"/>
    <w:basedOn w:val="1"/>
    <w:unhideWhenUsed/>
    <w:uiPriority w:val="99"/>
    <w:pPr>
      <w:numPr>
        <w:ilvl w:val="0"/>
        <w:numId w:val="5"/>
      </w:numPr>
      <w:contextualSpacing/>
    </w:pPr>
  </w:style>
  <w:style w:styleId="21" w:type="paragraph">
    <w:name w:val="List 2"/>
    <w:basedOn w:val="1"/>
    <w:unhideWhenUsed/>
    <w:uiPriority w:val="99"/>
    <w:pPr>
      <w:ind w:hanging="360" w:left="720"/>
      <w:contextualSpacing/>
    </w:pPr>
  </w:style>
  <w:style w:styleId="22" w:type="paragraph">
    <w:name w:val="List Continue"/>
    <w:basedOn w:val="1"/>
    <w:unhideWhenUsed/>
    <w:uiPriority w:val="99"/>
    <w:pPr>
      <w:spacing w:after="120"/>
      <w:ind w:left="360"/>
      <w:contextualSpacing/>
    </w:pPr>
  </w:style>
  <w:style w:styleId="23" w:type="paragraph">
    <w:name w:val="List Bullet 2"/>
    <w:basedOn w:val="1"/>
    <w:unhideWhenUsed/>
    <w:uiPriority w:val="99"/>
    <w:pPr>
      <w:numPr>
        <w:ilvl w:val="0"/>
        <w:numId w:val="6"/>
      </w:numPr>
      <w:contextualSpacing/>
    </w:pPr>
  </w:style>
  <w:style w:styleId="24" w:type="paragraph">
    <w:name w:val="footer"/>
    <w:basedOn w:val="1"/>
    <w:link w:val="136"/>
    <w:unhideWhenUsed/>
    <w:uiPriority w:val="99"/>
    <w:pPr>
      <w:tabs>
        <w:tab w:pos="4680" w:val="center"/>
        <w:tab w:pos="9360" w:val="right"/>
      </w:tabs>
      <w:spacing w:after="0" w:line="240" w:lineRule="auto"/>
    </w:pPr>
  </w:style>
  <w:style w:styleId="25" w:type="paragraph">
    <w:name w:val="header"/>
    <w:basedOn w:val="1"/>
    <w:link w:val="135"/>
    <w:unhideWhenUsed/>
    <w:uiPriority w:val="99"/>
    <w:pPr>
      <w:tabs>
        <w:tab w:pos="4680" w:val="center"/>
        <w:tab w:pos="9360" w:val="right"/>
      </w:tabs>
      <w:spacing w:after="0" w:line="240" w:lineRule="auto"/>
    </w:pPr>
  </w:style>
  <w:style w:styleId="26" w:type="paragraph">
    <w:name w:val="Subtitle"/>
    <w:basedOn w:val="1"/>
    <w:next w:val="1"/>
    <w:link w:val="142"/>
    <w:qFormat/>
    <w:uiPriority w:val="11"/>
    <w:rPr>
      <w:rFonts w:asciiTheme="majorHAnsi" w:cstheme="majorBidi" w:eastAsiaTheme="majorEastAsia" w:hAnsiTheme="majorHAnsi"/>
      <w:i/>
      <w:iCs/>
      <w:color w:themeColor="accent1" w:val="4F81BD"/>
      <w:spacing w:val="15"/>
      <w:sz w:val="24"/>
      <w:szCs w:val="24"/>
      <w14:textFill>
        <w14:solidFill>
          <w14:schemeClr w14:val="accent1"/>
        </w14:solidFill>
      </w14:textFill>
    </w:rPr>
  </w:style>
  <w:style w:styleId="27" w:type="paragraph">
    <w:name w:val="List"/>
    <w:basedOn w:val="1"/>
    <w:unhideWhenUsed/>
    <w:uiPriority w:val="99"/>
    <w:pPr>
      <w:ind w:hanging="360" w:left="360"/>
      <w:contextualSpacing/>
    </w:pPr>
  </w:style>
  <w:style w:styleId="28" w:type="paragraph">
    <w:name w:val="Body Text 2"/>
    <w:basedOn w:val="1"/>
    <w:link w:val="145"/>
    <w:unhideWhenUsed/>
    <w:uiPriority w:val="99"/>
    <w:pPr>
      <w:spacing w:after="120" w:line="480" w:lineRule="auto"/>
    </w:pPr>
  </w:style>
  <w:style w:styleId="29" w:type="paragraph">
    <w:name w:val="List Continue 2"/>
    <w:basedOn w:val="1"/>
    <w:unhideWhenUsed/>
    <w:uiPriority w:val="99"/>
    <w:pPr>
      <w:spacing w:after="120"/>
      <w:ind w:left="720"/>
      <w:contextualSpacing/>
    </w:pPr>
  </w:style>
  <w:style w:styleId="30" w:type="paragraph">
    <w:name w:val="List Continue 3"/>
    <w:basedOn w:val="1"/>
    <w:unhideWhenUsed/>
    <w:uiPriority w:val="99"/>
    <w:pPr>
      <w:spacing w:after="120"/>
      <w:ind w:left="1080"/>
      <w:contextualSpacing/>
    </w:pPr>
  </w:style>
  <w:style w:styleId="31" w:type="paragraph">
    <w:name w:val="Title"/>
    <w:basedOn w:val="1"/>
    <w:next w:val="1"/>
    <w:link w:val="141"/>
    <w:qFormat/>
    <w:uiPriority w:val="10"/>
    <w:pPr>
      <w:pBdr>
        <w:bottom w:color="4F81BD" w:space="4" w:sz="8" w:themeColor="accent1" w:val="single"/>
      </w:pBdr>
      <w:spacing w:after="300" w:line="240" w:lineRule="auto"/>
      <w:contextualSpacing/>
    </w:pPr>
    <w:rPr>
      <w:rFonts w:asciiTheme="majorHAnsi" w:cstheme="majorBidi" w:eastAsiaTheme="majorEastAsia" w:hAnsiTheme="majorHAnsi" w:ascii="Times New Roman" w:hAnsi="Times New Roman" w:eastAsia="黑体"/>
      <w:b/>
      <w:color w:val="000000"/>
      <w:spacing w:val="5"/>
      <w:kern w:val="28"/>
      <w:sz w:val="36"/>
      <w:szCs w:val="52"/>
    </w:rPr>
  </w:style>
  <w:style w:styleId="33" w:type="table">
    <w:name w:val="Table Grid"/>
    <w:basedOn w:val="32"/>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34" w:type="table">
    <w:name w:val="Light Shading"/>
    <w:basedOn w:val="32"/>
    <w:uiPriority w:val="60"/>
    <w:pPr>
      <w:spacing w:after="0" w:line="240" w:lineRule="auto"/>
    </w:pPr>
    <w:rPr>
      <w:color w:themeColor="text1" w:themeShade="BF" w:val="000000"/>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left w:val="nil"/>
          <w:right w:val="nil"/>
          <w:insideH w:val="nil"/>
          <w:insideV w:val="nil"/>
        </w:tcBorders>
        <w:shd w:color="auto" w:fill="BFBFBF" w:themeFill="text1" w:themeFillTint="3F" w:val="clear"/>
      </w:tcPr>
    </w:tblStylePr>
  </w:style>
  <w:style w:styleId="35" w:type="table">
    <w:name w:val="Light Shading Accent 1"/>
    <w:basedOn w:val="32"/>
    <w:uiPriority w:val="60"/>
    <w:pPr>
      <w:spacing w:after="0" w:line="240" w:lineRule="auto"/>
    </w:pPr>
    <w:rPr>
      <w:color w:themeColor="accent1" w:themeShade="BF" w:val="376092"/>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36" w:type="table">
    <w:name w:val="Light Shading Accent 2"/>
    <w:basedOn w:val="32"/>
    <w:uiPriority w:val="60"/>
    <w:pPr>
      <w:spacing w:after="0" w:line="240" w:lineRule="auto"/>
    </w:pPr>
    <w:rPr>
      <w:color w:themeColor="accent2" w:themeShade="BF" w:val="953735"/>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left w:val="nil"/>
          <w:right w:val="nil"/>
          <w:insideH w:val="nil"/>
          <w:insideV w:val="nil"/>
        </w:tcBorders>
        <w:shd w:color="auto" w:fill="EFD3D3" w:themeFill="accent2" w:themeFillTint="3F" w:val="clear"/>
      </w:tcPr>
    </w:tblStylePr>
  </w:style>
  <w:style w:styleId="37" w:type="table">
    <w:name w:val="Light Shading Accent 3"/>
    <w:basedOn w:val="32"/>
    <w:uiPriority w:val="60"/>
    <w:pPr>
      <w:spacing w:after="0" w:line="240" w:lineRule="auto"/>
    </w:pPr>
    <w:rPr>
      <w:color w:themeColor="accent3" w:themeShade="BF" w:val="77933C"/>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38" w:type="table">
    <w:name w:val="Light Shading Accent 4"/>
    <w:basedOn w:val="32"/>
    <w:uiPriority w:val="60"/>
    <w:pPr>
      <w:spacing w:after="0" w:line="240" w:lineRule="auto"/>
    </w:pPr>
    <w:rPr>
      <w:color w:themeColor="accent4" w:themeShade="BF" w:val="604A7B"/>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39" w:type="table">
    <w:name w:val="Light Shading Accent 5"/>
    <w:basedOn w:val="32"/>
    <w:uiPriority w:val="60"/>
    <w:pPr>
      <w:spacing w:after="0" w:line="240" w:lineRule="auto"/>
    </w:pPr>
    <w:rPr>
      <w:color w:themeColor="accent5" w:themeShade="BF" w:val="31859C"/>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left w:val="nil"/>
          <w:right w:val="nil"/>
          <w:insideH w:val="nil"/>
          <w:insideV w:val="nil"/>
        </w:tcBorders>
        <w:shd w:color="auto" w:fill="D2EAF0" w:themeFill="accent5" w:themeFillTint="3F" w:val="clear"/>
      </w:tcPr>
    </w:tblStylePr>
  </w:style>
  <w:style w:styleId="40" w:type="table">
    <w:name w:val="Light Shading Accent 6"/>
    <w:basedOn w:val="32"/>
    <w:uiPriority w:val="60"/>
    <w:pPr>
      <w:spacing w:after="0" w:line="240" w:lineRule="auto"/>
    </w:pPr>
    <w:rPr>
      <w:color w:themeColor="accent6" w:themeShade="BF" w:val="E46C0A"/>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left w:val="nil"/>
          <w:right w:val="nil"/>
          <w:insideH w:val="nil"/>
          <w:insideV w:val="nil"/>
        </w:tcBorders>
        <w:shd w:color="auto" w:fill="FDE5D1" w:themeFill="accent6" w:themeFillTint="3F" w:val="clear"/>
      </w:tcPr>
    </w:tblStylePr>
  </w:style>
  <w:style w:styleId="41" w:type="table">
    <w:name w:val="Light List"/>
    <w:basedOn w:val="32"/>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42" w:type="table">
    <w:name w:val="Light List Accent 1"/>
    <w:basedOn w:val="32"/>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43" w:type="table">
    <w:name w:val="Light List Accent 2"/>
    <w:basedOn w:val="32"/>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44" w:type="table">
    <w:name w:val="Light List Accent 3"/>
    <w:basedOn w:val="32"/>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45" w:type="table">
    <w:name w:val="Light List Accent 4"/>
    <w:basedOn w:val="32"/>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46" w:type="table">
    <w:name w:val="Light List Accent 5"/>
    <w:basedOn w:val="32"/>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47" w:type="table">
    <w:name w:val="Light List Accent 6"/>
    <w:basedOn w:val="32"/>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48" w:type="table">
    <w:name w:val="Light Grid"/>
    <w:basedOn w:val="32"/>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styleId="49" w:type="table">
    <w:name w:val="Light Grid Accent 1"/>
    <w:basedOn w:val="32"/>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styleId="50" w:type="table">
    <w:name w:val="Light Grid Accent 2"/>
    <w:basedOn w:val="32"/>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styleId="51" w:type="table">
    <w:name w:val="Light Grid Accent 3"/>
    <w:basedOn w:val="32"/>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styleId="52" w:type="table">
    <w:name w:val="Light Grid Accent 4"/>
    <w:basedOn w:val="32"/>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styleId="53" w:type="table">
    <w:name w:val="Light Grid Accent 5"/>
    <w:basedOn w:val="32"/>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styleId="54" w:type="table">
    <w:name w:val="Light Grid Accent 6"/>
    <w:basedOn w:val="32"/>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styleId="55" w:type="table">
    <w:name w:val="Medium Shading 1"/>
    <w:basedOn w:val="32"/>
    <w:uiPriority w:val="63"/>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3F3F3F" w:space="0" w:sz="6" w:themeColor="text1" w:themeTint="BF" w:val="double"/>
          <w:left w:color="3F3F3F" w:space="0" w:sz="8" w:themeColor="text1" w:themeTint="BF" w:val="single"/>
          <w:bottom w:color="3F3F3F" w:space="0" w:sz="8" w:themeColor="text1" w:themeTint="BF" w:val="single"/>
          <w:right w:color="3F3F3F"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BFBFBF" w:themeFill="text1" w:themeFillTint="3F" w:val="clear"/>
      </w:tcPr>
    </w:tblStylePr>
    <w:tblStylePr w:type="band1Horz">
      <w:tblPr/>
      <w:tcPr>
        <w:tcBorders>
          <w:insideH w:val="nil"/>
          <w:insideV w:val="nil"/>
        </w:tcBorders>
        <w:shd w:color="auto" w:fill="BFBFBF" w:themeFill="text1" w:themeFillTint="3F" w:val="clear"/>
      </w:tcPr>
    </w:tblStylePr>
    <w:tblStylePr w:type="band2Horz">
      <w:tblPr/>
      <w:tcPr>
        <w:tcBorders>
          <w:insideH w:val="nil"/>
          <w:insideV w:val="nil"/>
        </w:tcBorders>
      </w:tcPr>
    </w:tblStylePr>
  </w:style>
  <w:style w:styleId="56" w:type="table">
    <w:name w:val="Medium Shading 1 Accent 1"/>
    <w:basedOn w:val="32"/>
    <w:uiPriority w:val="63"/>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57" w:type="table">
    <w:name w:val="Medium Shading 1 Accent 2"/>
    <w:basedOn w:val="32"/>
    <w:uiPriority w:val="63"/>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3" w:themeFill="accent2" w:themeFillTint="3F" w:val="clear"/>
      </w:tcPr>
    </w:tblStylePr>
    <w:tblStylePr w:type="band1Horz">
      <w:tblPr/>
      <w:tcPr>
        <w:tcBorders>
          <w:insideH w:val="nil"/>
          <w:insideV w:val="nil"/>
        </w:tcBorders>
        <w:shd w:color="auto" w:fill="EFD3D3" w:themeFill="accent2" w:themeFillTint="3F" w:val="clear"/>
      </w:tcPr>
    </w:tblStylePr>
    <w:tblStylePr w:type="band2Horz">
      <w:tblPr/>
      <w:tcPr>
        <w:tcBorders>
          <w:insideH w:val="nil"/>
          <w:insideV w:val="nil"/>
        </w:tcBorders>
      </w:tcPr>
    </w:tblStylePr>
  </w:style>
  <w:style w:styleId="58" w:type="table">
    <w:name w:val="Medium Shading 1 Accent 3"/>
    <w:basedOn w:val="32"/>
    <w:uiPriority w:val="63"/>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4CC82" w:space="0" w:sz="6" w:themeColor="accent3" w:themeTint="BF" w:val="double"/>
          <w:left w:color="B4CC82" w:space="0" w:sz="8" w:themeColor="accent3" w:themeTint="BF" w:val="single"/>
          <w:bottom w:color="B4CC82" w:space="0" w:sz="8" w:themeColor="accent3" w:themeTint="BF" w:val="single"/>
          <w:right w:color="B4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59" w:type="table">
    <w:name w:val="Medium Shading 1 Accent 4"/>
    <w:basedOn w:val="32"/>
    <w:uiPriority w:val="63"/>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60" w:type="table">
    <w:name w:val="Medium Shading 1 Accent 5"/>
    <w:basedOn w:val="32"/>
    <w:uiPriority w:val="63"/>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0" w:themeFill="accent5" w:themeFillTint="3F" w:val="clear"/>
      </w:tcPr>
    </w:tblStylePr>
    <w:tblStylePr w:type="band1Horz">
      <w:tblPr/>
      <w:tcPr>
        <w:tcBorders>
          <w:insideH w:val="nil"/>
          <w:insideV w:val="nil"/>
        </w:tcBorders>
        <w:shd w:color="auto" w:fill="D2EAF0" w:themeFill="accent5" w:themeFillTint="3F" w:val="clear"/>
      </w:tcPr>
    </w:tblStylePr>
    <w:tblStylePr w:type="band2Horz">
      <w:tblPr/>
      <w:tcPr>
        <w:tcBorders>
          <w:insideH w:val="nil"/>
          <w:insideV w:val="nil"/>
        </w:tcBorders>
      </w:tcPr>
    </w:tblStylePr>
  </w:style>
  <w:style w:styleId="61" w:type="table">
    <w:name w:val="Medium Shading 1 Accent 6"/>
    <w:basedOn w:val="32"/>
    <w:uiPriority w:val="63"/>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5D1" w:themeFill="accent6" w:themeFillTint="3F" w:val="clear"/>
      </w:tcPr>
    </w:tblStylePr>
    <w:tblStylePr w:type="band1Horz">
      <w:tblPr/>
      <w:tcPr>
        <w:tcBorders>
          <w:insideH w:val="nil"/>
          <w:insideV w:val="nil"/>
        </w:tcBorders>
        <w:shd w:color="auto" w:fill="FDE5D1" w:themeFill="accent6" w:themeFillTint="3F" w:val="clear"/>
      </w:tcPr>
    </w:tblStylePr>
    <w:tblStylePr w:type="band2Horz">
      <w:tblPr/>
      <w:tcPr>
        <w:tcBorders>
          <w:insideH w:val="nil"/>
          <w:insideV w:val="nil"/>
        </w:tcBorders>
      </w:tcPr>
    </w:tblStylePr>
  </w:style>
  <w:style w:styleId="62" w:type="table">
    <w:name w:val="Medium Shading 2"/>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3" w:type="table">
    <w:name w:val="Medium Shading 2 Accent 1"/>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4" w:type="table">
    <w:name w:val="Medium Shading 2 Accent 2"/>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5" w:type="table">
    <w:name w:val="Medium Shading 2 Accent 3"/>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6" w:type="table">
    <w:name w:val="Medium Shading 2 Accent 4"/>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7" w:type="table">
    <w:name w:val="Medium Shading 2 Accent 5"/>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8" w:type="table">
    <w:name w:val="Medium Shading 2 Accent 6"/>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9" w:type="table">
    <w:name w:val="Medium List 1"/>
    <w:basedOn w:val="32"/>
    <w:uiPriority w:val="65"/>
    <w:pPr>
      <w:spacing w:after="0" w:line="240" w:lineRule="auto"/>
    </w:pPr>
    <w:rPr>
      <w:color w:themeColor="text1" w:val="000000"/>
      <w14:textFill>
        <w14:solidFill>
          <w14:schemeClr w14:val="tx1"/>
        </w14:solidFill>
      </w14:textFill>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BFBFBF" w:themeFill="text1" w:themeFillTint="3F" w:val="clear"/>
      </w:tcPr>
    </w:tblStylePr>
    <w:tblStylePr w:type="band1Horz">
      <w:tblPr/>
      <w:tcPr>
        <w:shd w:color="auto" w:fill="BFBFBF" w:themeFill="text1" w:themeFillTint="3F" w:val="clear"/>
      </w:tcPr>
    </w:tblStylePr>
  </w:style>
  <w:style w:styleId="70" w:type="table">
    <w:name w:val="Medium List 1 Accent 1"/>
    <w:basedOn w:val="32"/>
    <w:uiPriority w:val="65"/>
    <w:pPr>
      <w:spacing w:after="0" w:line="240" w:lineRule="auto"/>
    </w:pPr>
    <w:rPr>
      <w:color w:themeColor="text1" w:val="000000"/>
      <w14:textFill>
        <w14:solidFill>
          <w14:schemeClr w14:val="tx1"/>
        </w14:solidFill>
      </w14:textFill>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71" w:type="table">
    <w:name w:val="Medium List 1 Accent 2"/>
    <w:basedOn w:val="32"/>
    <w:uiPriority w:val="65"/>
    <w:pPr>
      <w:spacing w:after="0" w:line="240" w:lineRule="auto"/>
    </w:pPr>
    <w:rPr>
      <w:color w:themeColor="text1" w:val="000000"/>
      <w14:textFill>
        <w14:solidFill>
          <w14:schemeClr w14:val="tx1"/>
        </w14:solidFill>
      </w14:textFill>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3F" w:val="clear"/>
      </w:tcPr>
    </w:tblStylePr>
    <w:tblStylePr w:type="band1Horz">
      <w:tblPr/>
      <w:tcPr>
        <w:shd w:color="auto" w:fill="EFD3D3" w:themeFill="accent2" w:themeFillTint="3F" w:val="clear"/>
      </w:tcPr>
    </w:tblStylePr>
  </w:style>
  <w:style w:styleId="72" w:type="table">
    <w:name w:val="Medium List 1 Accent 3"/>
    <w:basedOn w:val="32"/>
    <w:uiPriority w:val="65"/>
    <w:pPr>
      <w:spacing w:after="0" w:line="240" w:lineRule="auto"/>
    </w:pPr>
    <w:rPr>
      <w:color w:themeColor="text1" w:val="000000"/>
      <w14:textFill>
        <w14:solidFill>
          <w14:schemeClr w14:val="tx1"/>
        </w14:solidFill>
      </w14:textFill>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73" w:type="table">
    <w:name w:val="Medium List 1 Accent 4"/>
    <w:basedOn w:val="32"/>
    <w:uiPriority w:val="65"/>
    <w:pPr>
      <w:spacing w:after="0" w:line="240" w:lineRule="auto"/>
    </w:pPr>
    <w:rPr>
      <w:color w:themeColor="text1" w:val="000000"/>
      <w14:textFill>
        <w14:solidFill>
          <w14:schemeClr w14:val="tx1"/>
        </w14:solidFill>
      </w14:textFill>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74" w:type="table">
    <w:name w:val="Medium List 1 Accent 5"/>
    <w:basedOn w:val="32"/>
    <w:uiPriority w:val="65"/>
    <w:pPr>
      <w:spacing w:after="0" w:line="240" w:lineRule="auto"/>
    </w:pPr>
    <w:rPr>
      <w:color w:themeColor="text1" w:val="000000"/>
      <w14:textFill>
        <w14:solidFill>
          <w14:schemeClr w14:val="tx1"/>
        </w14:solidFill>
      </w14:textFill>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3F" w:val="clear"/>
      </w:tcPr>
    </w:tblStylePr>
    <w:tblStylePr w:type="band1Horz">
      <w:tblPr/>
      <w:tcPr>
        <w:shd w:color="auto" w:fill="D2EAF0" w:themeFill="accent5" w:themeFillTint="3F" w:val="clear"/>
      </w:tcPr>
    </w:tblStylePr>
  </w:style>
  <w:style w:styleId="75" w:type="table">
    <w:name w:val="Medium List 1 Accent 6"/>
    <w:basedOn w:val="32"/>
    <w:uiPriority w:val="65"/>
    <w:pPr>
      <w:spacing w:after="0" w:line="240" w:lineRule="auto"/>
    </w:pPr>
    <w:rPr>
      <w:color w:themeColor="text1" w:val="000000"/>
      <w14:textFill>
        <w14:solidFill>
          <w14:schemeClr w14:val="tx1"/>
        </w14:solidFill>
      </w14:textFill>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3F" w:val="clear"/>
      </w:tcPr>
    </w:tblStylePr>
    <w:tblStylePr w:type="band1Horz">
      <w:tblPr/>
      <w:tcPr>
        <w:shd w:color="auto" w:fill="FDE5D1" w:themeFill="accent6" w:themeFillTint="3F" w:val="clear"/>
      </w:tcPr>
    </w:tblStylePr>
  </w:style>
  <w:style w:styleId="76" w:type="table">
    <w:name w:val="Medium List 2"/>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top w:val="nil"/>
          <w:bottom w:val="nil"/>
          <w:insideH w:val="nil"/>
          <w:insideV w:val="nil"/>
        </w:tcBorders>
        <w:shd w:color="auto" w:fill="BFBFBF"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77" w:type="table">
    <w:name w:val="Medium List 2 Accent 1"/>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78" w:type="table">
    <w:name w:val="Medium List 2 Accent 2"/>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top w:val="nil"/>
          <w:bottom w:val="nil"/>
          <w:insideH w:val="nil"/>
          <w:insideV w:val="nil"/>
        </w:tcBorders>
        <w:shd w:color="auto" w:fill="EFD3D3"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79" w:type="table">
    <w:name w:val="Medium List 2 Accent 3"/>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80" w:type="table">
    <w:name w:val="Medium List 2 Accent 4"/>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81" w:type="table">
    <w:name w:val="Medium List 2 Accent 5"/>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top w:val="nil"/>
          <w:bottom w:val="nil"/>
          <w:insideH w:val="nil"/>
          <w:insideV w:val="nil"/>
        </w:tcBorders>
        <w:shd w:color="auto" w:fill="D2EA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82" w:type="table">
    <w:name w:val="Medium List 2 Accent 6"/>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top w:val="nil"/>
          <w:bottom w:val="nil"/>
          <w:insideH w:val="nil"/>
          <w:insideV w:val="nil"/>
        </w:tcBorders>
        <w:shd w:color="auto" w:fill="FDE5D1"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83" w:type="table">
    <w:name w:val="Medium Grid 1"/>
    <w:basedOn w:val="32"/>
    <w:uiPriority w:val="67"/>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insideV w:color="3F3F3F" w:space="0" w:sz="8" w:themeColor="text1" w:themeTint="BF" w:val="single"/>
      </w:tblBorders>
      <w:tblCellMar>
        <w:top w:type="dxa" w:w="0"/>
        <w:left w:type="dxa" w:w="108"/>
        <w:bottom w:type="dxa" w:w="0"/>
        <w:right w:type="dxa" w:w="108"/>
      </w:tblCellMar>
    </w:tblPr>
    <w:tcPr>
      <w:shd w:color="auto" w:fill="BFBFBF" w:themeFill="text1" w:themeFillTint="3F" w:val="clear"/>
    </w:tcPr>
    <w:tblStylePr w:type="firstRow">
      <w:rPr>
        <w:b/>
        <w:bCs/>
      </w:rPr>
    </w:tblStylePr>
    <w:tblStylePr w:type="lastRow">
      <w:rPr>
        <w:b/>
        <w:bCs/>
      </w:rPr>
      <w:tblPr/>
      <w:tcPr>
        <w:tcBorders>
          <w:top w:color="3F3F3F" w:space="0" w:sz="18" w:themeColor="text1" w:themeTint="BF" w:val="single"/>
        </w:tcBorders>
      </w:tcPr>
    </w:tblStylePr>
    <w:tblStylePr w:type="firstCol">
      <w:rPr>
        <w:b/>
        <w:bCs/>
      </w:rPr>
    </w:tblStylePr>
    <w:tblStylePr w:type="lastCol">
      <w:rPr>
        <w:b/>
        <w:bCs/>
      </w:r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84" w:type="table">
    <w:name w:val="Medium Grid 1 Accent 1"/>
    <w:basedOn w:val="32"/>
    <w:uiPriority w:val="67"/>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85" w:type="table">
    <w:name w:val="Medium Grid 1 Accent 2"/>
    <w:basedOn w:val="32"/>
    <w:uiPriority w:val="67"/>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3"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86" w:type="table">
    <w:name w:val="Medium Grid 1 Accent 3"/>
    <w:basedOn w:val="32"/>
    <w:uiPriority w:val="67"/>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insideV w:color="B4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4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87" w:type="table">
    <w:name w:val="Medium Grid 1 Accent 4"/>
    <w:basedOn w:val="32"/>
    <w:uiPriority w:val="67"/>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88" w:type="table">
    <w:name w:val="Medium Grid 1 Accent 5"/>
    <w:basedOn w:val="32"/>
    <w:uiPriority w:val="67"/>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0"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89" w:type="table">
    <w:name w:val="Medium Grid 1 Accent 6"/>
    <w:basedOn w:val="32"/>
    <w:uiPriority w:val="67"/>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5D1"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90" w:type="table">
    <w:name w:val="Medium Grid 2"/>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BFBFBF" w:themeFill="text1" w:themeFillTint="3F" w:val="clear"/>
    </w:tcPr>
    <w:tblStylePr w:type="firstRow">
      <w:rPr>
        <w:b/>
        <w:bCs/>
        <w:color w:themeColor="text1" w:val="000000"/>
        <w14:textFill>
          <w14:solidFill>
            <w14:schemeClr w14:val="tx1"/>
          </w14:solidFill>
        </w14:textFill>
      </w:rPr>
      <w:tblPr/>
      <w:tcPr>
        <w:shd w:color="auto" w:fill="E5E5E5" w:themeFill="text1"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7F7F7F" w:themeFill="text1" w:themeFillTint="7F" w:val="clear"/>
      </w:tcPr>
    </w:tblStylePr>
    <w:tblStylePr w:type="band1Horz">
      <w:tblPr/>
      <w:tcPr>
        <w:tcBorders>
          <w:insideH w:space="0" w:sz="6" w:val="single"/>
          <w:insideV w:space="0" w:sz="6" w:val="single"/>
        </w:tcBorders>
        <w:shd w:color="auto" w:fill="7F7F7F" w:themeFill="text1" w:themeFillTint="7F" w:val="clear"/>
      </w:tcPr>
    </w:tblStylePr>
    <w:tblStylePr w:type="nwCell">
      <w:tblPr/>
      <w:tcPr>
        <w:shd w:color="auto" w:fill="FFFFFF" w:themeFill="background1" w:val="clear"/>
      </w:tcPr>
    </w:tblStylePr>
  </w:style>
  <w:style w:styleId="91" w:type="table">
    <w:name w:val="Medium Grid 2 Accent 1"/>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14:textFill>
          <w14:solidFill>
            <w14:schemeClr w14:val="tx1"/>
          </w14:solidFill>
        </w14:textFill>
      </w:rPr>
      <w:tblPr/>
      <w:tcPr>
        <w:shd w:color="auto" w:fill="EDF2F8" w:themeFill="accent1"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C0DE" w:themeFill="accent1" w:themeFillTint="7F" w:val="clear"/>
      </w:tcPr>
    </w:tblStylePr>
    <w:tblStylePr w:type="band1Horz">
      <w:tblPr/>
      <w:tcPr>
        <w:tcBorders>
          <w:insideH w:space="0" w:sz="6" w:val="single"/>
          <w:insideV w:space="0" w:sz="6" w:val="single"/>
        </w:tcBorders>
        <w:shd w:color="auto" w:fill="A7C0DE" w:themeFill="accent1" w:themeFillTint="7F" w:val="clear"/>
      </w:tcPr>
    </w:tblStylePr>
    <w:tblStylePr w:type="nwCell">
      <w:tblPr/>
      <w:tcPr>
        <w:shd w:color="auto" w:fill="FFFFFF" w:themeFill="background1" w:val="clear"/>
      </w:tcPr>
    </w:tblStylePr>
  </w:style>
  <w:style w:styleId="92" w:type="table">
    <w:name w:val="Medium Grid 2 Accent 2"/>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3" w:themeFill="accent2" w:themeFillTint="3F" w:val="clear"/>
    </w:tcPr>
    <w:tblStylePr w:type="firstRow">
      <w:rPr>
        <w:b/>
        <w:bCs/>
        <w:color w:themeColor="text1" w:val="000000"/>
        <w14:textFill>
          <w14:solidFill>
            <w14:schemeClr w14:val="tx1"/>
          </w14:solidFill>
        </w14:textFill>
      </w:rPr>
      <w:tblPr/>
      <w:tcPr>
        <w:shd w:color="auto" w:fill="F8EDED" w:themeFill="accent2"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space="0" w:sz="6" w:val="single"/>
          <w:insideV w:space="0" w:sz="6" w:val="single"/>
        </w:tcBorders>
        <w:shd w:color="auto" w:fill="DFA7A6" w:themeFill="accent2" w:themeFillTint="7F" w:val="clear"/>
      </w:tcPr>
    </w:tblStylePr>
    <w:tblStylePr w:type="nwCell">
      <w:tblPr/>
      <w:tcPr>
        <w:shd w:color="auto" w:fill="FFFFFF" w:themeFill="background1" w:val="clear"/>
      </w:tcPr>
    </w:tblStylePr>
  </w:style>
  <w:style w:styleId="93" w:type="table">
    <w:name w:val="Medium Grid 2 Accent 3"/>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14:textFill>
          <w14:solidFill>
            <w14:schemeClr w14:val="tx1"/>
          </w14:solidFill>
        </w14:textFill>
      </w:rPr>
      <w:tblPr/>
      <w:tcPr>
        <w:shd w:color="auto" w:fill="F5F8EE" w:themeFill="accent3"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space="0" w:sz="6" w:val="single"/>
          <w:insideV w:space="0" w:sz="6" w:val="single"/>
        </w:tcBorders>
        <w:shd w:color="auto" w:fill="CDDDAC" w:themeFill="accent3" w:themeFillTint="7F" w:val="clear"/>
      </w:tcPr>
    </w:tblStylePr>
    <w:tblStylePr w:type="nwCell">
      <w:tblPr/>
      <w:tcPr>
        <w:shd w:color="auto" w:fill="FFFFFF" w:themeFill="background1" w:val="clear"/>
      </w:tcPr>
    </w:tblStylePr>
  </w:style>
  <w:style w:styleId="94" w:type="table">
    <w:name w:val="Medium Grid 2 Accent 4"/>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14:textFill>
          <w14:solidFill>
            <w14:schemeClr w14:val="tx1"/>
          </w14:solidFill>
        </w14:textFill>
      </w:rPr>
      <w:tblPr/>
      <w:tcPr>
        <w:shd w:color="auto" w:fill="F2EFF5" w:themeFill="accent4"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space="0" w:sz="6" w:val="single"/>
          <w:insideV w:space="0" w:sz="6" w:val="single"/>
        </w:tcBorders>
        <w:shd w:color="auto" w:fill="BFB1D0" w:themeFill="accent4" w:themeFillTint="7F" w:val="clear"/>
      </w:tcPr>
    </w:tblStylePr>
    <w:tblStylePr w:type="nwCell">
      <w:tblPr/>
      <w:tcPr>
        <w:shd w:color="auto" w:fill="FFFFFF" w:themeFill="background1" w:val="clear"/>
      </w:tcPr>
    </w:tblStylePr>
  </w:style>
  <w:style w:styleId="95" w:type="table">
    <w:name w:val="Medium Grid 2 Accent 5"/>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0" w:themeFill="accent5" w:themeFillTint="3F" w:val="clear"/>
    </w:tcPr>
    <w:tblStylePr w:type="firstRow">
      <w:rPr>
        <w:b/>
        <w:bCs/>
        <w:color w:themeColor="text1" w:val="000000"/>
        <w14:textFill>
          <w14:solidFill>
            <w14:schemeClr w14:val="tx1"/>
          </w14:solidFill>
        </w14:textFill>
      </w:rPr>
      <w:tblPr/>
      <w:tcPr>
        <w:shd w:color="auto" w:fill="EDF6F9" w:themeFill="accent5"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space="0" w:sz="6" w:val="single"/>
          <w:insideV w:space="0" w:sz="6" w:val="single"/>
        </w:tcBorders>
        <w:shd w:color="auto" w:fill="A5D5E2" w:themeFill="accent5" w:themeFillTint="7F" w:val="clear"/>
      </w:tcPr>
    </w:tblStylePr>
    <w:tblStylePr w:type="nwCell">
      <w:tblPr/>
      <w:tcPr>
        <w:shd w:color="auto" w:fill="FFFFFF" w:themeFill="background1" w:val="clear"/>
      </w:tcPr>
    </w:tblStylePr>
  </w:style>
  <w:style w:styleId="96" w:type="table">
    <w:name w:val="Medium Grid 2 Accent 6"/>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5D1" w:themeFill="accent6" w:themeFillTint="3F" w:val="clear"/>
    </w:tcPr>
    <w:tblStylePr w:type="firstRow">
      <w:rPr>
        <w:b/>
        <w:bCs/>
        <w:color w:themeColor="text1" w:val="000000"/>
        <w14:textFill>
          <w14:solidFill>
            <w14:schemeClr w14:val="tx1"/>
          </w14:solidFill>
        </w14:textFill>
      </w:rPr>
      <w:tblPr/>
      <w:tcPr>
        <w:shd w:color="auto" w:fill="FEF4EC" w:themeFill="accent6"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space="0" w:sz="6" w:val="single"/>
          <w:insideV w:space="0" w:sz="6" w:val="single"/>
        </w:tcBorders>
        <w:shd w:color="auto" w:fill="FBCAA2" w:themeFill="accent6" w:themeFillTint="7F" w:val="clear"/>
      </w:tcPr>
    </w:tblStylePr>
    <w:tblStylePr w:type="nwCell">
      <w:tblPr/>
      <w:tcPr>
        <w:shd w:color="auto" w:fill="FFFFFF" w:themeFill="background1" w:val="clear"/>
      </w:tcPr>
    </w:tblStylePr>
  </w:style>
  <w:style w:styleId="97" w:type="table">
    <w:name w:val="Medium Grid 3"/>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BFBFBF" w:themeFill="text1"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000000" w:themeFill="text1"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000000" w:themeFill="text1"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7F7F7F"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7F" w:val="clear"/>
      </w:tcPr>
    </w:tblStylePr>
  </w:style>
  <w:style w:styleId="98" w:type="table">
    <w:name w:val="Medium Grid 3 Accent 1"/>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F81BD" w:themeFill="accent1"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F81BD" w:themeFill="accent1"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C0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7F" w:val="clear"/>
      </w:tcPr>
    </w:tblStylePr>
  </w:style>
  <w:style w:styleId="99" w:type="table">
    <w:name w:val="Medium Grid 3 Accent 2"/>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3" w:themeFill="accent2"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C0504D" w:themeFill="accent2"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C0504D" w:themeFill="accent2"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7F" w:val="clear"/>
      </w:tcPr>
    </w:tblStylePr>
  </w:style>
  <w:style w:styleId="100" w:type="table">
    <w:name w:val="Medium Grid 3 Accent 3"/>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9BBB59" w:themeFill="accent3"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9BBB59" w:themeFill="accent3"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7F" w:val="clear"/>
      </w:tcPr>
    </w:tblStylePr>
  </w:style>
  <w:style w:styleId="101" w:type="table">
    <w:name w:val="Medium Grid 3 Accent 4"/>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8064A2" w:themeFill="accent4"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8064A2" w:themeFill="accent4"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7F" w:val="clear"/>
      </w:tcPr>
    </w:tblStylePr>
  </w:style>
  <w:style w:styleId="102" w:type="table">
    <w:name w:val="Medium Grid 3 Accent 5"/>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0" w:themeFill="accent5"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BACC6" w:themeFill="accent5"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BACC6" w:themeFill="accent5"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7F" w:val="clear"/>
      </w:tcPr>
    </w:tblStylePr>
  </w:style>
  <w:style w:styleId="103" w:type="table">
    <w:name w:val="Medium Grid 3 Accent 6"/>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5D1" w:themeFill="accent6"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F79646" w:themeFill="accent6"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F79646" w:themeFill="accent6"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7F" w:val="clear"/>
      </w:tcPr>
    </w:tblStylePr>
  </w:style>
  <w:style w:styleId="104" w:type="table">
    <w:name w:val="Dark List"/>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05" w:type="table">
    <w:name w:val="Dark List Accent 1"/>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1"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60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6091" w:themeFill="accent1" w:themeFillShade="BF" w:val="clear"/>
      </w:tcPr>
    </w:tblStylePr>
    <w:tblStylePr w:type="band1Vert">
      <w:tblPr/>
      <w:tcPr>
        <w:tcBorders>
          <w:top w:val="nil"/>
          <w:left w:val="nil"/>
          <w:bottom w:val="nil"/>
          <w:right w:val="nil"/>
          <w:insideH w:val="nil"/>
          <w:insideV w:val="nil"/>
        </w:tcBorders>
        <w:shd w:color="auto" w:fill="366091" w:themeFill="accent1" w:themeFillShade="BF" w:val="clear"/>
      </w:tcPr>
    </w:tblStylePr>
    <w:tblStylePr w:type="band1Horz">
      <w:tblPr/>
      <w:tcPr>
        <w:tcBorders>
          <w:top w:val="nil"/>
          <w:left w:val="nil"/>
          <w:bottom w:val="nil"/>
          <w:right w:val="nil"/>
          <w:insideH w:val="nil"/>
          <w:insideV w:val="nil"/>
        </w:tcBorders>
        <w:shd w:color="auto" w:fill="366091" w:themeFill="accent1" w:themeFillShade="BF" w:val="clear"/>
      </w:tcPr>
    </w:tblStylePr>
  </w:style>
  <w:style w:styleId="106" w:type="table">
    <w:name w:val="Dark List Accent 2"/>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7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734" w:themeFill="accent2" w:themeFillShade="BF" w:val="clear"/>
      </w:tcPr>
    </w:tblStylePr>
    <w:tblStylePr w:type="band1Vert">
      <w:tblPr/>
      <w:tcPr>
        <w:tcBorders>
          <w:top w:val="nil"/>
          <w:left w:val="nil"/>
          <w:bottom w:val="nil"/>
          <w:right w:val="nil"/>
          <w:insideH w:val="nil"/>
          <w:insideV w:val="nil"/>
        </w:tcBorders>
        <w:shd w:color="auto" w:fill="943734" w:themeFill="accent2" w:themeFillShade="BF" w:val="clear"/>
      </w:tcPr>
    </w:tblStylePr>
    <w:tblStylePr w:type="band1Horz">
      <w:tblPr/>
      <w:tcPr>
        <w:tcBorders>
          <w:top w:val="nil"/>
          <w:left w:val="nil"/>
          <w:bottom w:val="nil"/>
          <w:right w:val="nil"/>
          <w:insideH w:val="nil"/>
          <w:insideV w:val="nil"/>
        </w:tcBorders>
        <w:shd w:color="auto" w:fill="943734" w:themeFill="accent2" w:themeFillShade="BF" w:val="clear"/>
      </w:tcPr>
    </w:tblStylePr>
  </w:style>
  <w:style w:styleId="107" w:type="table">
    <w:name w:val="Dark List Accent 3"/>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7"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108" w:type="table">
    <w:name w:val="Dark List Accent 4"/>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0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109" w:type="table">
    <w:name w:val="Dark List Accent 5"/>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110" w:type="table">
    <w:name w:val="Dark List Accent 6"/>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9"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9" w:themeFill="accent6" w:themeFillShade="BF" w:val="clear"/>
      </w:tcPr>
    </w:tblStylePr>
    <w:tblStylePr w:type="band1Vert">
      <w:tblPr/>
      <w:tcPr>
        <w:tcBorders>
          <w:top w:val="nil"/>
          <w:left w:val="nil"/>
          <w:bottom w:val="nil"/>
          <w:right w:val="nil"/>
          <w:insideH w:val="nil"/>
          <w:insideV w:val="nil"/>
        </w:tcBorders>
        <w:shd w:color="auto" w:fill="E36C09" w:themeFill="accent6" w:themeFillShade="BF" w:val="clear"/>
      </w:tcPr>
    </w:tblStylePr>
    <w:tblStylePr w:type="band1Horz">
      <w:tblPr/>
      <w:tcPr>
        <w:tcBorders>
          <w:top w:val="nil"/>
          <w:left w:val="nil"/>
          <w:bottom w:val="nil"/>
          <w:right w:val="nil"/>
          <w:insideH w:val="nil"/>
          <w:insideV w:val="nil"/>
        </w:tcBorders>
        <w:shd w:color="auto" w:fill="E36C09" w:themeFill="accent6" w:themeFillShade="BF" w:val="clear"/>
      </w:tcPr>
    </w:tblStylePr>
  </w:style>
  <w:style w:styleId="111" w:type="table">
    <w:name w:val="Colorful Shading"/>
    <w:basedOn w:val="32"/>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5E5E5"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000000" w:themeFill="text1"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000000" w:themeFill="text1"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7F7F7F" w:themeFill="text1"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2" w:type="table">
    <w:name w:val="Colorful Shading Accent 1"/>
    <w:basedOn w:val="32"/>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2B4D74" w:themeFill="accent1"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2B4D74" w:themeFill="accent1"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2B4D74" w:themeFill="accent1" w:themeFillShade="99" w:val="clear"/>
      </w:tcPr>
    </w:tblStylePr>
    <w:tblStylePr w:type="band1Vert">
      <w:tblPr/>
      <w:tcPr>
        <w:shd w:color="auto" w:fill="B8CCE4" w:themeFill="accent1" w:themeFillTint="66" w:val="clear"/>
      </w:tcPr>
    </w:tblStylePr>
    <w:tblStylePr w:type="band1Horz">
      <w:tblPr/>
      <w:tcPr>
        <w:shd w:color="auto" w:fill="A7C0DE" w:themeFill="accent1"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3" w:type="table">
    <w:name w:val="Colorful Shading Accent 2"/>
    <w:basedOn w:val="32"/>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772C2A" w:themeFill="accent2"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772C2A" w:themeFill="accent2"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4" w:type="table">
    <w:name w:val="Colorful Shading Accent 3"/>
    <w:basedOn w:val="32"/>
    <w:uiPriority w:val="71"/>
    <w:pPr>
      <w:spacing w:after="0" w:line="240" w:lineRule="auto"/>
    </w:pPr>
    <w:rPr>
      <w:color w:themeColor="text1" w:val="000000"/>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5E7530" w:themeFill="accent3"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5E7530" w:themeFill="accent3"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115" w:type="table">
    <w:name w:val="Colorful Shading Accent 4"/>
    <w:basedOn w:val="32"/>
    <w:uiPriority w:val="71"/>
    <w:pPr>
      <w:spacing w:after="0" w:line="240" w:lineRule="auto"/>
    </w:pPr>
    <w:rPr>
      <w:color w:themeColor="text1" w:val="000000"/>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5"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4C3A62" w:themeFill="accent4"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4C3A62" w:themeFill="accent4"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4C3A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6" w:type="table">
    <w:name w:val="Colorful Shading Accent 5"/>
    <w:basedOn w:val="32"/>
    <w:uiPriority w:val="71"/>
    <w:pPr>
      <w:spacing w:after="0" w:line="240" w:lineRule="auto"/>
    </w:pPr>
    <w:rPr>
      <w:color w:themeColor="text1" w:val="000000"/>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276A7C" w:themeFill="accent5"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276A7C" w:themeFill="accent5"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7" w:type="table">
    <w:name w:val="Colorful Shading Accent 6"/>
    <w:basedOn w:val="32"/>
    <w:uiPriority w:val="71"/>
    <w:pPr>
      <w:spacing w:after="0" w:line="240" w:lineRule="auto"/>
    </w:pPr>
    <w:rPr>
      <w:color w:themeColor="text1" w:val="000000"/>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B65607" w:themeFill="accent6"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B65607" w:themeFill="accent6"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B65607"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8" w:type="table">
    <w:name w:val="Colorful List"/>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5E5E5" w:themeFill="text1"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FBFBF" w:themeFill="text1" w:themeFillTint="3F" w:val="clear"/>
      </w:tcPr>
    </w:tblStylePr>
    <w:tblStylePr w:type="band1Horz">
      <w:tblPr/>
      <w:tcPr>
        <w:shd w:color="auto" w:fill="CCCCCC" w:themeFill="text1" w:themeFillTint="33" w:val="clear"/>
      </w:tcPr>
    </w:tblStylePr>
  </w:style>
  <w:style w:styleId="119" w:type="table">
    <w:name w:val="Colorful List Accent 1"/>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120" w:type="table">
    <w:name w:val="Colorful List Accent 2"/>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3" w:themeFill="accent2" w:themeFillTint="3F" w:val="clear"/>
      </w:tcPr>
    </w:tblStylePr>
    <w:tblStylePr w:type="band1Horz">
      <w:tblPr/>
      <w:tcPr>
        <w:shd w:color="auto" w:fill="F2DBDB" w:themeFill="accent2" w:themeFillTint="33" w:val="clear"/>
      </w:tcPr>
    </w:tblStylePr>
  </w:style>
  <w:style w:styleId="121" w:type="table">
    <w:name w:val="Colorful List Accent 3"/>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F83"/>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122" w:type="table">
    <w:name w:val="Colorful List Accent 4"/>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2EFF5" w:themeFill="accent4"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D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123" w:type="table">
    <w:name w:val="Colorful List Accent 5"/>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F3730A" w:themeFill="accent6" w:themeFillShade="CC" w:val="clear"/>
      </w:tcPr>
    </w:tblStylePr>
    <w:tblStylePr w:type="lastRow">
      <w:rPr>
        <w:b/>
        <w:bCs/>
        <w:color w:themeColor="accent6" w:themeShade="CC" w:val="F3740B"/>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0" w:themeFill="accent5" w:themeFillTint="3F" w:val="clear"/>
      </w:tcPr>
    </w:tblStylePr>
    <w:tblStylePr w:type="band1Horz">
      <w:tblPr/>
      <w:tcPr>
        <w:shd w:color="auto" w:fill="DAEEF3" w:themeFill="accent5" w:themeFillTint="33" w:val="clear"/>
      </w:tcPr>
    </w:tblStylePr>
  </w:style>
  <w:style w:styleId="124" w:type="table">
    <w:name w:val="Colorful List Accent 6"/>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58EA6"/>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5D1" w:themeFill="accent6" w:themeFillTint="3F" w:val="clear"/>
      </w:tcPr>
    </w:tblStylePr>
    <w:tblStylePr w:type="band1Horz">
      <w:tblPr/>
      <w:tcPr>
        <w:shd w:color="auto" w:fill="FDE9D9" w:themeFill="accent6" w:themeFillTint="33" w:val="clear"/>
      </w:tcPr>
    </w:tblStylePr>
  </w:style>
  <w:style w:styleId="125" w:type="table">
    <w:name w:val="Colorful Grid"/>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14:textFill>
          <w14:solidFill>
            <w14:schemeClr w14:val="tx1"/>
          </w14:solidFill>
        </w14:textFill>
      </w:rPr>
      <w:tblPr/>
      <w:tcPr>
        <w:shd w:color="auto" w:fill="999999" w:themeFill="text1" w:themeFillTint="66" w:val="clear"/>
      </w:tcPr>
    </w:tblStylePr>
    <w:tblStylePr w:type="firstCol">
      <w:rPr>
        <w:color w:themeColor="background1" w:val="FFFFFF"/>
        <w14:textFill>
          <w14:solidFill>
            <w14:schemeClr w14:val="bg1"/>
          </w14:solidFill>
        </w14:textFill>
      </w:rPr>
      <w:tblPr/>
      <w:tcPr>
        <w:shd w:color="auto" w:fill="000000" w:themeFill="text1" w:themeFillShade="BF" w:val="clear"/>
      </w:tcPr>
    </w:tblStylePr>
    <w:tblStylePr w:type="lastCol">
      <w:rPr>
        <w:color w:themeColor="background1" w:val="FFFFFF"/>
        <w14:textFill>
          <w14:solidFill>
            <w14:schemeClr w14:val="bg1"/>
          </w14:solidFill>
        </w14:textFill>
      </w:rPr>
      <w:tblPr/>
      <w:tcPr>
        <w:shd w:color="auto" w:fill="000000" w:themeFill="text1" w:themeFillShade="BF" w:val="clear"/>
      </w:tc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126" w:type="table">
    <w:name w:val="Colorful Grid Accent 1"/>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14:textFill>
          <w14:solidFill>
            <w14:schemeClr w14:val="tx1"/>
          </w14:solidFill>
        </w14:textFill>
      </w:rPr>
      <w:tblPr/>
      <w:tcPr>
        <w:shd w:color="auto" w:fill="B8CCE4" w:themeFill="accent1" w:themeFillTint="66" w:val="clear"/>
      </w:tcPr>
    </w:tblStylePr>
    <w:tblStylePr w:type="firstCol">
      <w:rPr>
        <w:color w:themeColor="background1" w:val="FFFFFF"/>
        <w14:textFill>
          <w14:solidFill>
            <w14:schemeClr w14:val="bg1"/>
          </w14:solidFill>
        </w14:textFill>
      </w:rPr>
      <w:tblPr/>
      <w:tcPr>
        <w:shd w:color="auto" w:fill="366091" w:themeFill="accent1" w:themeFillShade="BF" w:val="clear"/>
      </w:tcPr>
    </w:tblStylePr>
    <w:tblStylePr w:type="lastCol">
      <w:rPr>
        <w:color w:themeColor="background1" w:val="FFFFFF"/>
        <w14:textFill>
          <w14:solidFill>
            <w14:schemeClr w14:val="bg1"/>
          </w14:solidFill>
        </w14:textFill>
      </w:rPr>
      <w:tblPr/>
      <w:tcPr>
        <w:shd w:color="auto" w:fill="366091" w:themeFill="accent1" w:themeFillShade="BF" w:val="clear"/>
      </w:tc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127" w:type="table">
    <w:name w:val="Colorful Grid Accent 2"/>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14:textFill>
          <w14:solidFill>
            <w14:schemeClr w14:val="tx1"/>
          </w14:solidFill>
        </w14:textFill>
      </w:rPr>
      <w:tblPr/>
      <w:tcPr>
        <w:shd w:color="auto" w:fill="E5B8B7" w:themeFill="accent2" w:themeFillTint="66" w:val="clear"/>
      </w:tcPr>
    </w:tblStylePr>
    <w:tblStylePr w:type="firstCol">
      <w:rPr>
        <w:color w:themeColor="background1" w:val="FFFFFF"/>
        <w14:textFill>
          <w14:solidFill>
            <w14:schemeClr w14:val="bg1"/>
          </w14:solidFill>
        </w14:textFill>
      </w:rPr>
      <w:tblPr/>
      <w:tcPr>
        <w:shd w:color="auto" w:fill="943734" w:themeFill="accent2" w:themeFillShade="BF" w:val="clear"/>
      </w:tcPr>
    </w:tblStylePr>
    <w:tblStylePr w:type="lastCol">
      <w:rPr>
        <w:color w:themeColor="background1" w:val="FFFFFF"/>
        <w14:textFill>
          <w14:solidFill>
            <w14:schemeClr w14:val="bg1"/>
          </w14:solidFill>
        </w14:textFill>
      </w:rPr>
      <w:tblPr/>
      <w:tcPr>
        <w:shd w:color="auto" w:fill="9437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28" w:type="table">
    <w:name w:val="Colorful Grid Accent 3"/>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14:textFill>
          <w14:solidFill>
            <w14:schemeClr w14:val="tx1"/>
          </w14:solidFill>
        </w14:textFill>
      </w:rPr>
      <w:tblPr/>
      <w:tcPr>
        <w:shd w:color="auto" w:fill="D6E3BC" w:themeFill="accent3" w:themeFillTint="66" w:val="clear"/>
      </w:tcPr>
    </w:tblStylePr>
    <w:tblStylePr w:type="firstCol">
      <w:rPr>
        <w:color w:themeColor="background1" w:val="FFFFFF"/>
        <w14:textFill>
          <w14:solidFill>
            <w14:schemeClr w14:val="bg1"/>
          </w14:solidFill>
        </w14:textFill>
      </w:rPr>
      <w:tblPr/>
      <w:tcPr>
        <w:shd w:color="auto" w:fill="76923C" w:themeFill="accent3" w:themeFillShade="BF" w:val="clear"/>
      </w:tcPr>
    </w:tblStylePr>
    <w:tblStylePr w:type="lastCol">
      <w:rPr>
        <w:color w:themeColor="background1" w:val="FFFFFF"/>
        <w14:textFill>
          <w14:solidFill>
            <w14:schemeClr w14:val="bg1"/>
          </w14:solidFill>
        </w14:textFill>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29" w:type="table">
    <w:name w:val="Colorful Grid Accent 4"/>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14:textFill>
          <w14:solidFill>
            <w14:schemeClr w14:val="tx1"/>
          </w14:solidFill>
        </w14:textFill>
      </w:rPr>
      <w:tblPr/>
      <w:tcPr>
        <w:shd w:color="auto" w:fill="CCC0D9" w:themeFill="accent4" w:themeFillTint="66" w:val="clear"/>
      </w:tcPr>
    </w:tblStylePr>
    <w:tblStylePr w:type="firstCol">
      <w:rPr>
        <w:color w:themeColor="background1" w:val="FFFFFF"/>
        <w14:textFill>
          <w14:solidFill>
            <w14:schemeClr w14:val="bg1"/>
          </w14:solidFill>
        </w14:textFill>
      </w:rPr>
      <w:tblPr/>
      <w:tcPr>
        <w:shd w:color="auto" w:fill="5F497A" w:themeFill="accent4" w:themeFillShade="BF" w:val="clear"/>
      </w:tcPr>
    </w:tblStylePr>
    <w:tblStylePr w:type="lastCol">
      <w:rPr>
        <w:color w:themeColor="background1" w:val="FFFFFF"/>
        <w14:textFill>
          <w14:solidFill>
            <w14:schemeClr w14:val="bg1"/>
          </w14:solidFill>
        </w14:textFill>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30" w:type="table">
    <w:name w:val="Colorful Grid Accent 5"/>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14:textFill>
          <w14:solidFill>
            <w14:schemeClr w14:val="tx1"/>
          </w14:solidFill>
        </w14:textFill>
      </w:rPr>
      <w:tblPr/>
      <w:tcPr>
        <w:shd w:color="auto" w:fill="B6DDE8" w:themeFill="accent5" w:themeFillTint="66" w:val="clear"/>
      </w:tcPr>
    </w:tblStylePr>
    <w:tblStylePr w:type="firstCol">
      <w:rPr>
        <w:color w:themeColor="background1" w:val="FFFFFF"/>
        <w14:textFill>
          <w14:solidFill>
            <w14:schemeClr w14:val="bg1"/>
          </w14:solidFill>
        </w14:textFill>
      </w:rPr>
      <w:tblPr/>
      <w:tcPr>
        <w:shd w:color="auto" w:fill="31849B" w:themeFill="accent5" w:themeFillShade="BF" w:val="clear"/>
      </w:tcPr>
    </w:tblStylePr>
    <w:tblStylePr w:type="lastCol">
      <w:rPr>
        <w:color w:themeColor="background1" w:val="FFFFFF"/>
        <w14:textFill>
          <w14:solidFill>
            <w14:schemeClr w14:val="bg1"/>
          </w14:solidFill>
        </w14:textFill>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31" w:type="table">
    <w:name w:val="Colorful Grid Accent 6"/>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14:textFill>
          <w14:solidFill>
            <w14:schemeClr w14:val="tx1"/>
          </w14:solidFill>
        </w14:textFill>
      </w:rPr>
      <w:tblPr/>
      <w:tcPr>
        <w:shd w:color="auto" w:fill="FBD4B4" w:themeFill="accent6" w:themeFillTint="66" w:val="clear"/>
      </w:tcPr>
    </w:tblStylePr>
    <w:tblStylePr w:type="firstCol">
      <w:rPr>
        <w:color w:themeColor="background1" w:val="FFFFFF"/>
        <w14:textFill>
          <w14:solidFill>
            <w14:schemeClr w14:val="bg1"/>
          </w14:solidFill>
        </w14:textFill>
      </w:rPr>
      <w:tblPr/>
      <w:tcPr>
        <w:shd w:color="auto" w:fill="E36C09" w:themeFill="accent6" w:themeFillShade="BF" w:val="clear"/>
      </w:tcPr>
    </w:tblStylePr>
    <w:tblStylePr w:type="lastCol">
      <w:rPr>
        <w:color w:themeColor="background1" w:val="FFFFFF"/>
        <w14:textFill>
          <w14:solidFill>
            <w14:schemeClr w14:val="bg1"/>
          </w14:solidFill>
        </w14:textFill>
      </w:rPr>
      <w:tblPr/>
      <w:tcPr>
        <w:shd w:color="auto" w:fill="E36C09"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133" w:type="character">
    <w:name w:val="Strong"/>
    <w:basedOn w:val="132"/>
    <w:qFormat/>
    <w:uiPriority w:val="22"/>
    <w:rPr>
      <w:b/>
      <w:bCs/>
    </w:rPr>
  </w:style>
  <w:style w:styleId="134" w:type="character">
    <w:name w:val="Emphasis"/>
    <w:basedOn w:val="132"/>
    <w:qFormat/>
    <w:uiPriority w:val="20"/>
    <w:rPr>
      <w:i/>
      <w:iCs/>
    </w:rPr>
  </w:style>
  <w:style w:customStyle="1" w:styleId="135" w:type="character">
    <w:name w:val="Header Char"/>
    <w:basedOn w:val="132"/>
    <w:link w:val="25"/>
    <w:uiPriority w:val="99"/>
  </w:style>
  <w:style w:customStyle="1" w:styleId="136" w:type="character">
    <w:name w:val="Footer Char"/>
    <w:basedOn w:val="132"/>
    <w:link w:val="24"/>
    <w:uiPriority w:val="99"/>
  </w:style>
  <w:style w:styleId="137" w:type="paragraph">
    <w:name w:val="No Spacing"/>
    <w:qFormat/>
    <w:uiPriority w:val="1"/>
    <w:pPr>
      <w:spacing w:after="0" w:line="240" w:lineRule="auto"/>
    </w:pPr>
    <w:rPr>
      <w:rFonts w:asciiTheme="minorHAnsi" w:cstheme="minorBidi" w:eastAsiaTheme="minorEastAsia" w:hAnsiTheme="minorHAnsi"/>
      <w:sz w:val="22"/>
      <w:szCs w:val="22"/>
      <w:lang w:bidi="ar-SA" w:eastAsia="en-US" w:val="en-US"/>
    </w:rPr>
  </w:style>
  <w:style w:customStyle="1" w:styleId="138" w:type="character">
    <w:name w:val="Heading 1 Char"/>
    <w:basedOn w:val="132"/>
    <w:link w:val="3"/>
    <w:uiPriority w:val="9"/>
    <w:rPr>
      <w:rFonts w:asciiTheme="majorHAnsi" w:cstheme="majorBidi" w:eastAsiaTheme="majorEastAsia" w:hAnsiTheme="majorHAnsi"/>
      <w:b/>
      <w:bCs/>
      <w:color w:themeColor="accent1" w:themeShade="BF" w:val="376092"/>
      <w:sz w:val="28"/>
      <w:szCs w:val="28"/>
    </w:rPr>
  </w:style>
  <w:style w:customStyle="1" w:styleId="139" w:type="character">
    <w:name w:val="Heading 2 Char"/>
    <w:basedOn w:val="132"/>
    <w:link w:val="4"/>
    <w:uiPriority w:val="9"/>
    <w:rPr>
      <w:rFonts w:asciiTheme="majorHAnsi" w:cstheme="majorBidi" w:eastAsiaTheme="majorEastAsia" w:hAnsiTheme="majorHAnsi"/>
      <w:b/>
      <w:bCs/>
      <w:color w:themeColor="accent1" w:val="4F81BD"/>
      <w:sz w:val="26"/>
      <w:szCs w:val="26"/>
      <w14:textFill>
        <w14:solidFill>
          <w14:schemeClr w14:val="accent1"/>
        </w14:solidFill>
      </w14:textFill>
    </w:rPr>
  </w:style>
  <w:style w:customStyle="1" w:styleId="140" w:type="character">
    <w:name w:val="Heading 3 Char"/>
    <w:basedOn w:val="132"/>
    <w:link w:val="5"/>
    <w:uiPriority w:val="9"/>
    <w:rPr>
      <w:rFonts w:asciiTheme="majorHAnsi" w:cstheme="majorBidi" w:eastAsiaTheme="majorEastAsia" w:hAnsiTheme="majorHAnsi"/>
      <w:b/>
      <w:bCs/>
      <w:color w:themeColor="accent1" w:val="4F81BD"/>
      <w14:textFill>
        <w14:solidFill>
          <w14:schemeClr w14:val="accent1"/>
        </w14:solidFill>
      </w14:textFill>
    </w:rPr>
  </w:style>
  <w:style w:customStyle="1" w:styleId="141" w:type="character">
    <w:name w:val="Title Char"/>
    <w:basedOn w:val="132"/>
    <w:link w:val="31"/>
    <w:uiPriority w:val="10"/>
    <w:rPr>
      <w:rFonts w:asciiTheme="majorHAnsi" w:cstheme="majorBidi" w:eastAsiaTheme="majorEastAsia" w:hAnsiTheme="majorHAnsi"/>
      <w:color w:themeColor="text2" w:themeShade="BF" w:val="17375E"/>
      <w:spacing w:val="5"/>
      <w:kern w:val="28"/>
      <w:sz w:val="52"/>
      <w:szCs w:val="52"/>
    </w:rPr>
  </w:style>
  <w:style w:customStyle="1" w:styleId="142" w:type="character">
    <w:name w:val="Subtitle Char"/>
    <w:basedOn w:val="132"/>
    <w:link w:val="26"/>
    <w:uiPriority w:val="11"/>
    <w:rPr>
      <w:rFonts w:asciiTheme="majorHAnsi" w:cstheme="majorBidi" w:eastAsiaTheme="majorEastAsia" w:hAnsiTheme="majorHAnsi"/>
      <w:i/>
      <w:iCs/>
      <w:color w:themeColor="accent1" w:val="4F81BD"/>
      <w:spacing w:val="15"/>
      <w:sz w:val="24"/>
      <w:szCs w:val="24"/>
      <w14:textFill>
        <w14:solidFill>
          <w14:schemeClr w14:val="accent1"/>
        </w14:solidFill>
      </w14:textFill>
    </w:rPr>
  </w:style>
  <w:style w:styleId="143" w:type="paragraph">
    <w:name w:val="List Paragraph"/>
    <w:basedOn w:val="1"/>
    <w:qFormat/>
    <w:uiPriority w:val="34"/>
    <w:pPr>
      <w:ind w:left="720"/>
      <w:contextualSpacing/>
    </w:pPr>
  </w:style>
  <w:style w:customStyle="1" w:styleId="144" w:type="character">
    <w:name w:val="Body Text Char"/>
    <w:basedOn w:val="132"/>
    <w:link w:val="19"/>
    <w:uiPriority w:val="99"/>
  </w:style>
  <w:style w:customStyle="1" w:styleId="145" w:type="character">
    <w:name w:val="Body Text 2 Char"/>
    <w:basedOn w:val="132"/>
    <w:link w:val="28"/>
    <w:uiPriority w:val="99"/>
  </w:style>
  <w:style w:customStyle="1" w:styleId="146" w:type="character">
    <w:name w:val="Body Text 3 Char"/>
    <w:basedOn w:val="132"/>
    <w:link w:val="17"/>
    <w:uiPriority w:val="99"/>
    <w:rPr>
      <w:sz w:val="16"/>
      <w:szCs w:val="16"/>
    </w:rPr>
  </w:style>
  <w:style w:customStyle="1" w:styleId="147" w:type="character">
    <w:name w:val="Macro Text Char"/>
    <w:basedOn w:val="132"/>
    <w:link w:val="2"/>
    <w:uiPriority w:val="99"/>
    <w:rPr>
      <w:rFonts w:ascii="Courier" w:hAnsi="Courier"/>
      <w:sz w:val="20"/>
      <w:szCs w:val="20"/>
    </w:rPr>
  </w:style>
  <w:style w:styleId="148" w:type="paragraph">
    <w:name w:val="Quote"/>
    <w:basedOn w:val="1"/>
    <w:next w:val="1"/>
    <w:link w:val="149"/>
    <w:qFormat/>
    <w:uiPriority w:val="29"/>
    <w:rPr>
      <w:i/>
      <w:iCs/>
      <w:color w:themeColor="text1" w:val="000000"/>
      <w14:textFill>
        <w14:solidFill>
          <w14:schemeClr w14:val="tx1"/>
        </w14:solidFill>
      </w14:textFill>
    </w:rPr>
  </w:style>
  <w:style w:customStyle="1" w:styleId="149" w:type="character">
    <w:name w:val="Quote Char"/>
    <w:basedOn w:val="132"/>
    <w:link w:val="148"/>
    <w:uiPriority w:val="29"/>
    <w:rPr>
      <w:i/>
      <w:iCs/>
      <w:color w:themeColor="text1" w:val="000000"/>
      <w14:textFill>
        <w14:solidFill>
          <w14:schemeClr w14:val="tx1"/>
        </w14:solidFill>
      </w14:textFill>
    </w:rPr>
  </w:style>
  <w:style w:customStyle="1" w:styleId="150" w:type="character">
    <w:name w:val="Heading 4 Char"/>
    <w:basedOn w:val="132"/>
    <w:link w:val="6"/>
    <w:semiHidden/>
    <w:uiPriority w:val="9"/>
    <w:rPr>
      <w:rFonts w:asciiTheme="majorHAnsi" w:cstheme="majorBidi" w:eastAsiaTheme="majorEastAsia" w:hAnsiTheme="majorHAnsi"/>
      <w:b/>
      <w:bCs/>
      <w:i/>
      <w:iCs/>
      <w:color w:themeColor="accent1" w:val="4F81BD"/>
      <w14:textFill>
        <w14:solidFill>
          <w14:schemeClr w14:val="accent1"/>
        </w14:solidFill>
      </w14:textFill>
    </w:rPr>
  </w:style>
  <w:style w:customStyle="1" w:styleId="151" w:type="character">
    <w:name w:val="Heading 5 Char"/>
    <w:basedOn w:val="132"/>
    <w:link w:val="7"/>
    <w:semiHidden/>
    <w:uiPriority w:val="9"/>
    <w:rPr>
      <w:rFonts w:asciiTheme="majorHAnsi" w:cstheme="majorBidi" w:eastAsiaTheme="majorEastAsia" w:hAnsiTheme="majorHAnsi"/>
      <w:color w:themeColor="accent1" w:themeShade="80" w:val="254061"/>
    </w:rPr>
  </w:style>
  <w:style w:customStyle="1" w:styleId="152" w:type="character">
    <w:name w:val="Heading 6 Char"/>
    <w:basedOn w:val="132"/>
    <w:link w:val="8"/>
    <w:semiHidden/>
    <w:uiPriority w:val="9"/>
    <w:rPr>
      <w:rFonts w:asciiTheme="majorHAnsi" w:cstheme="majorBidi" w:eastAsiaTheme="majorEastAsia" w:hAnsiTheme="majorHAnsi"/>
      <w:i/>
      <w:iCs/>
      <w:color w:themeColor="accent1" w:themeShade="80" w:val="254061"/>
    </w:rPr>
  </w:style>
  <w:style w:customStyle="1" w:styleId="153" w:type="character">
    <w:name w:val="Heading 7 Char"/>
    <w:basedOn w:val="132"/>
    <w:link w:val="9"/>
    <w:semiHidden/>
    <w:uiPriority w:val="9"/>
    <w:rPr>
      <w:rFont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customStyle="1" w:styleId="154" w:type="character">
    <w:name w:val="Heading 8 Char"/>
    <w:basedOn w:val="132"/>
    <w:link w:val="10"/>
    <w:semiHidden/>
    <w:uiPriority w:val="9"/>
    <w:rPr>
      <w:rFonts w:asciiTheme="majorHAnsi" w:cstheme="majorBidi" w:eastAsiaTheme="majorEastAsia" w:hAnsiTheme="majorHAnsi"/>
      <w:color w:themeColor="accent1" w:val="4F81BD"/>
      <w:sz w:val="20"/>
      <w:szCs w:val="20"/>
      <w14:textFill>
        <w14:solidFill>
          <w14:schemeClr w14:val="accent1"/>
        </w14:solidFill>
      </w14:textFill>
    </w:rPr>
  </w:style>
  <w:style w:customStyle="1" w:styleId="155" w:type="character">
    <w:name w:val="Heading 9 Char"/>
    <w:basedOn w:val="132"/>
    <w:link w:val="11"/>
    <w:semiHidden/>
    <w:uiPriority w:val="9"/>
    <w:rPr>
      <w:rFont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styleId="156" w:type="paragraph">
    <w:name w:val="Intense Quote"/>
    <w:basedOn w:val="1"/>
    <w:next w:val="1"/>
    <w:link w:val="157"/>
    <w:qFormat/>
    <w:uiPriority w:val="30"/>
    <w:pPr>
      <w:pBdr>
        <w:bottom w:color="4F81BD" w:space="4" w:sz="4" w:themeColor="accent1" w:val="single"/>
      </w:pBdr>
      <w:spacing w:after="280" w:before="200"/>
      <w:ind w:left="936" w:right="936"/>
    </w:pPr>
    <w:rPr>
      <w:b/>
      <w:bCs/>
      <w:i/>
      <w:iCs/>
      <w:color w:themeColor="accent1" w:val="4F81BD"/>
      <w14:textFill>
        <w14:solidFill>
          <w14:schemeClr w14:val="accent1"/>
        </w14:solidFill>
      </w14:textFill>
    </w:rPr>
  </w:style>
  <w:style w:customStyle="1" w:styleId="157" w:type="character">
    <w:name w:val="Intense Quote Char"/>
    <w:basedOn w:val="132"/>
    <w:link w:val="156"/>
    <w:uiPriority w:val="30"/>
    <w:rPr>
      <w:b/>
      <w:bCs/>
      <w:i/>
      <w:iCs/>
      <w:color w:themeColor="accent1" w:val="4F81BD"/>
      <w14:textFill>
        <w14:solidFill>
          <w14:schemeClr w14:val="accent1"/>
        </w14:solidFill>
      </w14:textFill>
    </w:rPr>
  </w:style>
  <w:style w:customStyle="1" w:styleId="158" w:type="character">
    <w:name w:val="Subtle Emphasis"/>
    <w:basedOn w:val="132"/>
    <w:qFormat/>
    <w:uiPriority w:val="19"/>
    <w:rPr>
      <w:i/>
      <w:iCs/>
      <w:color w:themeColor="text1" w:themeTint="80" w:val="808080"/>
      <w14:textFill>
        <w14:solidFill>
          <w14:schemeClr w14:val="tx1">
            <w14:lumMod w14:val="50000"/>
            <w14:lumOff w14:val="50000"/>
          </w14:schemeClr>
        </w14:solidFill>
      </w14:textFill>
    </w:rPr>
  </w:style>
  <w:style w:customStyle="1" w:styleId="159" w:type="character">
    <w:name w:val="Intense Emphasis"/>
    <w:basedOn w:val="132"/>
    <w:qFormat/>
    <w:uiPriority w:val="21"/>
    <w:rPr>
      <w:b/>
      <w:bCs/>
      <w:i/>
      <w:iCs/>
      <w:color w:themeColor="accent1" w:val="4F81BD"/>
      <w14:textFill>
        <w14:solidFill>
          <w14:schemeClr w14:val="accent1"/>
        </w14:solidFill>
      </w14:textFill>
    </w:rPr>
  </w:style>
  <w:style w:customStyle="1" w:styleId="160" w:type="character">
    <w:name w:val="Subtle Reference"/>
    <w:basedOn w:val="132"/>
    <w:qFormat/>
    <w:uiPriority w:val="31"/>
    <w:rPr>
      <w:smallCaps/>
      <w:color w:themeColor="accent2" w:val="C0504D"/>
      <w:u w:val="single"/>
      <w14:textFill>
        <w14:solidFill>
          <w14:schemeClr w14:val="accent2"/>
        </w14:solidFill>
      </w14:textFill>
    </w:rPr>
  </w:style>
  <w:style w:customStyle="1" w:styleId="161" w:type="character">
    <w:name w:val="Intense Reference"/>
    <w:basedOn w:val="132"/>
    <w:qFormat/>
    <w:uiPriority w:val="32"/>
    <w:rPr>
      <w:b/>
      <w:bCs/>
      <w:smallCaps/>
      <w:color w:themeColor="accent2" w:val="C0504D"/>
      <w:spacing w:val="5"/>
      <w:u w:val="single"/>
      <w14:textFill>
        <w14:solidFill>
          <w14:schemeClr w14:val="accent2"/>
        </w14:solidFill>
      </w14:textFill>
    </w:rPr>
  </w:style>
  <w:style w:customStyle="1" w:styleId="162" w:type="character">
    <w:name w:val="Book Title"/>
    <w:basedOn w:val="132"/>
    <w:qFormat/>
    <w:uiPriority w:val="33"/>
    <w:rPr>
      <w:b/>
      <w:bCs/>
      <w:smallCaps/>
      <w:spacing w:val="5"/>
    </w:rPr>
  </w:style>
  <w:style w:customStyle="1" w:styleId="163" w:type="paragraph">
    <w:name w:val="TOC Heading"/>
    <w:basedOn w:val="3"/>
    <w:next w:val="1"/>
    <w:semiHidden/>
    <w:unhideWhenUsed/>
    <w:qFormat/>
    <w:uiPriority w:val="39"/>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5" Type="http://schemas.openxmlformats.org/officeDocument/2006/relationships/numbering" Target="numbering.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webSettings" Target="webSettings.xml"/><Relationship Id="rId11" Type="http://schemas.openxmlformats.org/officeDocument/2006/relationships/fontTable" Target="fontTable.xml"/><Relationship Id="rId10" Type="http://schemas.openxmlformats.org/officeDocument/2006/relationships/theme" Target="theme/theme1.xml"/><Relationship Id="rId9" Type="http://schemas.openxmlformats.org/officeDocument/2006/relationships/footnotes" Target="footnotes.xml"/><Relationship Id="rId8" Type="http://schemas.openxmlformats.org/officeDocument/2006/relationships/comments" Target="comments.xml"/><Relationship Id="rId7" Type="http://schemas.openxmlformats.org/officeDocument/2006/relationships/image" Target="media/image1.png"/><Relationship Id="rId5" Type="http://schemas.openxmlformats.org/officeDocument/2006/relationships/footer" Target="footer1.xml"/><Relationship Id="rId18" Type="http://schemas.openxmlformats.org/officeDocument/2006/relationships/image" Target="media/rId18.png"/><Relationship Id="rId22" Type="http://schemas.openxmlformats.org/officeDocument/2006/relationships/image" Target="media/rId22.png"/><Relationship Id="rId27" Type="http://schemas.openxmlformats.org/officeDocument/2006/relationships/image" Target="media/rId27.png"/><Relationship Id="rId31" Type="http://schemas.openxmlformats.org/officeDocument/2006/relationships/image" Target="media/rId31.png"/><Relationship Id="rId36" Type="http://schemas.openxmlformats.org/officeDocument/2006/relationships/image" Target="media/rId36.png"/><Relationship Id="rId45" Type="http://schemas.openxmlformats.org/officeDocument/2006/relationships/image" Target="media/rId45.png"/><Relationship Id="rId40" Type="http://schemas.openxmlformats.org/officeDocument/2006/relationships/image" Target="media/rId40.png"/><Relationship Id="rId66" Type="http://schemas.openxmlformats.org/officeDocument/2006/relationships/hyperlink" Target="../artifacts/current_method_conclusions_20261012/result_audit.json" TargetMode="External"/><Relationship Id="rId58" Type="http://schemas.openxmlformats.org/officeDocument/2006/relationships/hyperlink" Target="../artifacts/current_method_conclusions_20261012/tables/area_condition_support.csv" TargetMode="External"/><Relationship Id="rId59" Type="http://schemas.openxmlformats.org/officeDocument/2006/relationships/hyperlink" Target="../artifacts/current_method_conclusions_20261012/tables/condition_cases.csv" TargetMode="External"/><Relationship Id="rId57" Type="http://schemas.openxmlformats.org/officeDocument/2006/relationships/hyperlink" Target="../artifacts/current_method_conclusions_20261012/tables/condition_recall_contrasts.csv" TargetMode="External"/><Relationship Id="rId56" Type="http://schemas.openxmlformats.org/officeDocument/2006/relationships/hyperlink" Target="../artifacts/current_method_conclusions_20261012/tables/condition_support.csv" TargetMode="External"/><Relationship Id="rId50" Type="http://schemas.openxmlformats.org/officeDocument/2006/relationships/hyperlink" Target="../artifacts/current_method_conclusions_20261012/tables/coverage_curves.csv" TargetMode="External"/><Relationship Id="rId51" Type="http://schemas.openxmlformats.org/officeDocument/2006/relationships/hyperlink" Target="../artifacts/current_method_conclusions_20261012/tables/diagnostic_auc_contrasts.csv" TargetMode="External"/><Relationship Id="rId60" Type="http://schemas.openxmlformats.org/officeDocument/2006/relationships/hyperlink" Target="../artifacts/current_method_conclusions_20261012/tables/recent_models_gap.csv" TargetMode="External"/><Relationship Id="rId54" Type="http://schemas.openxmlformats.org/officeDocument/2006/relationships/hyperlink" Target="../artifacts/current_method_conclusions_20261012/tables/risk_area_control.csv" TargetMode="External"/><Relationship Id="rId55" Type="http://schemas.openxmlformats.org/officeDocument/2006/relationships/hyperlink" Target="../artifacts/current_method_conclusions_20261012/tables/risk_mixture_curves.csv" TargetMode="External"/><Relationship Id="rId53" Type="http://schemas.openxmlformats.org/officeDocument/2006/relationships/hyperlink" Target="../artifacts/current_method_conclusions_20261012/tables/risk_random_control.csv" TargetMode="External"/><Relationship Id="rId52" Type="http://schemas.openxmlformats.org/officeDocument/2006/relationships/hyperlink" Target="../artifacts/current_method_conclusions_20261012/tables/strong_baseline_contrasts.csv" TargetMode="External"/><Relationship Id="rId63" Type="http://schemas.openxmlformats.org/officeDocument/2006/relationships/hyperlink" Target="../artifacts/objects365_independent_confirmation_20261005/comparison/tables/comparisons.csv" TargetMode="External"/><Relationship Id="rId61" Type="http://schemas.openxmlformats.org/officeDocument/2006/relationships/hyperlink" Target="../artifacts/sixclass_independent_confirmation_20261004/comparison/tables/comparisons.csv" TargetMode="External"/><Relationship Id="rId62" Type="http://schemas.openxmlformats.org/officeDocument/2006/relationships/hyperlink" Target="../artifacts/sixclass_voc_external_confirmation_20261005/comparison/tables/comparisons.csv" TargetMode="External"/><Relationship Id="rId64" Type="http://schemas.openxmlformats.org/officeDocument/2006/relationships/hyperlink" Target="../scripts/plot_current_method_conclusions_20261012.py" TargetMode="External"/><Relationship Id="rId65" Type="http://schemas.openxmlformats.org/officeDocument/2006/relationships/hyperlink" Target="../scripts/plot_current_method_recent_extension_20261012.py" TargetMode="External"/></Relationships>
</file>

<file path=word/_rels/footnotes.xml.rels><?xml version='1.0' encoding='UTF-8' standalone='yes'?>
<Relationships xmlns="http://schemas.openxmlformats.org/package/2006/relationships"><Relationship Id="rId66" Type="http://schemas.openxmlformats.org/officeDocument/2006/relationships/hyperlink" Target="../artifacts/current_method_conclusions_20261012/result_audit.json" TargetMode="External"/><Relationship Id="rId58" Type="http://schemas.openxmlformats.org/officeDocument/2006/relationships/hyperlink" Target="../artifacts/current_method_conclusions_20261012/tables/area_condition_support.csv" TargetMode="External"/><Relationship Id="rId59" Type="http://schemas.openxmlformats.org/officeDocument/2006/relationships/hyperlink" Target="../artifacts/current_method_conclusions_20261012/tables/condition_cases.csv" TargetMode="External"/><Relationship Id="rId57" Type="http://schemas.openxmlformats.org/officeDocument/2006/relationships/hyperlink" Target="../artifacts/current_method_conclusions_20261012/tables/condition_recall_contrasts.csv" TargetMode="External"/><Relationship Id="rId56" Type="http://schemas.openxmlformats.org/officeDocument/2006/relationships/hyperlink" Target="../artifacts/current_method_conclusions_20261012/tables/condition_support.csv" TargetMode="External"/><Relationship Id="rId50" Type="http://schemas.openxmlformats.org/officeDocument/2006/relationships/hyperlink" Target="../artifacts/current_method_conclusions_20261012/tables/coverage_curves.csv" TargetMode="External"/><Relationship Id="rId51" Type="http://schemas.openxmlformats.org/officeDocument/2006/relationships/hyperlink" Target="../artifacts/current_method_conclusions_20261012/tables/diagnostic_auc_contrasts.csv" TargetMode="External"/><Relationship Id="rId60" Type="http://schemas.openxmlformats.org/officeDocument/2006/relationships/hyperlink" Target="../artifacts/current_method_conclusions_20261012/tables/recent_models_gap.csv" TargetMode="External"/><Relationship Id="rId54" Type="http://schemas.openxmlformats.org/officeDocument/2006/relationships/hyperlink" Target="../artifacts/current_method_conclusions_20261012/tables/risk_area_control.csv" TargetMode="External"/><Relationship Id="rId55" Type="http://schemas.openxmlformats.org/officeDocument/2006/relationships/hyperlink" Target="../artifacts/current_method_conclusions_20261012/tables/risk_mixture_curves.csv" TargetMode="External"/><Relationship Id="rId53" Type="http://schemas.openxmlformats.org/officeDocument/2006/relationships/hyperlink" Target="../artifacts/current_method_conclusions_20261012/tables/risk_random_control.csv" TargetMode="External"/><Relationship Id="rId52" Type="http://schemas.openxmlformats.org/officeDocument/2006/relationships/hyperlink" Target="../artifacts/current_method_conclusions_20261012/tables/strong_baseline_contrasts.csv" TargetMode="External"/><Relationship Id="rId63" Type="http://schemas.openxmlformats.org/officeDocument/2006/relationships/hyperlink" Target="../artifacts/objects365_independent_confirmation_20261005/comparison/tables/comparisons.csv" TargetMode="External"/><Relationship Id="rId61" Type="http://schemas.openxmlformats.org/officeDocument/2006/relationships/hyperlink" Target="../artifacts/sixclass_independent_confirmation_20261004/comparison/tables/comparisons.csv" TargetMode="External"/><Relationship Id="rId62" Type="http://schemas.openxmlformats.org/officeDocument/2006/relationships/hyperlink" Target="../artifacts/sixclass_voc_external_confirmation_20261005/comparison/tables/comparisons.csv" TargetMode="External"/><Relationship Id="rId64" Type="http://schemas.openxmlformats.org/officeDocument/2006/relationships/hyperlink" Target="../scripts/plot_current_method_conclusions_20261012.py" TargetMode="External"/><Relationship Id="rId65" Type="http://schemas.openxmlformats.org/officeDocument/2006/relationships/hyperlink" Target="../scripts/plot_current_method_recent_extension_20261012.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29</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2026-10-12T05:33:37Z</dcterms:created>
  <dcterms:modified xsi:type="dcterms:W3CDTF">2026-10-12T05:33:37Z</dcterms:modified>
</cp:coreProperties>
</file>

<file path=docProps/custom.xml><?xml version="1.0" encoding="utf-8"?>
<Properties xmlns="http://schemas.openxmlformats.org/officeDocument/2006/custom-properties" xmlns:vt="http://schemas.openxmlformats.org/officeDocument/2006/docPropsVTypes"/>
</file>