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投稿收口与尺度对照结果（2026-10-07）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轮完成连续面积单独分层对照、固定面积层内条件诊断、最近相关工作定位、便携预测复算入口、真实图像案例和中英文论文整合。不新增人工复核、不重新训练、不调用分类器或VLM；旧20261006稿件和结果保持原样。</w:t>
      </w:r>
    </w:p>
    <w:p>
      <w:pPr>
        <w:pStyle w:val="Heading1"/>
      </w:pPr>
      <w:r>
        <w:t>1 最主要的新结论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多维VLM评分不是所有来源中最强的端点分层方式；连续框面积这个便宜元数据已能产生很大落差。论文更合理的价值定位是：把总体指标转为可复用的条件报告，并验证部分冻结薄弱状态在新来源以及粗尺度调整后仍有诊断关联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这一结果不推翻“风险层能区分表现”的已有观察，而是限制其新增信息：不能仅靠Q5低于Q1证明VLM必要或算法更好。固定模型面对不同测试构成的测得性能变化仍成立；覆盖广度收益继续按主检验、强基线和负结果分别报告。</w:t>
      </w:r>
    </w:p>
    <w:p>
      <w:pPr>
        <w:pStyle w:val="Heading1"/>
      </w:pPr>
      <w:r>
        <w:t>2 尺度对照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三池5400目标、六类均衡、24个冻结模型不变。仅面积方案按官方框面积比连续排序，越小风险越高；两方案各类均分五层。G=Q1−Q5 Macro-F1，正增量有利于完整评分。主统计单位为八架构、种子内平均；六设置Holm校正。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完整G（百分点）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仅面积G（百分点）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完整−面积（百分点）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+2.12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21.30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−2.08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16.57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+5.62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14.44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+3.48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−2.09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−2.64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没有正增量通过校正；D两项尺度更强的差获得校正支持。Q5成员保留率37.50%—62.50%，两方案并非在同一批高风险目标上求差。1000次只随机同分次序的敏感性分析保留六项增量方向，范围不是模型总体置信区间。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le_only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尺度对照：完整与面积端点区分及配对差。右侧可直观看到正负差与区间，未改变真实数值。</w:t>
      </w:r>
    </w:p>
    <w:p>
      <w:pPr>
        <w:pStyle w:val="Heading1"/>
      </w:pPr>
      <w:r>
        <w:t>3 尺度之外是否仍有诊断信息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沿用A冻结的175个状态—架构假设，排除纯尺度条件后剩141个（本地71、线上70）。在每类连续面积五分位层内比较状态与同字段已知非状态；总体状态和匹配双方支持、保留率按协议固定，不事后挑新的条件。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冻结非尺度假设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平均调整差为负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可评价组合平均Recall差（百分点）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−13.84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−30.38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−0.16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−18.65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−16.84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B为119个可评价组合中109个负差，D为122个中111个负差。这是重叠条件的描述性证据，不是109/111个独立缺陷；五分位控制不是连续面积精确匹配，也不是因果或自动标签准确率验证。C支持太少，不概括为稳定复现。</w:t>
      </w:r>
    </w:p>
    <w:p>
      <w:pPr>
        <w:pStyle w:val="Heading1"/>
      </w:pPr>
      <w:r>
        <w:t>4 文稿修改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补入Domino、VLSlice和What to Test Next，分别说明错误感知子集发现、交互式视觉语言诊断、缺失驾驶场景推荐与本研究的关系。最近研究的存在意味着“首次可解释失败诊断”不是可用主张；本文强调预定义输出独立风险组织、冻结条件的新来源确认及覆盖/错误数/失败广度的分离评价。没有实施这些工作的直接性能基线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正文保留三个RQ，新增两张表、两幅图，中英文各13表、6图，附录扩为S1—S14。摘要、贡献、方法、RQ1、讨论、结论及数据可用性同步收紧。强基线未全面获胜、严格一致支持不足和未复现条件保留。</w:t>
      </w:r>
    </w:p>
    <w:p>
      <w:pPr>
        <w:pStyle w:val="Heading1"/>
      </w:pPr>
      <w:r>
        <w:t>5 真实案例与预处理边界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原图、官方框、分类器实际Resize(256)/CenterCrop(224)输入、自动状态和三种子预测并列显示。案例按既有四条件中符合指定结果的首个sample_id选择，前三个错误、第四个正确，不人工修正标签或据此估计失败率。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1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al_target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1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真实目标与实际模型输入。状态为自动标注；原图上下文并非分类器实际输入。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Resize按短边缩放后做中心裁剪，细长目标可能丢失部分信息。因此本文结论描述分类器加预处理流程，不能把每个错误归因为某状态或模型结构。示例图不是人工语义复核。</w:t>
      </w:r>
    </w:p>
    <w:p>
      <w:pPr>
        <w:pStyle w:val="Heading1"/>
      </w:pPr>
      <w:r>
        <w:t>6 复算入口与完成边界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便携材料包包括三池目标清单、双VLM状态、24分类器的完整分类logits/预测、风险部件/成员、冻结假设、原提示词/枚举、环境记录、主要聚合源表与哈希。独立入口只依赖NumPy、Pandas、scikit-learn，无需图片、GPU、网络或API密钥。重建分析与重新采图、训练、VLM标注区分；旧选样表可以复算聚合，但此入口不重新提取特征或构建原错误簇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解压便携包，在解压根目录运行：</w:t>
      </w:r>
    </w:p>
    <w:p>
      <w:pPr>
        <w:spacing w:line="276" w:lineRule="auto"/>
      </w:pPr>
      <w:r>
        <w:rPr>
          <w:rFonts w:ascii="Consolas" w:hAnsi="Consolas" w:eastAsia="宋体"/>
          <w:b w:val="0"/>
          <w:sz w:val="22"/>
        </w:rPr>
      </w:r>
      <w:r>
        <w:rPr>
          <w:rFonts w:ascii="Times New Roman" w:hAnsi="Times New Roman" w:eastAsia="宋体"/>
          <w:b w:val="0"/>
          <w:sz w:val="22"/>
        </w:rPr>
        <w:t>bash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python scripts/run_scale_only_confirmation.py --input portable_inputs --output reproduced_scale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python scripts/reaggregate_selection_evidence.py --input historical_selection --output reproduced_selection</w:t>
      </w:r>
    </w:p>
    <w:p>
      <w:pPr>
        <w:spacing w:line="276" w:lineRule="auto"/>
      </w:pPr>
      <w:r>
        <w:rPr>
          <w:rFonts w:ascii="Consolas" w:hAnsi="Consolas" w:eastAsia="宋体"/>
          <w:b w:val="0"/>
          <w:sz w:val="22"/>
        </w:rPr>
      </w:r>
      <w:r>
        <w:rPr>
          <w:rFonts w:ascii="Consolas" w:hAnsi="Consolas" w:eastAsia="宋体"/>
          <w:b w:val="0"/>
          <w:sz w:val="22"/>
        </w:rPr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地完整材料仍保留。便携包在独立临时目录进行复算并核对，不仅提供几个结果表。个人作者信息、资助、分工和实际公共访问地址按用户要求暂时保留待填；没有公开上传或投稿。许可来源清单与原始ID保留，不声称所有原图的再分发权已经验证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LaTeX沿用官方Springer模板提供源文件；此前资源下载失败，尚未核验编译后的全文PDF。Word完成结构与图像检查，不把它称为经过整页渲染验证。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实际核验已通过：独立临时目录解压便携ZIP后，两条命令均正常结束；八张尺度/条件/成员/支持/unknown结果表全部一致，三池60项历史选样效应均值、p和各校正家族一致。完整风险及面积方案共1440个F1单元与scikit-learn直接聚合核对，其中720个为历史完整风险层单元。正文218个保留和60个新数值核对通过，原10886个源文件哈希不变。便携包244个文件哈希检查通过；该核验不包含从零训练、原始表征聚类或历史VLM调用。</w:t>
      </w:r>
    </w:p>
    <w:p>
      <w:pPr>
        <w:pStyle w:val="Heading1"/>
      </w:pPr>
      <w:r>
        <w:t>7 现在论文能够支持的论点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在所研究的六分类、冻结模型面板和候选池中，自动视觉状态协议能组织性能差异、报告部分跨来源复现的薄弱条件；许多条件在粗尺度构成调整后仍有诊断关联。端点分离也可以由便宜面积元数据获得，因此VLM用途应落在条件描述和复用诊断，而不能只靠更大的F1落差论证。覆盖、风险与测试结果需要分别评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下一步主要是作者审阅修改文稿、确定投稿目标、填真实声明和安排持久材料访问；不默认继续无限添加模型或重复实验。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