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期刊优化说明与提交前填写项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本轮以 </w:t>
      </w:r>
      <w:r>
        <w:rPr>
          <w:rFonts w:ascii="Times New Roman" w:hAnsi="Times New Roman" w:eastAsia="宋体"/>
          <w:b/>
          <w:sz w:val="22"/>
        </w:rPr>
        <w:t>Software Quality Journal（SQJ）的Original Paper</w:t>
      </w:r>
      <w:r>
        <w:rPr>
          <w:rFonts w:ascii="Times New Roman" w:hAnsi="Times New Roman" w:eastAsia="宋体"/>
          <w:b w:val="0"/>
          <w:sz w:val="22"/>
        </w:rPr>
        <w:t xml:space="preserve"> 为具体格式参考，将论文改写为模型测试的实证研究。期刊主题涵盖质量度量、测试与质量保证，适合当前工作。本文尚未正式投稿，也没有以“二三区稳录”作为判断。中科院分区与JCR分区、年份和学科类别应在最终选刊时另行确认；不能把主题匹配当作当前分区证明。</w:t>
      </w:r>
    </w:p>
    <w:p>
      <w:pPr>
        <w:pStyle w:val="Heading1"/>
      </w:pPr>
      <w:r>
        <w:t>1 已核对的官方要求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核对日期：2026-10-06。依据</w:t>
      </w:r>
      <w:r>
        <w:rPr>
          <w:rFonts w:ascii="Times New Roman" w:hAnsi="Times New Roman" w:eastAsia="宋体"/>
          <w:b w:val="0"/>
          <w:sz w:val="22"/>
        </w:rPr>
        <w:t>SQJ研究范围（https://link.springer.com/journal/11219/aims-and-scope）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 w:val="0"/>
          <w:sz w:val="22"/>
        </w:rPr>
        <w:t>作者指南（https://link.springer.com/journal/11219/submission-guidelines）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 w:val="0"/>
          <w:sz w:val="22"/>
        </w:rPr>
        <w:t>Springer模板入口（https://www.springernature.com/la/authors/campaigns/latex-author-support）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要求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本次落实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Original Paper；不收系统性综述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主稿围绕实验与三个RQ；相关工作用于定位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期刊专门条款要求LaTeX、sn-jnl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英文稿提供官方类文件与可编辑LaTeX源包；Word作为审阅版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英文摘要150—250词；关键词4—6个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自动核对英文摘要长度；设置六关键词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作者—年份引用；参考文献按首作者排列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替换原数字编号引用，核对真实文献及来源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标题最多三级；图表顺序编号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正文三级以内，11表、4图顺序编号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摘要与结论不放引用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两部分独立写作，不插入参考文献标记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数据可用性、利益冲突等声明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增加独立声明，未知作者事实明确待填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AI工具的实质使用应记录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方法中记录VLM标注和代码/稿件辅助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指南的通用段落还说Word可接受，但期刊自己的专门格式段落明确要求LaTeX；本次采用后者，不把Word称为满足全部提交要求的文件。没有发现必须按本文采用的字数或11表/4图压缩的硬性要求；这些是提高可读性的编辑选择。</w:t>
      </w:r>
    </w:p>
    <w:p>
      <w:pPr>
        <w:pStyle w:val="Heading1"/>
      </w:pPr>
      <w:r>
        <w:t>2 论文主线改动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原标题同时强调覆盖与分层，容易让审稿人以“新覆盖算法”标准要求普遍优越性。现在以“视觉状态风险分层的实证测试研究”为标题，覆盖保留为状态证据记录和选样的次级评价。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原文四个RQ与十五个结果小节改为三个RQ：风险分层与随机分组/消融；固定预算的性能与排序响应；冻结薄弱条件与诊断广度。Objects365与COCO、VOC在同一结果表中呈现，不再像临时追加的实验。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贡献写成可审计协议、受控性能响应证据、条件诊断与范围分析。删除“首次”“全面优越”“最新最强”一类未经证实的表达，不把统计显著当作新颖性的替代物。</w:t>
      </w:r>
    </w:p>
    <w:p>
      <w:pPr>
        <w:pStyle w:val="Heading1"/>
      </w:pPr>
      <w:r>
        <w:t>3 正文与补充材料分配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正文保留11张表、4幅英文可编辑结果图：研究数据、评分映射、随机对照、关键消融、固定预算端点、完整Q5排名、Coverage对Random、冻结条件确认、正负案例、属性参考、严格一致支持。图直接展示差值或条件差，不人为放大坐标，也不拟合不存在的光滑趋势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补充材料提供完整枚举/协议文件索引、全部42个消融设置、主要/次要/全20项校正的选样表、精确风险匹配、统一表征、字段一致与排名敏感性、成本、历史累积曲线的索引。原完整稿作为中文证据档案保留，原结果不删除。</w:t>
      </w:r>
    </w:p>
    <w:p>
      <w:pPr>
        <w:pStyle w:val="Heading1"/>
      </w:pPr>
      <w:r>
        <w:t>4 本次特意保留的关键边界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研究对象为固定目标框裁剪的六分类，person不是face，未评价检测定位。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模型权重不变；测试构成变化导致测得指标变化，不叫模型退化。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覆盖、风险、F1和诊断广度分别解释；预算AUC不是ROC-AUC。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随机划层范围、成对抽样范围、架构/种子置信区间不混用。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删除遮挡后方向仍成立，但消融校正未通过，不称单维显著贡献。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主四项与全20项校正同时保留；八架构检验分辨率限制写明。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官方属性只是部分参考，双VLM一致不等于语义真值。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严格一致Q5支持不足、强基线负结果及未复现状态仍在正文。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全项目不称预注册；区分确认前冻结与事后缓存分析。</w:t>
      </w:r>
    </w:p>
    <w:p>
      <w:pPr>
        <w:pStyle w:val="ListBullet"/>
        <w:spacing w:line="276" w:lineRule="auto"/>
      </w:pPr>
      <w:r>
        <w:rPr>
          <w:rFonts w:ascii="Times New Roman" w:hAnsi="Times New Roman" w:eastAsia="宋体"/>
          <w:b w:val="0"/>
          <w:sz w:val="22"/>
        </w:rPr>
        <w:t>未做修复实验，不声称状态诊断已修复模型。</w:t>
      </w:r>
    </w:p>
    <w:p>
      <w:pPr>
        <w:pStyle w:val="Heading1"/>
      </w:pPr>
      <w:r>
        <w:t>5 作者仍需填写的真实信息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928"/>
        <w:gridCol w:w="3572"/>
        <w:gridCol w:w="357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信息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所在位置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为什么不能自动填写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作者、单位、通信邮箱、ORCID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LaTeX首页/投稿系统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本地材料未提供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基金及作者贡献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声明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需要作者确认真实事实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利益冲突、伦理适用性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声明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不能替作者声明不存在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仓库或归档DOI及实际访问方式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数据可用性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当前只有本地材料，不能声称已公开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作者简介、照片等期刊附加项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投稿界面/指南</w:t>
            </w:r>
          </w:p>
        </w:tc>
        <w:tc>
          <w:tcPr>
            <w:tcW w:type="dxa" w:w="357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需要真实作者资料与授权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这份修订已经完成内容、结构和源文件准备；含上述待填项的稿件不能直接当作正式完成的投稿。公开数据、提交稿件和联系编辑均未执行。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LaTeX编译核验尚未通过：本机没有预装TeX，下载本地编译器后，默认和直接资源接口均未成功取得所需TeX依赖。源包已提供，但不声称已生成或验证编译后的论文PDF。Word结构、公式、图表及数值核对已完成；Word没有进行整页渲染检查。</w:t>
      </w:r>
    </w:p>
    <w:p>
      <w:pPr>
        <w:pStyle w:val="Heading1"/>
      </w:pPr>
      <w:r>
        <w:t>6 阅读顺序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先读中文优化稿的摘要、引言、三个RQ结果和结论，确认研究定位；再读英文稿对应段落。补充材料用于查全部对照、口径和原始证据索引。最终选择其他期刊时，应按该期刊规范重新适配，不套用SQJ的专有模板条款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