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color w:val="173653"/>
          <w:sz w:val="46"/>
        </w:rPr>
        <w:t>视觉状态驱动的多类别模型测试方法</w:t>
      </w:r>
    </w:p>
    <w:p>
      <w:r>
        <w:rPr>
          <w:rFonts w:ascii="Microsoft YaHei" w:hAnsi="Microsoft YaHei" w:eastAsia="微软雅黑"/>
          <w:b w:val="0"/>
          <w:color w:val="55616D"/>
          <w:sz w:val="18"/>
        </w:rPr>
        <w:t>老师审阅版｜研究方法、总体框架与实证依据｜2026年10月11日</w:t>
      </w: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一、这项研究要解决什么问题</w:t>
      </w:r>
    </w:p>
    <w:p>
      <w:r>
        <w:rPr>
          <w:rFonts w:ascii="Microsoft YaHei" w:hAnsi="Microsoft YaHei" w:eastAsia="微软雅黑"/>
          <w:b w:val="0"/>
          <w:sz w:val="21"/>
        </w:rPr>
        <w:t>一个分类模型在测试集上取得较高的总体分数，并不说明它在所有视觉条件下都表现良好。例如，同样是犬类，正面、背向、遮挡或小尺度目标的识别表现可能不同。本研究希望回答：怎样组织测试样本，才能看清模型在什么条件下可靠、在什么条件下需要追加测试？</w:t>
      </w:r>
    </w:p>
    <w:p>
      <w:r>
        <w:rPr>
          <w:rFonts w:ascii="Microsoft YaHei" w:hAnsi="Microsoft YaHei" w:eastAsia="微软雅黑"/>
          <w:b w:val="0"/>
          <w:sz w:val="21"/>
        </w:rPr>
        <w:t>当前定位是“模型测试与条件诊断的实证研究”。方法围绕视觉状态表示、测试集组织和条件结果分析展开；研究贡献需要由对照实验与新数据复查来判断，不能由框架图本身证明。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核心思路</w:t>
      </w:r>
    </w:p>
    <w:p>
      <w:r>
        <w:rPr>
          <w:rFonts w:ascii="Microsoft YaHei" w:hAnsi="Microsoft YaHei" w:eastAsia="微软雅黑"/>
          <w:b w:val="0"/>
          <w:sz w:val="21"/>
        </w:rPr>
        <w:t>先将目标图像描述为可统计的视觉状态；再分别按状态覆盖和视觉风险组织测试集；最后把模型预测与真实类别、视觉状态对应，形成可复查的条件能力报告。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0"/>
        <w:gridCol w:w="7126"/>
      </w:tblGrid>
      <w:tr>
        <w:trPr>
          <w:cantSplit/>
          <w:tblHeader/>
        </w:trPr>
        <w:tc>
          <w:tcPr>
            <w:tcW w:type="dxa" w:w="2910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7126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在本研究中的作用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官方目标框与类别</w:t>
            </w:r>
          </w:p>
        </w:tc>
        <w:tc>
          <w:tcPr>
            <w:tcW w:type="dxa" w:w="7126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确定测试对象及正确类别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视觉语言模型（VLM）</w:t>
            </w:r>
          </w:p>
        </w:tc>
        <w:tc>
          <w:tcPr>
            <w:tcW w:type="dxa" w:w="7126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描述目标可见状态，如遮挡、朝向、截断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状态覆盖与风险组织</w:t>
            </w:r>
          </w:p>
        </w:tc>
        <w:tc>
          <w:tcPr>
            <w:tcW w:type="dxa" w:w="7126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决定测试哪些目标、怎样比较测试条件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被测分类模型</w:t>
            </w:r>
          </w:p>
        </w:tc>
        <w:tc>
          <w:tcPr>
            <w:tcW w:type="dxa" w:w="7126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提供类别预测，供后续分析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最终报告</w:t>
            </w:r>
          </w:p>
        </w:tc>
        <w:tc>
          <w:tcPr>
            <w:tcW w:type="dxa" w:w="7126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给出各状态识别表现及需重点测试的条件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三个实证问题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风险分层能否区分模型在不同视觉条件下的表现？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模型不变时，测试集的视觉风险构成会怎样改变测得性能与排名？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状态组织能否提供更多失败信息，并找出可在新数据中复查的薄弱条件？</w:t>
      </w:r>
    </w:p>
    <w:p>
      <w:r>
        <w:rPr>
          <w:rFonts w:ascii="Microsoft YaHei" w:hAnsi="Microsoft YaHei" w:eastAsia="微软雅黑"/>
          <w:b w:val="0"/>
          <w:sz w:val="21"/>
        </w:rPr>
        <w:t>当前主线已从早期“犬类补图后重新训练”的探索，发展为多类别的测试组织与条件诊断。当前证据主要解释测试方法的用途，尚不能证明提高覆盖率必然提高训练后准确率。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935" w:bottom="879" w:left="935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二、总体方法框架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504680" cy="4752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_method_final_stage_image2_202610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4680" cy="475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微软雅黑"/>
          <w:b w:val="0"/>
          <w:color w:val="55616D"/>
          <w:sz w:val="18"/>
        </w:rPr>
        <w:t>图1　官方标注确定目标与类别；双VLM分别描述目标状态，目标尺度由官方框计算。覆盖引导选样与风险引导组织并行形成测试集合。被测模型提供类别预测，结合状态与真实类别汇总，输出条件能力报告及需重点测试的状态。</w:t>
      </w:r>
    </w:p>
    <w:p>
      <w:r>
        <w:rPr>
          <w:rFonts w:ascii="Microsoft YaHei" w:hAnsi="Microsoft YaHei" w:eastAsia="微软雅黑"/>
          <w:b w:val="0"/>
          <w:sz w:val="21"/>
        </w:rPr>
        <w:t>读图要点：“覆盖”关注稀缺状态，“风险”组织挑战条件。类别预测是中间结果，最终输出为条件能力报告。</w:t>
      </w:r>
    </w:p>
    <w:p>
      <w:r>
        <w:rPr>
          <w:rFonts w:ascii="Microsoft YaHei" w:hAnsi="Microsoft YaHei" w:eastAsia="微软雅黑"/>
          <w:b w:val="0"/>
          <w:color w:val="55616D"/>
          <w:sz w:val="18"/>
        </w:rPr>
        <w:t>图示说明：图由Image2辅助绘制，流程依据实际代码与协议。图像、色块和状态标签均为示意，不代表测量值、预设结论或全部模型的共同弱点。</w:t>
      </w:r>
    </w:p>
    <w:p>
      <w:pPr>
        <w:sectPr>
          <w:pgSz w:w="16838" w:h="11906" w:orient="landscape"/>
          <w:pgMar w:top="907" w:right="935" w:bottom="879" w:left="935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三、方法具体怎样运行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1. 确定目标，描述视觉状态</w:t>
      </w:r>
    </w:p>
    <w:p>
      <w:r>
        <w:rPr>
          <w:rFonts w:ascii="Microsoft YaHei" w:hAnsi="Microsoft YaHei" w:eastAsia="微软雅黑"/>
          <w:b w:val="0"/>
          <w:sz w:val="21"/>
        </w:rPr>
        <w:t>每个样本对应官方标注中的一个目标。原图提供场景信息，目标框图指出要描述的对象，裁剪图提供局部细节。三视图用于状态描述；分类模型实际接收目标裁剪图。</w:t>
      </w:r>
    </w:p>
    <w:p>
      <w:r>
        <w:rPr>
          <w:rFonts w:ascii="Microsoft YaHei" w:hAnsi="Microsoft YaHei" w:eastAsia="微软雅黑"/>
          <w:b w:val="0"/>
          <w:sz w:val="21"/>
        </w:rPr>
        <w:t>本地Qwen3-VL和线上SenseNova分别产生结构化状态。类别专用协议映射为14项共享字段，再加入程序计算的目标尺度，共15项分析字段。“朝向—背向”就是一个状态；一张图可同时属于多个状态。无法判断时保留unknown，不计为已覆盖证据。两套状态分别分析，不进行分类概率融合。[E1]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2. 覆盖路线：优先测试支持不足的状态</w:t>
      </w:r>
    </w:p>
    <w:p>
      <w:r>
        <w:rPr>
          <w:rFonts w:ascii="Microsoft YaHei" w:hAnsi="Microsoft YaHei" w:eastAsia="微软雅黑"/>
          <w:b w:val="0"/>
          <w:sz w:val="21"/>
        </w:rPr>
        <w:t>先统计每种状态已有多少个目标支持。覆盖指标把状态支持数相对于20个目标的饱和阈值计分，先在类别内平均，再在六类间平均。它描述当前候选池与状态词表中的测试证据，不代表所有现实情形或状态组合都已覆盖。[E1]</w:t>
      </w:r>
    </w:p>
    <w:p>
      <w:r>
        <w:rPr>
          <w:rFonts w:ascii="Microsoft YaHei" w:hAnsi="Microsoft YaHei" w:eastAsia="微软雅黑"/>
          <w:b w:val="0"/>
          <w:sz w:val="21"/>
        </w:rPr>
        <w:t>选样逐轮进行：计算候选目标能为哪些稀缺状态增加支持，选择当前增益最大的目标，再更新计数。实际选样使用对数边际增益，报告覆盖使用线性截断贡献；二者不是同一个优化目标。方法不直接以“选出最多错误”或“提高分类准确率”为目标。[E1]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3. 风险路线：组织不同挑战程度的条件</w:t>
      </w:r>
    </w:p>
    <w:p>
      <w:r>
        <w:rPr>
          <w:rFonts w:ascii="Microsoft YaHei" w:hAnsi="Microsoft YaHei" w:eastAsia="微软雅黑"/>
          <w:b w:val="0"/>
          <w:sz w:val="21"/>
        </w:rPr>
        <w:t>用目标尺度、身体可见性、遮挡、截断和朝向五个维度计算预定义风险。评分不读取被测分类器的错误、置信度或特征。在每个真实类别内排序，分成Q1至Q5五层；Q5表示该类别、该候选池中的相对高风险。[E1]</w:t>
      </w:r>
    </w:p>
    <w:p>
      <w:r>
        <w:rPr>
          <w:rFonts w:ascii="Microsoft YaHei" w:hAnsi="Microsoft YaHei" w:eastAsia="微软雅黑"/>
          <w:b w:val="0"/>
          <w:sz w:val="21"/>
        </w:rPr>
        <w:t>随后保持测试数量和类别比例一致，改变高风险目标所占比例。这样检验的是同一模型面对不同测试条件构成时的表现，不是重新训练造成的变化。覆盖与风险是并行组织依据，覆盖增加不意味着风险一定增加。[E3]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4. 汇总结果，提出可复查的测试条件</w:t>
      </w:r>
    </w:p>
    <w:p>
      <w:r>
        <w:rPr>
          <w:rFonts w:ascii="Microsoft YaHei" w:hAnsi="Microsoft YaHei" w:eastAsia="微软雅黑"/>
          <w:b w:val="0"/>
          <w:sz w:val="21"/>
        </w:rPr>
        <w:t>将类别预测、官方类别与视觉状态对应。报告总体Accuracy、Macro-F1等指标，也报告状态支持数及条件Recall。条件Recall就是“真实属于该类别且具有某状态的目标中，有多少被正确识别”。</w:t>
      </w:r>
    </w:p>
    <w:p>
      <w:r>
        <w:rPr>
          <w:rFonts w:ascii="Microsoft YaHei" w:hAnsi="Microsoft YaHei" w:eastAsia="微软雅黑"/>
          <w:b w:val="0"/>
          <w:sz w:val="21"/>
        </w:rPr>
        <w:t>最终报告以“模型—类别—状态”为单位，列出样本支持、状态表现、类别参考表现及下一步测试条件。发现阶段按支持数与表现差筛选候选薄弱条件，再到新目标或外部数据复查相同条件；支持不足和未复现结果也保留。[E4]</w:t>
      </w:r>
    </w:p>
    <w:p>
      <w:r>
        <w:rPr>
          <w:rFonts w:ascii="Microsoft YaHei" w:hAnsi="Microsoft YaHei" w:eastAsia="微软雅黑"/>
          <w:b w:val="0"/>
          <w:sz w:val="21"/>
        </w:rPr>
        <w:t>这一报告服务于追加测试与模型比较。它可以指出相关的薄弱条件，不能直接认定这些状态是错误的因果根源，也不表示已完成模型修复。</w:t>
      </w:r>
    </w:p>
    <w:p>
      <w:pPr>
        <w:sectPr>
          <w:pgSz w:w="11906" w:h="16838"/>
          <w:pgMar w:top="907" w:right="935" w:bottom="879" w:left="935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四、目前有哪些实证依据</w:t>
      </w:r>
    </w:p>
    <w:p>
      <w:r>
        <w:rPr>
          <w:rFonts w:ascii="Microsoft YaHei" w:hAnsi="Microsoft YaHei" w:eastAsia="微软雅黑"/>
          <w:b w:val="0"/>
          <w:sz w:val="21"/>
        </w:rPr>
        <w:t>历史主实验包含8种分类架构，每种3个训练种子，共24次运行。下表是这组模型的面板平均结果；B、C、D分别为COCO、VOC2007和Objects365确认池，两种来源指本地与线上VLM状态。[E1–E3]</w:t>
      </w:r>
    </w:p>
    <w:p>
      <w:r>
        <w:rPr>
          <w:rFonts w:ascii="Microsoft YaHei" w:hAnsi="Microsoft YaHei" w:eastAsia="微软雅黑"/>
          <w:b w:val="0"/>
          <w:sz w:val="21"/>
        </w:rPr>
        <w:t>历史架构：ResNet-18/50、MobileNetV3-Small/Large、DenseNet-121、EfficientNet-B0、ConvNeXt-Tiny、Swin-T。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1"/>
        <w:gridCol w:w="3111"/>
        <w:gridCol w:w="3914"/>
      </w:tblGrid>
      <w:tr>
        <w:trPr>
          <w:cantSplit/>
          <w:tblHeader/>
        </w:trPr>
        <w:tc>
          <w:tcPr>
            <w:tcW w:type="dxa" w:w="3011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确认池／状态来源</w:t>
            </w:r>
          </w:p>
        </w:tc>
        <w:tc>
          <w:tcPr>
            <w:tcW w:type="dxa" w:w="3111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Q5−Q1的Macro-F1差</w:t>
            </w:r>
          </w:p>
        </w:tc>
        <w:tc>
          <w:tcPr>
            <w:tcW w:type="dxa" w:w="3914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高风险占比0%→100%的F1变化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COCO／本地</w:t>
            </w:r>
          </w:p>
        </w:tc>
        <w:tc>
          <w:tcPr>
            <w:tcW w:type="dxa" w:w="31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−25.50个百分点</w:t>
            </w:r>
          </w:p>
        </w:tc>
        <w:tc>
          <w:tcPr>
            <w:tcW w:type="dxa" w:w="3914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−20.78个百分点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COCO／线上</w:t>
            </w:r>
          </w:p>
        </w:tc>
        <w:tc>
          <w:tcPr>
            <w:tcW w:type="dxa" w:w="31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−21.30个百分点</w:t>
            </w:r>
          </w:p>
        </w:tc>
        <w:tc>
          <w:tcPr>
            <w:tcW w:type="dxa" w:w="3914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−16.62个百分点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VOC2007／本地</w:t>
            </w:r>
          </w:p>
        </w:tc>
        <w:tc>
          <w:tcPr>
            <w:tcW w:type="dxa" w:w="31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−16.57个百分点</w:t>
            </w:r>
          </w:p>
        </w:tc>
        <w:tc>
          <w:tcPr>
            <w:tcW w:type="dxa" w:w="3914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−15.92个百分点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VOC2007／线上</w:t>
            </w:r>
          </w:p>
        </w:tc>
        <w:tc>
          <w:tcPr>
            <w:tcW w:type="dxa" w:w="31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−14.44个百分点</w:t>
            </w:r>
          </w:p>
        </w:tc>
        <w:tc>
          <w:tcPr>
            <w:tcW w:type="dxa" w:w="3914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−12.29个百分点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Objects365／本地</w:t>
            </w:r>
          </w:p>
        </w:tc>
        <w:tc>
          <w:tcPr>
            <w:tcW w:type="dxa" w:w="31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−41.80个百分点</w:t>
            </w:r>
          </w:p>
        </w:tc>
        <w:tc>
          <w:tcPr>
            <w:tcW w:type="dxa" w:w="3914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−34.77个百分点</w:t>
            </w:r>
          </w:p>
        </w:tc>
      </w:tr>
      <w:tr>
        <w:trPr>
          <w:cantSplit/>
        </w:trPr>
        <w:tc>
          <w:tcPr>
            <w:tcW w:type="dxa" w:w="30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Objects365／线上</w:t>
            </w:r>
          </w:p>
        </w:tc>
        <w:tc>
          <w:tcPr>
            <w:tcW w:type="dxa" w:w="31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−41.25个百分点</w:t>
            </w:r>
          </w:p>
        </w:tc>
        <w:tc>
          <w:tcPr>
            <w:tcW w:type="dxa" w:w="3914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−31.84个百分点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微软雅黑"/>
          <w:b w:val="0"/>
          <w:sz w:val="21"/>
        </w:rPr>
        <w:t>左列比较类别内低、高风险层；10000次类别平衡随机分层均未达到实际差的绝对值，六项检验校正后的p约为0.00060。右列固定120个目标、每类20个，0%端点来自Q1–Q4，100%端点来自Q5，21个比例点分别重复抽样1000次。两列使用不同的比较构造。[E2、E3]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可以支持的解释</w:t>
      </w:r>
    </w:p>
    <w:p>
      <w:r>
        <w:rPr>
          <w:rFonts w:ascii="Microsoft YaHei" w:hAnsi="Microsoft YaHei" w:eastAsia="微软雅黑"/>
          <w:b w:val="0"/>
          <w:sz w:val="21"/>
        </w:rPr>
        <w:t>预定义风险在当前数据与模型上能够区分条件表现，且端点差异超出随机划层波动。同一模型在测试量和类别比例相同的情况下，仍会因视觉风险构成不同而得到不同分数。因此，报告模型指标时应同时说明测试条件构成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一个容易理解的条件诊断例子</w:t>
      </w:r>
    </w:p>
    <w:p>
      <w:r>
        <w:rPr>
          <w:rFonts w:ascii="Microsoft YaHei" w:hAnsi="Microsoft YaHei" w:eastAsia="微软雅黑"/>
          <w:b w:val="0"/>
          <w:sz w:val="21"/>
        </w:rPr>
        <w:t>在COCO确认池中，ResNet-50对犬类的三种子平均Recall为81.92%；对本地VLM描述为“背向”的46个犬目标，平均Recall为57.25%，低24.67个百分点。这个结果说明条件报告能揭示总体类别指标掩盖的局部表现；它不证明背向是错误的唯一原因，也不是所有模型的共同结论。[E4]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必须一起报告的限制与扩展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仅用官方框面积分层也是强对照；完整风险评分未持续优于该对照，Objects365上端点区分还略弱。因此不能把风险差异全部归功于VLM状态。[E5]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选样的失败信息增益取决于数据与评价条件，目前不支持“覆盖选样在所有设置下优于随机或全部强基线”。[E1]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近期扩展包含YOLO26-S-cls、PE-Core-B16、SigLIP2 Base、MobileCLIP2-S0、AIMv2-Large，已完成15次运行，风险端点也有区分。它采用Q1／Q5混合，未重跑历史组的全部随机、面积及选样对照，必须独立报告。[E6]</w:t>
      </w:r>
    </w:p>
    <w:p>
      <w:pPr>
        <w:sectPr>
          <w:pgSz w:w="11906" w:h="16838"/>
          <w:pgMar w:top="907" w:right="935" w:bottom="879" w:left="935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五、数据来源与文献依据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5.1 数据从哪里来</w:t>
      </w:r>
    </w:p>
    <w:p>
      <w:r>
        <w:rPr>
          <w:rFonts w:ascii="Microsoft YaHei" w:hAnsi="Microsoft YaHei" w:eastAsia="微软雅黑"/>
          <w:b w:val="0"/>
          <w:sz w:val="21"/>
        </w:rPr>
        <w:t>研究目标包括犬、猫、马、羊、人、车六类。官方类别用于判定分类正确与否，VLM状态用于组织和描述测试条件。发现池与确认池的用途分开，数量均指目标实例，不等同于互不重复的原始图像数。[E1]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5018"/>
        <w:gridCol w:w="3011"/>
      </w:tblGrid>
      <w:tr>
        <w:trPr>
          <w:cantSplit/>
          <w:tblHeader/>
        </w:trPr>
        <w:tc>
          <w:tcPr>
            <w:tcW w:type="dxa" w:w="2007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5018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来源与目标数</w:t>
            </w:r>
          </w:p>
        </w:tc>
        <w:tc>
          <w:tcPr>
            <w:tcW w:type="dxa" w:w="3011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发现池A</w:t>
            </w:r>
          </w:p>
        </w:tc>
        <w:tc>
          <w:tcPr>
            <w:tcW w:type="dxa" w:w="5018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Open Images为主，含VOC2012的111个羊目标；共2400</w:t>
            </w:r>
          </w:p>
        </w:tc>
        <w:tc>
          <w:tcPr>
            <w:tcW w:type="dxa" w:w="30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提出候选薄弱条件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确认池B</w:t>
            </w:r>
          </w:p>
        </w:tc>
        <w:tc>
          <w:tcPr>
            <w:tcW w:type="dxa" w:w="5018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COCO，2400</w:t>
            </w:r>
          </w:p>
        </w:tc>
        <w:tc>
          <w:tcPr>
            <w:tcW w:type="dxa" w:w="30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在新目标中复查条件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确认池C</w:t>
            </w:r>
          </w:p>
        </w:tc>
        <w:tc>
          <w:tcPr>
            <w:tcW w:type="dxa" w:w="5018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VOC2007，600</w:t>
            </w:r>
          </w:p>
        </w:tc>
        <w:tc>
          <w:tcPr>
            <w:tcW w:type="dxa" w:w="3011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在外部来源中复查条件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确认池D</w:t>
            </w:r>
          </w:p>
        </w:tc>
        <w:tc>
          <w:tcPr>
            <w:tcW w:type="dxa" w:w="5018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Objects365 v2，2400</w:t>
            </w:r>
          </w:p>
        </w:tc>
        <w:tc>
          <w:tcPr>
            <w:tcW w:type="dxa" w:w="3011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在更大外部集合中复查条件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微软雅黑"/>
          <w:b w:val="0"/>
          <w:sz w:val="21"/>
        </w:rPr>
        <w:t>官方来源：</w:t>
      </w:r>
      <w:hyperlink r:id="rId12">
        <w:r>
          <w:rPr>
            <w:rFonts w:ascii="Microsoft YaHei" w:eastAsia="微软雅黑"/>
            <w:color w:val="176C75"/>
            <w:sz w:val="21"/>
          </w:rPr>
          <w:t>Open Images V7</w:t>
        </w:r>
      </w:hyperlink>
      <w:r>
        <w:rPr>
          <w:rFonts w:ascii="Microsoft YaHei" w:hAnsi="Microsoft YaHei" w:eastAsia="微软雅黑"/>
          <w:b w:val="0"/>
          <w:sz w:val="21"/>
        </w:rPr>
        <w:t>、</w:t>
      </w:r>
      <w:hyperlink r:id="rId13">
        <w:r>
          <w:rPr>
            <w:rFonts w:ascii="Microsoft YaHei" w:eastAsia="微软雅黑"/>
            <w:color w:val="176C75"/>
            <w:sz w:val="21"/>
          </w:rPr>
          <w:t>COCO原始论文</w:t>
        </w:r>
      </w:hyperlink>
      <w:r>
        <w:rPr>
          <w:rFonts w:ascii="Microsoft YaHei" w:hAnsi="Microsoft YaHei" w:eastAsia="微软雅黑"/>
          <w:b w:val="0"/>
          <w:sz w:val="21"/>
        </w:rPr>
        <w:t>、</w:t>
      </w:r>
      <w:hyperlink r:id="rId14">
        <w:r>
          <w:rPr>
            <w:rFonts w:ascii="Microsoft YaHei" w:eastAsia="微软雅黑"/>
            <w:color w:val="176C75"/>
            <w:sz w:val="21"/>
          </w:rPr>
          <w:t>PASCAL VOC2007</w:t>
        </w:r>
      </w:hyperlink>
      <w:r>
        <w:rPr>
          <w:rFonts w:ascii="Microsoft YaHei" w:hAnsi="Microsoft YaHei" w:eastAsia="微软雅黑"/>
          <w:b w:val="0"/>
          <w:sz w:val="21"/>
        </w:rPr>
        <w:t>、</w:t>
      </w:r>
      <w:hyperlink r:id="rId15">
        <w:r>
          <w:rPr>
            <w:rFonts w:ascii="Microsoft YaHei" w:eastAsia="微软雅黑"/>
            <w:color w:val="176C75"/>
            <w:sz w:val="21"/>
          </w:rPr>
          <w:t>PASCAL VOC2012</w:t>
        </w:r>
      </w:hyperlink>
      <w:r>
        <w:rPr>
          <w:rFonts w:ascii="Microsoft YaHei" w:hAnsi="Microsoft YaHei" w:eastAsia="微软雅黑"/>
          <w:b w:val="0"/>
          <w:sz w:val="21"/>
        </w:rPr>
        <w:t>、</w:t>
      </w:r>
      <w:hyperlink r:id="rId16">
        <w:r>
          <w:rPr>
            <w:rFonts w:ascii="Microsoft YaHei" w:eastAsia="微软雅黑"/>
            <w:color w:val="176C75"/>
            <w:sz w:val="21"/>
          </w:rPr>
          <w:t>Objects365</w:t>
        </w:r>
      </w:hyperlink>
      <w:r>
        <w:rPr>
          <w:rFonts w:ascii="Microsoft YaHei" w:hAnsi="Microsoft YaHei" w:eastAsia="微软雅黑"/>
          <w:b w:val="0"/>
          <w:sz w:val="21"/>
        </w:rPr>
        <w:t>。这里使用的是项目目标子集，不是各数据集的完整官方排行榜评测。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5.2 方法依据是什么</w:t>
      </w:r>
    </w:p>
    <w:p>
      <w:r>
        <w:rPr>
          <w:rFonts w:ascii="Microsoft YaHei" w:hAnsi="Microsoft YaHei" w:eastAsia="微软雅黑"/>
          <w:b w:val="0"/>
          <w:sz w:val="21"/>
        </w:rPr>
        <w:t>文献1：Fabrice Harel-Canada等，2020，Is Neuron Coverage a Meaningful Measure for Testing Deep Neural Networks?，ESEC/FSE。</w:t>
      </w:r>
      <w:hyperlink r:id="rId17">
        <w:r>
          <w:rPr>
            <w:rFonts w:ascii="Microsoft YaHei" w:eastAsia="微软雅黑"/>
            <w:color w:val="176C75"/>
            <w:sz w:val="21"/>
          </w:rPr>
          <w:t>作者公开全文</w:t>
        </w:r>
      </w:hyperlink>
      <w:r>
        <w:rPr>
          <w:rFonts w:ascii="Microsoft YaHei" w:hAnsi="Microsoft YaHei" w:eastAsia="微软雅黑"/>
          <w:b w:val="0"/>
          <w:sz w:val="21"/>
        </w:rPr>
        <w:t>／</w:t>
      </w:r>
      <w:hyperlink r:id="rId18">
        <w:r>
          <w:rPr>
            <w:rFonts w:ascii="Microsoft YaHei" w:eastAsia="微软雅黑"/>
            <w:color w:val="176C75"/>
            <w:sz w:val="21"/>
          </w:rPr>
          <w:t>DOI</w:t>
        </w:r>
      </w:hyperlink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rPr>
          <w:rFonts w:ascii="Microsoft YaHei" w:hAnsi="Microsoft YaHei" w:eastAsia="微软雅黑"/>
          <w:b w:val="0"/>
          <w:sz w:val="21"/>
        </w:rPr>
        <w:t>该研究表明，神经元覆盖增加不必然带来更有效的测试。它支持本项目把“覆盖证据”和“测试效果”分开验证的思路；它研究的是神经元覆盖，不能直接替本项目的视觉状态覆盖背书。</w:t>
      </w:r>
    </w:p>
    <w:p>
      <w:r>
        <w:rPr>
          <w:rFonts w:ascii="Microsoft YaHei" w:hAnsi="Microsoft YaHei" w:eastAsia="微软雅黑"/>
          <w:b w:val="0"/>
          <w:sz w:val="21"/>
        </w:rPr>
        <w:t>文献2：Swaroopa Dola、Matthew B. Dwyer、Mary Lou Soffa，2023，Input Distribution Coverage: Measuring Feature Interaction Adequacy in Neural Network Testing，ACM TOSEM。</w:t>
      </w:r>
      <w:hyperlink r:id="rId19">
        <w:r>
          <w:rPr>
            <w:rFonts w:ascii="Microsoft YaHei" w:eastAsia="微软雅黑"/>
            <w:color w:val="176C75"/>
            <w:sz w:val="21"/>
          </w:rPr>
          <w:t>DOI</w:t>
        </w:r>
      </w:hyperlink>
      <w:r>
        <w:rPr>
          <w:rFonts w:ascii="Microsoft YaHei" w:hAnsi="Microsoft YaHei" w:eastAsia="微软雅黑"/>
          <w:b w:val="0"/>
          <w:sz w:val="21"/>
        </w:rPr>
        <w:t>／</w:t>
      </w:r>
      <w:hyperlink r:id="rId20">
        <w:r>
          <w:rPr>
            <w:rFonts w:ascii="Microsoft YaHei" w:eastAsia="微软雅黑"/>
            <w:color w:val="176C75"/>
            <w:sz w:val="21"/>
          </w:rPr>
          <w:t>作者学位论文第5章</w:t>
        </w:r>
      </w:hyperlink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rPr>
          <w:rFonts w:ascii="Microsoft YaHei" w:hAnsi="Microsoft YaHei" w:eastAsia="微软雅黑"/>
          <w:b w:val="0"/>
          <w:sz w:val="21"/>
        </w:rPr>
        <w:t>该工作从输入分布及特征交互角度研究测试充分性。本项目采用显式、有限枚举的可见状态作为测试组织依据，主要统计单状态支持；当前没有实现该论文的潜在空间特征交互覆盖，两者不能混称。</w:t>
      </w:r>
    </w:p>
    <w:p>
      <w:r>
        <w:rPr>
          <w:rFonts w:ascii="Microsoft YaHei" w:hAnsi="Microsoft YaHei" w:eastAsia="微软雅黑"/>
          <w:b w:val="0"/>
          <w:sz w:val="21"/>
        </w:rPr>
        <w:t>文献3：Sabri Eyuboglu等，2022，Domino: Discovering Systematic Errors with Cross-Modal Embeddings，ICLR。</w:t>
      </w:r>
      <w:hyperlink r:id="rId21">
        <w:r>
          <w:rPr>
            <w:rFonts w:ascii="Microsoft YaHei" w:eastAsia="微软雅黑"/>
            <w:color w:val="176C75"/>
            <w:sz w:val="21"/>
          </w:rPr>
          <w:t>原始论文</w:t>
        </w:r>
      </w:hyperlink>
      <w:r>
        <w:rPr>
          <w:rFonts w:ascii="Microsoft YaHei" w:hAnsi="Microsoft YaHei" w:eastAsia="微软雅黑"/>
          <w:b w:val="0"/>
          <w:sz w:val="21"/>
        </w:rPr>
        <w:t>。</w:t>
      </w:r>
    </w:p>
    <w:p>
      <w:r>
        <w:rPr>
          <w:rFonts w:ascii="Microsoft YaHei" w:hAnsi="Microsoft YaHei" w:eastAsia="微软雅黑"/>
          <w:b w:val="0"/>
          <w:sz w:val="21"/>
        </w:rPr>
        <w:t>Domino研究具有共同特征、表现较差的样本子集及其描述，说明总体分数之外的子集诊断已有研究基础。本项目通过预定义视觉状态、类别内风险组织与新数据复查形成条件报告；尚未完成与Domino的直接对比，不宣称首次提出子集诊断或优于该方法。</w:t>
      </w:r>
    </w:p>
    <w:p>
      <w:pPr>
        <w:sectPr>
          <w:pgSz w:w="11906" w:h="16838"/>
          <w:pgMar w:top="907" w:right="935" w:bottom="879" w:left="935" w:header="397" w:footer="397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微软雅黑"/>
          <w:b/>
          <w:color w:val="173653"/>
          <w:sz w:val="32"/>
        </w:rPr>
        <w:t>六、项目证据索引与结论边界</w:t>
      </w:r>
    </w:p>
    <w:p>
      <w:r>
        <w:rPr>
          <w:rFonts w:ascii="Microsoft YaHei" w:hAnsi="Microsoft YaHei" w:eastAsia="微软雅黑"/>
          <w:b w:val="0"/>
          <w:sz w:val="21"/>
        </w:rPr>
        <w:t>本文的方法依据来自实际协议和代码，数值依据来自已生成的原始结果表。以下文件名供项目内复核；正文与图已包含主要说明，阅读本文不依赖访问这些文件。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3"/>
        <w:gridCol w:w="5018"/>
        <w:gridCol w:w="4265"/>
      </w:tblGrid>
      <w:tr>
        <w:trPr>
          <w:cantSplit/>
          <w:tblHeader/>
        </w:trPr>
        <w:tc>
          <w:tcPr>
            <w:tcW w:type="dxa" w:w="753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018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项目依据</w:t>
            </w:r>
          </w:p>
        </w:tc>
        <w:tc>
          <w:tcPr>
            <w:tcW w:type="dxa" w:w="4265"/>
            <w:vAlign w:val="center"/>
            <w:shd w:fill="173653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对应内容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E1</w:t>
            </w:r>
          </w:p>
        </w:tc>
        <w:tc>
          <w:tcPr>
            <w:tcW w:type="dxa" w:w="5018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当前论文“论文_最新.md”第3–5节；run_sixclass_independent_confirmation.py</w:t>
            </w:r>
          </w:p>
        </w:tc>
        <w:tc>
          <w:tcPr>
            <w:tcW w:type="dxa" w:w="4265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任务、状态、覆盖、选样、风险与结果解释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E2</w:t>
            </w:r>
          </w:p>
        </w:tc>
        <w:tc>
          <w:tcPr>
            <w:tcW w:type="dxa" w:w="5018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random_summary.csv</w:t>
            </w:r>
          </w:p>
        </w:tc>
        <w:tc>
          <w:tcPr>
            <w:tcW w:type="dxa" w:w="4265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随机分层对照与Q5−Q1差；所属random_stratification_ablation_20261006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E3</w:t>
            </w:r>
          </w:p>
        </w:tc>
        <w:tc>
          <w:tcPr>
            <w:tcW w:type="dxa" w:w="5018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run_controlled_risk_distribution.py；panel_summary.csv</w:t>
            </w:r>
          </w:p>
        </w:tc>
        <w:tc>
          <w:tcPr>
            <w:tcW w:type="dxa" w:w="4265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固定测试量下改变风险构成；所属controlled_risk_distribution_20261005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E4</w:t>
            </w:r>
          </w:p>
        </w:tc>
        <w:tc>
          <w:tcPr>
            <w:tcW w:type="dxa" w:w="5018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state_validation.csv</w:t>
            </w:r>
          </w:p>
        </w:tc>
        <w:tc>
          <w:tcPr>
            <w:tcW w:type="dxa" w:w="4265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薄弱条件的新数据确认；犬类背向例子来自sixclass_independent_confirmation_20261004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E5</w:t>
            </w:r>
          </w:p>
        </w:tc>
        <w:tc>
          <w:tcPr>
            <w:tcW w:type="dxa" w:w="5018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summary.csv</w:t>
            </w:r>
          </w:p>
        </w:tc>
        <w:tc>
          <w:tcPr>
            <w:tcW w:type="dxa" w:w="4265"/>
            <w:vAlign w:val="center"/>
            <w:shd w:fill="EDF3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完整评分与仅面积对照；所属scale_only_confirmation_20261007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E6</w:t>
            </w:r>
          </w:p>
        </w:tc>
        <w:tc>
          <w:tcPr>
            <w:tcW w:type="dxa" w:w="5018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recent_five_models_research_log_20261009.md；run_recent_five_models.py</w:t>
            </w:r>
          </w:p>
        </w:tc>
        <w:tc>
          <w:tcPr>
            <w:tcW w:type="dxa" w:w="4265"/>
            <w:vAlign w:val="center"/>
            <w:shd w:fill="F7F9FA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近期五模型执行范围、结果及限制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微软雅黑"/>
          <w:b w:val="0"/>
          <w:sz w:val="21"/>
        </w:rPr>
        <w:t>结果表位于项目artifacts目录下对应实验文件夹的tables子目录；E4位于transfer/tables。协议与研究记录位于docs，代码位于scripts。本报告生成时直接读取E2–E5结果表核对所列数值，不重新训练模型或新增实验。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当前方法可以交付什么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一套把视觉状态转化为测试集合、再转化为条件能力报告的操作流程。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覆盖导向测试集与不同风险构成测试集，以及相应的状态支持记录。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模型在具体视觉状态下的识别表现、候选薄弱条件及新数据复查结果。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当前还不能据此宣称什么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没有证明覆盖率提高必然提升分类准确率，也没有证明已通过再训练修复薄弱条件。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双VLM提供自动状态描述；结构化格式成功、双来源一致或敏感性分析均不能替代完整人工语义验证。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风险层是类别内、候选池内的相对划分；不能直接当作跨类别绝对难度，更不能据此认定错误的因果根源。</w:t>
      </w:r>
    </w:p>
    <w:p>
      <w:pPr>
        <w:ind w:left="198" w:hanging="159"/>
      </w:pPr>
      <w:r>
        <w:rPr>
          <w:rFonts w:ascii="Microsoft YaHei" w:hAnsi="Microsoft YaHei" w:eastAsia="微软雅黑"/>
          <w:b w:val="0"/>
          <w:sz w:val="21"/>
        </w:rPr>
        <w:t>• 重复抽样和训练种子不是新增独立架构；模型参数、样本量和数据来源也限制了结论的外推范围。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173653"/>
          <w:sz w:val="24"/>
        </w:rPr>
        <w:t>面向论文的贡献表述</w:t>
      </w:r>
    </w:p>
    <w:p>
      <w:r>
        <w:rPr>
          <w:rFonts w:ascii="Microsoft YaHei" w:hAnsi="Microsoft YaHei" w:eastAsia="微软雅黑"/>
          <w:b w:val="0"/>
          <w:sz w:val="21"/>
        </w:rPr>
        <w:t>本文研究显式视觉状态在多类别模型测试中的作用：以状态覆盖组织测试证据，以类别内风险分层比较测试条件，以新数据复查候选薄弱条件。实证结果说明测试条件构成会影响模型的测得表现，条件报告可补充总体指标；增量优势与适用范围需结合对照、负结果及自动标注局限讨论。</w:t>
      </w:r>
    </w:p>
    <w:p>
      <w:r>
        <w:rPr>
          <w:rFonts w:ascii="Microsoft YaHei" w:hAnsi="Microsoft YaHei" w:eastAsia="微软雅黑"/>
          <w:b w:val="0"/>
          <w:sz w:val="21"/>
        </w:rPr>
        <w:t>这是一项可解释测试组织与条件诊断的实证工作。上述表述概括当前证据能够支持的贡献；对新颖性与可发表性的判断仍需结合更完整的相关工作比较。</w:t>
      </w:r>
    </w:p>
    <w:sectPr w:rsidR="00FC693F" w:rsidRPr="0006063C" w:rsidSect="00034616">
      <w:pgSz w:w="11906" w:h="16838"/>
      <w:pgMar w:top="907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color w:val="55616D"/>
        <w:sz w:val="16"/>
      </w:rPr>
      <w:t xml:space="preserve">2026-10-11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b w:val="0"/>
        <w:color w:val="55616D"/>
        <w:sz w:val="17"/>
      </w:rPr>
      <w:t>QE研究方法说明 · 老师审阅版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torage.googleapis.com/openimages/web/download_v7.html" TargetMode="External"/><Relationship Id="rId13" Type="http://schemas.openxmlformats.org/officeDocument/2006/relationships/hyperlink" Target="https://arxiv.org/abs/1405.0312" TargetMode="External"/><Relationship Id="rId14" Type="http://schemas.openxmlformats.org/officeDocument/2006/relationships/hyperlink" Target="https://www.robots.ox.ac.uk/~vgg/projects/pascal/VOC/voc2007/index.html" TargetMode="External"/><Relationship Id="rId15" Type="http://schemas.openxmlformats.org/officeDocument/2006/relationships/hyperlink" Target="https://www.robots.ox.ac.uk/~vgg/projects/pascal/VOC/voc2012/index.html" TargetMode="External"/><Relationship Id="rId16" Type="http://schemas.openxmlformats.org/officeDocument/2006/relationships/hyperlink" Target="https://www.objects365.org/overview.html" TargetMode="External"/><Relationship Id="rId17" Type="http://schemas.openxmlformats.org/officeDocument/2006/relationships/hyperlink" Target="https://web.cs.ucla.edu/~miryung/Publications/fse2020-testingdeeplearning.pdf" TargetMode="External"/><Relationship Id="rId18" Type="http://schemas.openxmlformats.org/officeDocument/2006/relationships/hyperlink" Target="https://doi.org/10.1145/3368089.3409754" TargetMode="External"/><Relationship Id="rId19" Type="http://schemas.openxmlformats.org/officeDocument/2006/relationships/hyperlink" Target="https://doi.org/10.1145/3576040" TargetMode="External"/><Relationship Id="rId20" Type="http://schemas.openxmlformats.org/officeDocument/2006/relationships/hyperlink" Target="https://www.cs.virginia.edu/~soffa/research/dissertations/swaroopa_thesis.pdf" TargetMode="External"/><Relationship Id="rId21" Type="http://schemas.openxmlformats.org/officeDocument/2006/relationships/hyperlink" Target="https://arxiv.org/abs/2203.149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视觉状态驱动的多类别模型测试方法</dc:title>
  <dc:subject>当前研究方法、总体框架与实证依据（老师审阅版）</dc:subject>
  <dc:creator>QE项目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