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230DD">
      <w:pPr>
        <w:pStyle w:val="31"/>
        <w:spacing w:before="0" w:after="100"/>
        <w:rPr>
          <w:rFonts w:hint="eastAsia" w:ascii="黑体" w:hAnsi="黑体" w:eastAsia="黑体" w:cs="黑体"/>
        </w:rPr>
      </w:pPr>
      <w:r>
        <w:rPr>
          <w:rFonts w:hint="eastAsia" w:ascii="黑体" w:hAnsi="黑体" w:eastAsia="黑体" w:cs="黑体"/>
        </w:rPr>
        <w:t>3 研究方法</w:t>
      </w:r>
    </w:p>
    <w:p w14:paraId="5F733F15">
      <w:pPr>
        <w:keepLines/>
        <w:spacing w:after="100" w:line="312" w:lineRule="auto"/>
        <w:ind w:firstLine="425"/>
      </w:pPr>
      <w:r>
        <w:rPr>
          <w:rFonts w:ascii="Times New Roman" w:hAnsi="Times New Roman" w:eastAsia="宋体"/>
          <w:b w:val="0"/>
          <w:sz w:val="22"/>
        </w:rPr>
        <w:t>本文构建视觉状态驱动的多类别图像分类模型测试框架，以目标的可见视觉条件组织测试样本，并将模型预测转化为条件能力报告。总体流程如图1所示，包含目标样本构建、视觉状态表示、覆盖引导选样、风险引导组织和视觉条件评价。覆盖路线描述各状态获得的测试支持，风险路线组织不同挑战程度的测试条件；两条路线共同使用结构化状态，分别承担证据分布描述和条件比较的作用。</w:t>
      </w:r>
    </w:p>
    <w:p w14:paraId="3FDB4EEB">
      <w:pPr>
        <w:keepNext/>
        <w:jc w:val="center"/>
      </w:pPr>
      <w:r>
        <w:drawing>
          <wp:inline distT="0" distB="0" distL="114300" distR="114300">
            <wp:extent cx="6110605" cy="2242820"/>
            <wp:effectExtent l="0" t="0" r="10795" b="177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6110605" cy="2242820"/>
                    </a:xfrm>
                    <a:prstGeom prst="rect">
                      <a:avLst/>
                    </a:prstGeom>
                    <a:noFill/>
                    <a:ln>
                      <a:noFill/>
                    </a:ln>
                  </pic:spPr>
                </pic:pic>
              </a:graphicData>
            </a:graphic>
          </wp:inline>
        </w:drawing>
      </w:r>
    </w:p>
    <w:p w14:paraId="12548379">
      <w:pPr>
        <w:keepLines/>
        <w:spacing w:after="100" w:line="312" w:lineRule="auto"/>
      </w:pPr>
      <w:r>
        <w:rPr>
          <w:rFonts w:ascii="Times New Roman" w:hAnsi="Times New Roman" w:eastAsia="宋体"/>
          <w:b w:val="0"/>
          <w:sz w:val="18"/>
        </w:rPr>
        <w:t>图1　视觉状态驱动的模型测试总体框架。官方标注提供目标框与类别真值，双VLM分别产生结构化状态，程序补充目标尺度。视觉状态用于覆盖引导选样和类别内风险组织。分类模型预测与真实类别、视觉状态关联后，输出各状态识别表现及需重点测试的条件。图中图像和状态标签为示意。</w:t>
      </w:r>
    </w:p>
    <w:p w14:paraId="439D839F">
      <w:pPr>
        <w:pStyle w:val="3"/>
        <w:spacing w:before="180" w:after="100"/>
        <w:rPr>
          <w:rFonts w:hint="eastAsia" w:ascii="黑体" w:hAnsi="黑体" w:eastAsia="黑体" w:cs="黑体"/>
        </w:rPr>
      </w:pPr>
      <w:r>
        <w:rPr>
          <w:rFonts w:hint="eastAsia" w:ascii="黑体" w:hAnsi="黑体" w:eastAsia="黑体" w:cs="黑体"/>
        </w:rPr>
        <w:t>3.1 问题定义与信息分工</w:t>
      </w:r>
    </w:p>
    <w:p w14:paraId="3DCD3C22">
      <w:pPr>
        <w:keepLines/>
        <w:spacing w:after="100" w:line="312" w:lineRule="auto"/>
        <w:ind w:firstLine="425"/>
      </w:pPr>
      <w:r>
        <w:rPr>
          <w:rFonts w:ascii="Times New Roman" w:hAnsi="Times New Roman" w:eastAsia="宋体"/>
          <w:b w:val="0"/>
          <w:sz w:val="22"/>
        </w:rPr>
        <w:t>设候选目标集合为</w:t>
      </w:r>
      <m:oMath>
        <m:r>
          <m:rPr/>
          <w:rPr>
            <w:rFonts w:ascii="Cambria Math" w:hAnsi="Cambria Math"/>
            <w:sz w:val="22"/>
          </w:rPr>
          <m:t>P</m:t>
        </m:r>
      </m:oMath>
      <w:r>
        <w:rPr>
          <w:rFonts w:ascii="Times New Roman" w:hAnsi="Times New Roman" w:eastAsia="宋体"/>
          <w:b w:val="0"/>
          <w:sz w:val="22"/>
        </w:rPr>
        <w:t>，每个目标由原始图像</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、官方目标框</w:t>
      </w:r>
      <m:oMath>
        <m:sSub>
          <m:sSubPr/>
          <m:e>
            <m:r>
              <m:rPr/>
              <w:rPr>
                <w:rFonts w:ascii="Cambria Math" w:hAnsi="Cambria Math"/>
                <w:sz w:val="22"/>
              </w:rPr>
              <m:t>b</m:t>
            </m:r>
          </m:e>
          <m:sub>
            <m:r>
              <m:rPr/>
              <w:rPr>
                <w:rFonts w:ascii="Cambria Math" w:hAnsi="Cambria Math"/>
                <w:sz w:val="22"/>
              </w:rPr>
              <m:t>i</m:t>
            </m:r>
          </m:sub>
        </m:sSub>
      </m:oMath>
      <w:r>
        <w:rPr>
          <w:rFonts w:ascii="Times New Roman" w:hAnsi="Times New Roman" w:eastAsia="宋体"/>
          <w:b w:val="0"/>
          <w:sz w:val="22"/>
        </w:rPr>
        <w:t>及类别标签</w:t>
      </w:r>
      <m:oMath>
        <m:sSub>
          <m:sSubPr/>
          <m:e>
            <m:r>
              <m:rPr/>
              <w:rPr>
                <w:rFonts w:ascii="Cambria Math" w:hAnsi="Cambria Math"/>
                <w:sz w:val="22"/>
              </w:rPr>
              <m:t>y</m:t>
            </m:r>
          </m:e>
          <m:sub>
            <m:r>
              <m:rPr/>
              <w:rPr>
                <w:rFonts w:ascii="Cambria Math" w:hAnsi="Cambria Math"/>
                <w:sz w:val="22"/>
              </w:rPr>
              <m:t>i</m:t>
            </m:r>
          </m:sub>
        </m:sSub>
      </m:oMath>
      <w:r>
        <w:rPr>
          <w:rFonts w:ascii="Times New Roman" w:hAnsi="Times New Roman" w:eastAsia="宋体"/>
          <w:b w:val="0"/>
          <w:sz w:val="22"/>
        </w:rPr>
        <w:t>组成。类别集合包含犬、猫、马、羊、人和车，类别数记为</w:t>
      </w:r>
      <m:oMath>
        <m:r>
          <m:rPr/>
          <w:rPr>
            <w:rFonts w:ascii="Cambria Math" w:hAnsi="Cambria Math"/>
            <w:sz w:val="22"/>
          </w:rPr>
          <m:t>K</m:t>
        </m:r>
      </m:oMath>
      <w:r>
        <w:rPr>
          <w:rFonts w:ascii="Times New Roman" w:hAnsi="Times New Roman" w:eastAsia="宋体"/>
          <w:b w:val="0"/>
          <w:sz w:val="22"/>
        </w:rPr>
        <w:t>，当前实现中</w:t>
      </w:r>
      <m:oMath>
        <m:r>
          <m:rPr/>
          <w:rPr>
            <w:rFonts w:ascii="Cambria Math" w:hAnsi="Cambria Math"/>
            <w:sz w:val="22"/>
          </w:rPr>
          <m:t>K</m:t>
        </m:r>
        <m:r>
          <m:rPr>
            <m:sty m:val="p"/>
          </m:rPr>
          <w:rPr>
            <w:rFonts w:ascii="Cambria Math" w:hAnsi="Cambria Math"/>
            <w:sz w:val="22"/>
          </w:rPr>
          <m:t>=</m:t>
        </m:r>
        <m:r>
          <m:rPr/>
          <w:rPr>
            <w:rFonts w:ascii="Cambria Math" w:hAnsi="Cambria Math"/>
            <w:sz w:val="22"/>
          </w:rPr>
          <m:t>6</m:t>
        </m:r>
      </m:oMath>
      <w:r>
        <w:rPr>
          <w:rFonts w:ascii="Times New Roman" w:hAnsi="Times New Roman" w:eastAsia="宋体"/>
          <w:b w:val="0"/>
          <w:sz w:val="22"/>
        </w:rPr>
        <w:t>。根据目标框生成原图、目标框标记图和裁剪图；被测分类器使用经既定预处理后的目标裁剪图</w:t>
      </w:r>
      <m:oMath>
        <m:sSub>
          <m:sSubPr/>
          <m:e>
            <m:r>
              <m:rPr/>
              <w:rPr>
                <w:rFonts w:ascii="Cambria Math" w:hAnsi="Cambria Math"/>
                <w:sz w:val="22"/>
              </w:rPr>
              <m:t>x</m:t>
            </m:r>
          </m:e>
          <m:sub>
            <m:r>
              <m:rPr/>
              <w:rPr>
                <w:rFonts w:ascii="Cambria Math" w:hAnsi="Cambria Math"/>
                <w:sz w:val="22"/>
              </w:rPr>
              <m:t>i</m:t>
            </m:r>
          </m:sub>
        </m:sSub>
      </m:oMath>
      <w:r>
        <w:rPr>
          <w:rFonts w:ascii="Times New Roman" w:hAnsi="Times New Roman" w:eastAsia="宋体"/>
          <w:b w:val="0"/>
          <w:sz w:val="22"/>
        </w:rPr>
        <w:t>。</w:t>
      </w:r>
    </w:p>
    <w:p w14:paraId="6C011176">
      <w:pPr>
        <w:keepLines/>
        <w:spacing w:after="100" w:line="312" w:lineRule="auto"/>
        <w:ind w:firstLine="425"/>
      </w:pPr>
      <w:r>
        <w:rPr>
          <w:rFonts w:ascii="Times New Roman" w:hAnsi="Times New Roman" w:eastAsia="宋体"/>
          <w:b w:val="0"/>
          <w:sz w:val="22"/>
        </w:rPr>
        <w:t>本研究评价已知目标区域上的多类别分类行为。官方类别标签作为分类真值，视觉语言模型（VLM）提供状态描述，被测分类器提供类别预测。三类信息分别用于确定分类对错、组织测试条件和评价模型行为。VLM提示可获得类别信息，其状态输出不作为独立识别结果，也不替代官方真值。</w:t>
      </w:r>
    </w:p>
    <w:p w14:paraId="6A0F6F5B">
      <w:pPr>
        <w:keepLines/>
        <w:spacing w:after="100" w:line="312" w:lineRule="auto"/>
        <w:ind w:firstLine="425"/>
      </w:pPr>
      <w:r>
        <w:rPr>
          <w:rFonts w:ascii="Times New Roman" w:hAnsi="Times New Roman" w:eastAsia="宋体"/>
          <w:b w:val="0"/>
          <w:sz w:val="22"/>
        </w:rPr>
        <w:t>记被测模型为</w:t>
      </w:r>
      <m:oMath>
        <m:sSub>
          <m:sSubPr/>
          <m:e>
            <m:r>
              <m:rPr/>
              <w:rPr>
                <w:rFonts w:ascii="Cambria Math" w:hAnsi="Cambria Math"/>
                <w:sz w:val="22"/>
              </w:rPr>
              <m:t>f</m:t>
            </m:r>
          </m:e>
          <m:sub>
            <m:r>
              <m:rPr/>
              <w:rPr>
                <w:rFonts w:ascii="Cambria Math" w:hAnsi="Cambria Math"/>
                <w:sz w:val="22"/>
              </w:rPr>
              <m:t>θ</m:t>
            </m:r>
          </m:sub>
        </m:sSub>
      </m:oMath>
      <w:r>
        <w:rPr>
          <w:rFonts w:ascii="Times New Roman" w:hAnsi="Times New Roman" w:eastAsia="宋体"/>
          <w:b w:val="0"/>
          <w:sz w:val="22"/>
        </w:rPr>
        <w:t>，测试阶段在模型参数与推理处理一致的条件下比较不同测试集合。每个目标对应的预测可预先计算并复用，改变状态来源或测试组织不改变该目标的分类结果。方法输出为按模型、类别与视觉状态组织的条件能力报告，而非新的分类器参数。</w:t>
      </w:r>
    </w:p>
    <w:p w14:paraId="6EFB7B4B">
      <w:pPr>
        <w:keepNext w:val="0"/>
        <w:keepLines/>
        <w:spacing w:after="100" w:line="312" w:lineRule="auto"/>
        <w:ind w:firstLine="425"/>
      </w:pPr>
      <w:r>
        <w:rPr>
          <w:rFonts w:ascii="Times New Roman" w:hAnsi="Times New Roman" w:eastAsia="宋体"/>
          <w:b w:val="0"/>
          <w:sz w:val="22"/>
        </w:rPr>
        <w:t>主要符号及含义见表1，后文沿用同一记号。</w:t>
      </w:r>
    </w:p>
    <w:p w14:paraId="19E6ABAA">
      <w:pPr>
        <w:keepNext/>
        <w:keepLines/>
        <w:spacing w:after="100" w:line="312" w:lineRule="auto"/>
        <w:ind w:firstLine="0"/>
      </w:pPr>
      <w:r>
        <w:rPr>
          <w:rFonts w:ascii="Times New Roman" w:hAnsi="Times New Roman" w:eastAsia="宋体"/>
          <w:b w:val="0"/>
          <w:sz w:val="18"/>
        </w:rPr>
        <w:t>表1　主要符号及含义。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15"/>
        <w:gridCol w:w="6123"/>
      </w:tblGrid>
      <w:tr w14:paraId="3BD15064">
        <w:trPr>
          <w:cantSplit/>
          <w:tblHeader/>
          <w:jc w:val="center"/>
        </w:trPr>
        <w:tc>
          <w:tcPr>
            <w:tcW w:w="4819" w:type="dxa"/>
            <w:vAlign w:val="center"/>
          </w:tcPr>
          <w:p w14:paraId="71F57029">
            <w:pPr>
              <w:spacing w:after="60" w:line="264" w:lineRule="auto"/>
              <w:jc w:val="center"/>
            </w:pPr>
            <w:r>
              <w:rPr>
                <w:rFonts w:ascii="Times New Roman" w:hAnsi="Times New Roman" w:eastAsia="宋体"/>
                <w:b/>
                <w:sz w:val="19"/>
              </w:rPr>
              <w:t>符号</w:t>
            </w:r>
          </w:p>
        </w:tc>
        <w:tc>
          <w:tcPr>
            <w:tcW w:w="4819" w:type="dxa"/>
            <w:vAlign w:val="center"/>
          </w:tcPr>
          <w:p w14:paraId="65B13D11">
            <w:pPr>
              <w:spacing w:after="60" w:line="264" w:lineRule="auto"/>
              <w:jc w:val="center"/>
            </w:pPr>
            <w:r>
              <w:rPr>
                <w:rFonts w:ascii="Times New Roman" w:hAnsi="Times New Roman" w:eastAsia="宋体"/>
                <w:b/>
                <w:sz w:val="19"/>
              </w:rPr>
              <w:t>含义</w:t>
            </w:r>
          </w:p>
        </w:tc>
      </w:tr>
      <w:tr w14:paraId="318E4A01">
        <w:trPr>
          <w:cantSplit/>
          <w:jc w:val="center"/>
        </w:trPr>
        <w:tc>
          <w:tcPr>
            <w:tcW w:w="4819" w:type="dxa"/>
            <w:vAlign w:val="center"/>
          </w:tcPr>
          <w:p w14:paraId="475B8AF1">
            <w:pPr>
              <w:spacing w:after="60" w:line="264" w:lineRule="auto"/>
              <w:jc w:val="center"/>
            </w:pPr>
            <m:oMathPara>
              <m:oMath>
                <m:r>
                  <m:rPr/>
                  <w:rPr>
                    <w:rFonts w:ascii="Cambria Math" w:hAnsi="Cambria Math"/>
                    <w:sz w:val="19"/>
                  </w:rPr>
                  <m:t>P</m:t>
                </m:r>
              </m:oMath>
            </m:oMathPara>
          </w:p>
        </w:tc>
        <w:tc>
          <w:tcPr>
            <w:tcW w:w="4819" w:type="dxa"/>
            <w:vAlign w:val="center"/>
          </w:tcPr>
          <w:p w14:paraId="3671A3F1">
            <w:pPr>
              <w:spacing w:after="60" w:line="264" w:lineRule="auto"/>
              <w:jc w:val="center"/>
            </w:pPr>
            <w:r>
              <w:rPr>
                <w:rFonts w:ascii="Times New Roman" w:hAnsi="Times New Roman" w:eastAsia="宋体"/>
                <w:b w:val="0"/>
                <w:sz w:val="19"/>
              </w:rPr>
              <w:t>候选目标集合。</w:t>
            </w:r>
          </w:p>
        </w:tc>
      </w:tr>
      <w:tr w14:paraId="7311D094">
        <w:trPr>
          <w:cantSplit/>
          <w:jc w:val="center"/>
        </w:trPr>
        <w:tc>
          <w:tcPr>
            <w:tcW w:w="4819" w:type="dxa"/>
            <w:vAlign w:val="center"/>
          </w:tcPr>
          <w:p w14:paraId="0112CB43">
            <w:pPr>
              <w:spacing w:after="60" w:line="264" w:lineRule="auto"/>
              <w:jc w:val="center"/>
            </w:pPr>
            <m:oMath>
              <m:sSub>
                <m:sSubPr/>
                <m:e>
                  <m:r>
                    <m:rPr/>
                    <w:rPr>
                      <w:rFonts w:ascii="Cambria Math" w:hAnsi="Cambria Math"/>
                      <w:sz w:val="19"/>
                    </w:rPr>
                    <m:t>I</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M</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V</m:t>
                  </m:r>
                </m:e>
                <m:sub>
                  <m:r>
                    <m:rPr/>
                    <w:rPr>
                      <w:rFonts w:ascii="Cambria Math" w:hAnsi="Cambria Math"/>
                      <w:sz w:val="19"/>
                    </w:rPr>
                    <m:t>i</m:t>
                  </m:r>
                </m:sub>
              </m:sSub>
            </m:oMath>
          </w:p>
        </w:tc>
        <w:tc>
          <w:tcPr>
            <w:tcW w:w="4819" w:type="dxa"/>
            <w:vAlign w:val="center"/>
          </w:tcPr>
          <w:p w14:paraId="43601956">
            <w:pPr>
              <w:spacing w:after="60" w:line="264" w:lineRule="auto"/>
              <w:jc w:val="center"/>
            </w:pPr>
            <w:r>
              <w:rPr>
                <w:rFonts w:ascii="Times New Roman" w:hAnsi="Times New Roman" w:eastAsia="宋体"/>
                <w:b w:val="0"/>
                <w:sz w:val="19"/>
              </w:rPr>
              <w:t>第</w:t>
            </w:r>
            <m:oMath>
              <m:r>
                <m:rPr/>
                <w:rPr>
                  <w:rFonts w:ascii="Cambria Math" w:hAnsi="Cambria Math"/>
                  <w:sz w:val="19"/>
                </w:rPr>
                <m:t>i</m:t>
              </m:r>
            </m:oMath>
            <w:r>
              <w:rPr>
                <w:rFonts w:ascii="Times New Roman" w:hAnsi="Times New Roman" w:eastAsia="宋体"/>
                <w:b w:val="0"/>
                <w:sz w:val="19"/>
              </w:rPr>
              <w:t>个目标的原图、目标框标记图与放大裁剪图。</w:t>
            </w:r>
          </w:p>
        </w:tc>
      </w:tr>
      <w:tr w14:paraId="169492BA">
        <w:trPr>
          <w:cantSplit/>
          <w:jc w:val="center"/>
        </w:trPr>
        <w:tc>
          <w:tcPr>
            <w:tcW w:w="4819" w:type="dxa"/>
            <w:vAlign w:val="center"/>
          </w:tcPr>
          <w:p w14:paraId="3D5D3A9B">
            <w:pPr>
              <w:spacing w:after="60" w:line="264" w:lineRule="auto"/>
              <w:jc w:val="center"/>
            </w:pPr>
            <m:oMath>
              <m:sSub>
                <m:sSubPr/>
                <m:e>
                  <m:r>
                    <m:rPr/>
                    <w:rPr>
                      <w:rFonts w:ascii="Cambria Math" w:hAnsi="Cambria Math"/>
                      <w:sz w:val="19"/>
                    </w:rPr>
                    <m:t>b</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y</m:t>
                  </m:r>
                </m:e>
                <m:sub>
                  <m:r>
                    <m:rPr/>
                    <w:rPr>
                      <w:rFonts w:ascii="Cambria Math" w:hAnsi="Cambria Math"/>
                      <w:sz w:val="19"/>
                    </w:rPr>
                    <m:t>i</m:t>
                  </m:r>
                </m:sub>
              </m:sSub>
            </m:oMath>
            <w:r>
              <w:rPr>
                <w:rFonts w:ascii="Times New Roman" w:hAnsi="Times New Roman" w:eastAsia="宋体"/>
                <w:b w:val="0"/>
                <w:sz w:val="19"/>
              </w:rPr>
              <w:t>、</w:t>
            </w:r>
            <m:oMath>
              <m:sSub>
                <m:sSubPr/>
                <m:e>
                  <m:r>
                    <m:rPr/>
                    <w:rPr>
                      <w:rFonts w:ascii="Cambria Math" w:hAnsi="Cambria Math"/>
                      <w:sz w:val="19"/>
                    </w:rPr>
                    <m:t>x</m:t>
                  </m:r>
                </m:e>
                <m:sub>
                  <m:r>
                    <m:rPr/>
                    <w:rPr>
                      <w:rFonts w:ascii="Cambria Math" w:hAnsi="Cambria Math"/>
                      <w:sz w:val="19"/>
                    </w:rPr>
                    <m:t>i</m:t>
                  </m:r>
                </m:sub>
              </m:sSub>
            </m:oMath>
          </w:p>
        </w:tc>
        <w:tc>
          <w:tcPr>
            <w:tcW w:w="4819" w:type="dxa"/>
            <w:vAlign w:val="center"/>
          </w:tcPr>
          <w:p w14:paraId="24C5AC6C">
            <w:pPr>
              <w:spacing w:after="60" w:line="264" w:lineRule="auto"/>
              <w:jc w:val="center"/>
            </w:pPr>
            <w:r>
              <w:rPr>
                <w:rFonts w:ascii="Times New Roman" w:hAnsi="Times New Roman" w:eastAsia="宋体"/>
                <w:b w:val="0"/>
                <w:sz w:val="19"/>
              </w:rPr>
              <w:t>官方目标框、类别真值与分类器预处理后的目标裁剪图。</w:t>
            </w:r>
          </w:p>
        </w:tc>
      </w:tr>
      <w:tr w14:paraId="3AB11B06">
        <w:trPr>
          <w:cantSplit/>
          <w:jc w:val="center"/>
        </w:trPr>
        <w:tc>
          <w:tcPr>
            <w:tcW w:w="4819" w:type="dxa"/>
            <w:vAlign w:val="center"/>
          </w:tcPr>
          <w:p w14:paraId="5A9DCC83">
            <w:pPr>
              <w:spacing w:after="60" w:line="264" w:lineRule="auto"/>
              <w:jc w:val="center"/>
            </w:pPr>
            <m:oMath>
              <m:r>
                <m:rPr/>
                <w:rPr>
                  <w:rFonts w:ascii="Cambria Math" w:hAnsi="Cambria Math"/>
                  <w:sz w:val="19"/>
                </w:rPr>
                <m:t>c</m:t>
              </m:r>
            </m:oMath>
            <w:r>
              <w:rPr>
                <w:rFonts w:ascii="Times New Roman" w:hAnsi="Times New Roman" w:eastAsia="宋体"/>
                <w:b w:val="0"/>
                <w:sz w:val="19"/>
              </w:rPr>
              <w:t>、</w:t>
            </w:r>
            <m:oMath>
              <m:r>
                <m:rPr/>
                <w:rPr>
                  <w:rFonts w:ascii="Cambria Math" w:hAnsi="Cambria Math"/>
                  <w:sz w:val="19"/>
                </w:rPr>
                <m:t>K</m:t>
              </m:r>
            </m:oMath>
          </w:p>
        </w:tc>
        <w:tc>
          <w:tcPr>
            <w:tcW w:w="4819" w:type="dxa"/>
            <w:vAlign w:val="center"/>
          </w:tcPr>
          <w:p w14:paraId="7C79AEA6">
            <w:pPr>
              <w:spacing w:after="60" w:line="264" w:lineRule="auto"/>
              <w:jc w:val="center"/>
            </w:pPr>
            <w:r>
              <w:rPr>
                <w:rFonts w:ascii="Times New Roman" w:hAnsi="Times New Roman" w:eastAsia="宋体"/>
                <w:b w:val="0"/>
                <w:sz w:val="19"/>
              </w:rPr>
              <w:t>真实类别索引与类别数。</w:t>
            </w:r>
          </w:p>
        </w:tc>
      </w:tr>
      <w:tr w14:paraId="2F9F4E83">
        <w:trPr>
          <w:cantSplit/>
          <w:jc w:val="center"/>
        </w:trPr>
        <w:tc>
          <w:tcPr>
            <w:tcW w:w="4819" w:type="dxa"/>
            <w:vAlign w:val="center"/>
          </w:tcPr>
          <w:p w14:paraId="202D6607">
            <w:pPr>
              <w:spacing w:after="60" w:line="264" w:lineRule="auto"/>
              <w:jc w:val="center"/>
            </w:pPr>
            <m:oMath>
              <m:r>
                <m:rPr/>
                <w:rPr>
                  <w:rFonts w:ascii="Cambria Math" w:hAnsi="Cambria Math"/>
                  <w:sz w:val="19"/>
                </w:rPr>
                <m:t>r</m:t>
              </m:r>
            </m:oMath>
            <w:r>
              <w:rPr>
                <w:rFonts w:ascii="Times New Roman" w:hAnsi="Times New Roman" w:eastAsia="宋体"/>
                <w:b w:val="0"/>
                <w:sz w:val="19"/>
              </w:rPr>
              <w:t>、</w:t>
            </w:r>
            <m:oMath>
              <m:sSub>
                <m:sSubPr/>
                <m:e>
                  <m:r>
                    <m:rPr/>
                    <w:rPr>
                      <w:rFonts w:ascii="Cambria Math" w:hAnsi="Cambria Math"/>
                      <w:sz w:val="19"/>
                    </w:rPr>
                    <m:t>ϕ</m:t>
                  </m:r>
                </m:e>
                <m:sub>
                  <m:r>
                    <m:rPr/>
                    <w:rPr>
                      <w:rFonts w:ascii="Cambria Math" w:hAnsi="Cambria Math"/>
                      <w:sz w:val="19"/>
                    </w:rPr>
                    <m:t>r</m:t>
                  </m:r>
                </m:sub>
              </m:sSub>
            </m:oMath>
            <w:r>
              <w:rPr>
                <w:rFonts w:ascii="Times New Roman" w:hAnsi="Times New Roman" w:eastAsia="宋体"/>
                <w:b w:val="0"/>
                <w:sz w:val="19"/>
              </w:rPr>
              <w:t>、</w:t>
            </w:r>
            <m:oMath>
              <m:sSubSup>
                <m:sSubSupPr/>
                <m:e>
                  <m:r>
                    <m:rPr/>
                    <w:rPr>
                      <w:rFonts w:ascii="Cambria Math" w:hAnsi="Cambria Math"/>
                      <w:sz w:val="19"/>
                    </w:rPr>
                    <m:t>z</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03ABDB76">
            <w:pPr>
              <w:spacing w:after="60" w:line="264" w:lineRule="auto"/>
              <w:jc w:val="center"/>
            </w:pPr>
            <w:r>
              <w:rPr>
                <w:rFonts w:ascii="Times New Roman" w:hAnsi="Times New Roman" w:eastAsia="宋体"/>
                <w:b w:val="0"/>
                <w:sz w:val="19"/>
              </w:rPr>
              <w:t>标注来源、对应状态描述器及目标的结构化状态输出。</w:t>
            </w:r>
          </w:p>
        </w:tc>
      </w:tr>
      <w:tr w14:paraId="5B0BD46C">
        <w:trPr>
          <w:cantSplit/>
          <w:jc w:val="center"/>
        </w:trPr>
        <w:tc>
          <w:tcPr>
            <w:tcW w:w="4819" w:type="dxa"/>
            <w:vAlign w:val="center"/>
          </w:tcPr>
          <w:p w14:paraId="7D8FE241">
            <w:pPr>
              <w:spacing w:after="60" w:line="264" w:lineRule="auto"/>
              <w:jc w:val="center"/>
            </w:pPr>
            <m:oMathPara>
              <m:oMath>
                <m:sSubSup>
                  <m:sSubSupPr/>
                  <m:e>
                    <m:r>
                      <m:rPr/>
                      <w:rPr>
                        <w:rFonts w:ascii="Cambria Math" w:hAnsi="Cambria Math"/>
                        <w:sz w:val="19"/>
                      </w:rPr>
                      <m:t>A</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m:oMathPara>
          </w:p>
        </w:tc>
        <w:tc>
          <w:tcPr>
            <w:tcW w:w="4819" w:type="dxa"/>
            <w:vAlign w:val="center"/>
          </w:tcPr>
          <w:p w14:paraId="15B1F8C9">
            <w:pPr>
              <w:spacing w:after="60" w:line="264" w:lineRule="auto"/>
              <w:jc w:val="center"/>
            </w:pPr>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下目标</w:t>
            </w:r>
            <m:oMath>
              <m:r>
                <m:rPr/>
                <w:rPr>
                  <w:rFonts w:ascii="Cambria Math" w:hAnsi="Cambria Math"/>
                  <w:sz w:val="19"/>
                </w:rPr>
                <m:t>i</m:t>
              </m:r>
            </m:oMath>
            <w:r>
              <w:rPr>
                <w:rFonts w:ascii="Times New Roman" w:hAnsi="Times New Roman" w:eastAsia="宋体"/>
                <w:b w:val="0"/>
                <w:sz w:val="19"/>
              </w:rPr>
              <w:t>激活的已知视觉状态集合。</w:t>
            </w:r>
          </w:p>
        </w:tc>
      </w:tr>
      <w:tr w14:paraId="5AEBCA0E">
        <w:trPr>
          <w:cantSplit/>
          <w:jc w:val="center"/>
        </w:trPr>
        <w:tc>
          <w:tcPr>
            <w:tcW w:w="4819" w:type="dxa"/>
            <w:vAlign w:val="center"/>
          </w:tcPr>
          <w:p w14:paraId="0F132063">
            <w:pPr>
              <w:spacing w:after="60" w:line="264" w:lineRule="auto"/>
              <w:jc w:val="center"/>
            </w:pPr>
            <m:oMathPara>
              <m:oMath>
                <m:sSub>
                  <m:sSubPr/>
                  <m:e>
                    <m:r>
                      <m:rPr/>
                      <w:rPr>
                        <w:rFonts w:ascii="Cambria Math" w:hAnsi="Cambria Math"/>
                        <w:sz w:val="19"/>
                      </w:rPr>
                      <m:t>U</m:t>
                    </m:r>
                  </m:e>
                  <m:sub>
                    <m:r>
                      <m:rPr/>
                      <w:rPr>
                        <w:rFonts w:ascii="Cambria Math" w:hAnsi="Cambria Math"/>
                        <w:sz w:val="19"/>
                      </w:rPr>
                      <m:t>c</m:t>
                    </m:r>
                  </m:sub>
                </m:sSub>
              </m:oMath>
            </m:oMathPara>
          </w:p>
        </w:tc>
        <w:tc>
          <w:tcPr>
            <w:tcW w:w="4819" w:type="dxa"/>
            <w:vAlign w:val="center"/>
          </w:tcPr>
          <w:p w14:paraId="59785C5F">
            <w:pPr>
              <w:spacing w:after="60" w:line="264" w:lineRule="auto"/>
              <w:jc w:val="center"/>
            </w:pPr>
            <w:r>
              <w:rPr>
                <w:rFonts w:ascii="Times New Roman" w:hAnsi="Times New Roman" w:eastAsia="宋体"/>
                <w:b w:val="0"/>
                <w:sz w:val="19"/>
              </w:rPr>
              <w:t>类别</w:t>
            </w:r>
            <m:oMath>
              <m:r>
                <m:rPr/>
                <w:rPr>
                  <w:rFonts w:ascii="Cambria Math" w:hAnsi="Cambria Math"/>
                  <w:sz w:val="19"/>
                </w:rPr>
                <m:t>c</m:t>
              </m:r>
            </m:oMath>
            <w:r>
              <w:rPr>
                <w:rFonts w:ascii="Times New Roman" w:hAnsi="Times New Roman" w:eastAsia="宋体"/>
                <w:b w:val="0"/>
                <w:sz w:val="19"/>
              </w:rPr>
              <w:t>内两来源观察到的已知状态并集，用于共同词表与分母。</w:t>
            </w:r>
          </w:p>
        </w:tc>
      </w:tr>
      <w:tr w14:paraId="7450B961">
        <w:trPr>
          <w:cantSplit/>
          <w:jc w:val="center"/>
        </w:trPr>
        <w:tc>
          <w:tcPr>
            <w:tcW w:w="4819" w:type="dxa"/>
            <w:vAlign w:val="center"/>
          </w:tcPr>
          <w:p w14:paraId="7AB534E2">
            <w:pPr>
              <w:spacing w:after="60" w:line="264" w:lineRule="auto"/>
              <w:jc w:val="center"/>
            </w:pPr>
            <m:oMath>
              <m:r>
                <m:rPr/>
                <w:rPr>
                  <w:rFonts w:ascii="Cambria Math" w:hAnsi="Cambria Math"/>
                  <w:sz w:val="19"/>
                </w:rPr>
                <m:t>S</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01FEBA01">
            <w:pPr>
              <w:spacing w:after="60" w:line="264" w:lineRule="auto"/>
              <w:jc w:val="center"/>
            </w:pPr>
            <w:r>
              <w:rPr>
                <w:rFonts w:ascii="Times New Roman" w:hAnsi="Times New Roman" w:eastAsia="宋体"/>
                <w:b w:val="0"/>
                <w:sz w:val="19"/>
              </w:rPr>
              <w:t>已选目标索引集合与用于评价的目标索引集合。</w:t>
            </w:r>
          </w:p>
        </w:tc>
      </w:tr>
      <w:tr w14:paraId="7F960F52">
        <w:trPr>
          <w:cantSplit/>
          <w:jc w:val="center"/>
        </w:trPr>
        <w:tc>
          <w:tcPr>
            <w:tcW w:w="4819" w:type="dxa"/>
            <w:vAlign w:val="center"/>
          </w:tcPr>
          <w:p w14:paraId="01B3014B">
            <w:pPr>
              <w:spacing w:after="60" w:line="264" w:lineRule="auto"/>
              <w:jc w:val="center"/>
            </w:pPr>
            <m:oMathPara>
              <m:oMath>
                <m:sSubSup>
                  <m:sSubSupPr/>
                  <m:e>
                    <m:r>
                      <m:rPr/>
                      <w:rPr>
                        <w:rFonts w:ascii="Cambria Math" w:hAnsi="Cambria Math"/>
                        <w:sz w:val="19"/>
                      </w:rPr>
                      <m:t>n</m:t>
                    </m:r>
                  </m:e>
                  <m:sub>
                    <m:r>
                      <m:rPr/>
                      <w:rPr>
                        <w:rFonts w:ascii="Cambria Math" w:hAnsi="Cambria Math"/>
                        <w:sz w:val="19"/>
                      </w:rPr>
                      <m:t>c</m:t>
                    </m:r>
                    <m:r>
                      <m:rPr>
                        <m:sty m:val="p"/>
                      </m:rPr>
                      <w:rPr>
                        <w:rFonts w:ascii="Cambria Math" w:hAnsi="Cambria Math"/>
                        <w:sz w:val="19"/>
                      </w:rPr>
                      <m:t>,</m:t>
                    </m:r>
                    <m:r>
                      <m:rPr/>
                      <w:rPr>
                        <w:rFonts w:ascii="Cambria Math" w:hAnsi="Cambria Math"/>
                        <w:sz w:val="19"/>
                      </w:rPr>
                      <m:t>s</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m:oMathPara>
          </w:p>
        </w:tc>
        <w:tc>
          <w:tcPr>
            <w:tcW w:w="4819" w:type="dxa"/>
            <w:vAlign w:val="center"/>
          </w:tcPr>
          <w:p w14:paraId="79CBEF62">
            <w:pPr>
              <w:spacing w:after="60" w:line="264" w:lineRule="auto"/>
              <w:jc w:val="center"/>
            </w:pPr>
            <w:r>
              <w:rPr>
                <w:rFonts w:ascii="Times New Roman" w:hAnsi="Times New Roman" w:eastAsia="宋体"/>
                <w:b w:val="0"/>
                <w:sz w:val="19"/>
              </w:rPr>
              <w:t>已选集合中类别</w:t>
            </w:r>
            <m:oMath>
              <m:r>
                <m:rPr/>
                <w:rPr>
                  <w:rFonts w:ascii="Cambria Math" w:hAnsi="Cambria Math"/>
                  <w:sz w:val="19"/>
                </w:rPr>
                <m:t>c</m:t>
              </m:r>
            </m:oMath>
            <w:r>
              <w:rPr>
                <w:rFonts w:ascii="Times New Roman" w:hAnsi="Times New Roman" w:eastAsia="宋体"/>
                <w:b w:val="0"/>
                <w:sz w:val="19"/>
              </w:rPr>
              <w:t>、来源</w:t>
            </w:r>
            <m:oMath>
              <m:r>
                <m:rPr/>
                <w:rPr>
                  <w:rFonts w:ascii="Cambria Math" w:hAnsi="Cambria Math"/>
                  <w:sz w:val="19"/>
                </w:rPr>
                <m:t>r</m:t>
              </m:r>
            </m:oMath>
            <w:r>
              <w:rPr>
                <w:rFonts w:ascii="Times New Roman" w:hAnsi="Times New Roman" w:eastAsia="宋体"/>
                <w:b w:val="0"/>
                <w:sz w:val="19"/>
              </w:rPr>
              <w:t>、状态</w:t>
            </w:r>
            <m:oMath>
              <m:r>
                <m:rPr/>
                <w:rPr>
                  <w:rFonts w:ascii="Cambria Math" w:hAnsi="Cambria Math"/>
                  <w:sz w:val="19"/>
                </w:rPr>
                <m:t>s</m:t>
              </m:r>
            </m:oMath>
            <w:r>
              <w:rPr>
                <w:rFonts w:ascii="Times New Roman" w:hAnsi="Times New Roman" w:eastAsia="宋体"/>
                <w:b w:val="0"/>
                <w:sz w:val="19"/>
              </w:rPr>
              <w:t>的支持数。</w:t>
            </w:r>
          </w:p>
        </w:tc>
      </w:tr>
      <w:tr w14:paraId="2ABDEAE1">
        <w:trPr>
          <w:cantSplit/>
          <w:jc w:val="center"/>
        </w:trPr>
        <w:tc>
          <w:tcPr>
            <w:tcW w:w="4819" w:type="dxa"/>
            <w:vAlign w:val="center"/>
          </w:tcPr>
          <w:p w14:paraId="51AE095C">
            <w:pPr>
              <w:spacing w:after="60" w:line="264" w:lineRule="auto"/>
              <w:jc w:val="center"/>
            </w:pPr>
            <m:oMath>
              <m:sSubSup>
                <m:sSubSupPr/>
                <m:e>
                  <m:r>
                    <m:rPr/>
                    <w:rPr>
                      <w:rFonts w:ascii="Cambria Math" w:hAnsi="Cambria Math"/>
                      <w:sz w:val="19"/>
                    </w:rPr>
                    <m:t>C</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r>
              <w:rPr>
                <w:rFonts w:ascii="Times New Roman" w:hAnsi="Times New Roman" w:eastAsia="宋体"/>
                <w:b w:val="0"/>
                <w:sz w:val="19"/>
              </w:rPr>
              <w:t>、</w:t>
            </w:r>
            <m:oMath>
              <m:sSup>
                <m:sSupPr/>
                <m:e>
                  <m:r>
                    <m:rPr/>
                    <w:rPr>
                      <w:rFonts w:ascii="Cambria Math" w:hAnsi="Cambria Math"/>
                      <w:sz w:val="19"/>
                    </w:rPr>
                    <m:t>C</m:t>
                  </m:r>
                </m:e>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p>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06A17DB6">
            <w:pPr>
              <w:spacing w:after="60" w:line="264" w:lineRule="auto"/>
              <w:jc w:val="center"/>
            </w:pPr>
            <w:r>
              <w:rPr>
                <w:rFonts w:ascii="Times New Roman" w:hAnsi="Times New Roman" w:eastAsia="宋体"/>
                <w:b w:val="0"/>
                <w:sz w:val="19"/>
              </w:rPr>
              <w:t>类别内频次覆盖与类别宏平均覆盖。</w:t>
            </w:r>
          </w:p>
        </w:tc>
      </w:tr>
      <w:tr w14:paraId="4065298E">
        <w:trPr>
          <w:cantSplit/>
          <w:jc w:val="center"/>
        </w:trPr>
        <w:tc>
          <w:tcPr>
            <w:tcW w:w="4819" w:type="dxa"/>
            <w:vAlign w:val="center"/>
          </w:tcPr>
          <w:p w14:paraId="61712925">
            <w:pPr>
              <w:spacing w:after="60" w:line="264" w:lineRule="auto"/>
              <w:jc w:val="center"/>
            </w:pPr>
            <m:oMath>
              <m:r>
                <m:rPr/>
                <w:rPr>
                  <w:rFonts w:ascii="Cambria Math" w:hAnsi="Cambria Math"/>
                  <w:sz w:val="19"/>
                </w:rPr>
                <m:t>τ</m:t>
              </m:r>
            </m:oMath>
            <w:r>
              <w:rPr>
                <w:rFonts w:ascii="Times New Roman" w:hAnsi="Times New Roman" w:eastAsia="宋体"/>
                <w:b w:val="0"/>
                <w:sz w:val="19"/>
              </w:rPr>
              <w:t>、</w:t>
            </w:r>
            <m:oMath>
              <m:sSubSup>
                <m:sSubSupPr/>
                <m:e>
                  <m:r>
                    <m:rPr/>
                    <w:rPr>
                      <w:rFonts w:ascii="Cambria Math" w:hAnsi="Cambria Math"/>
                      <w:sz w:val="19"/>
                    </w:rPr>
                    <m:t>g</m:t>
                  </m:r>
                </m:e>
                <m:sub>
                  <m:r>
                    <m:rPr/>
                    <w:rPr>
                      <w:rFonts w:ascii="Cambria Math" w:hAnsi="Cambria Math"/>
                      <w:sz w:val="19"/>
                    </w:rPr>
                    <m:t>c</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r>
                <m:rPr>
                  <m:sty m:val="p"/>
                </m:rPr>
                <w:rPr>
                  <w:rFonts w:ascii="Cambria Math" w:hAnsi="Cambria Math"/>
                  <w:sz w:val="19"/>
                </w:rPr>
                <m:t>(</m:t>
              </m:r>
              <m:r>
                <m:rPr/>
                <w:rPr>
                  <w:rFonts w:ascii="Cambria Math" w:hAnsi="Cambria Math"/>
                  <w:sz w:val="19"/>
                </w:rPr>
                <m:t>i</m:t>
              </m:r>
              <m:r>
                <m:rPr>
                  <m:sty m:val="p"/>
                </m:rPr>
                <w:rPr>
                  <w:rFonts w:ascii="Cambria Math" w:hAnsi="Cambria Math"/>
                  <w:sz w:val="19"/>
                </w:rPr>
                <m:t>∣</m:t>
              </m:r>
              <m:r>
                <m:rPr/>
                <w:rPr>
                  <w:rFonts w:ascii="Cambria Math" w:hAnsi="Cambria Math"/>
                  <w:sz w:val="19"/>
                </w:rPr>
                <m:t>S</m:t>
              </m:r>
              <m:r>
                <m:rPr>
                  <m:sty m:val="p"/>
                </m:rPr>
                <w:rPr>
                  <w:rFonts w:ascii="Cambria Math" w:hAnsi="Cambria Math"/>
                  <w:sz w:val="19"/>
                </w:rPr>
                <m:t>)</m:t>
              </m:r>
            </m:oMath>
          </w:p>
        </w:tc>
        <w:tc>
          <w:tcPr>
            <w:tcW w:w="4819" w:type="dxa"/>
            <w:vAlign w:val="center"/>
          </w:tcPr>
          <w:p w14:paraId="199BD39D">
            <w:pPr>
              <w:spacing w:after="60" w:line="264" w:lineRule="auto"/>
              <w:jc w:val="center"/>
            </w:pPr>
            <w:r>
              <w:rPr>
                <w:rFonts w:ascii="Times New Roman" w:hAnsi="Times New Roman" w:eastAsia="宋体"/>
                <w:b w:val="0"/>
                <w:sz w:val="19"/>
              </w:rPr>
              <w:t>覆盖饱和阈值与候选目标的稀缺状态增益。</w:t>
            </w:r>
          </w:p>
        </w:tc>
      </w:tr>
      <w:tr w14:paraId="050AD363">
        <w:trPr>
          <w:cantSplit/>
          <w:jc w:val="center"/>
        </w:trPr>
        <w:tc>
          <w:tcPr>
            <w:tcW w:w="4819" w:type="dxa"/>
            <w:vAlign w:val="center"/>
          </w:tcPr>
          <w:p w14:paraId="55D681A0">
            <w:pPr>
              <w:spacing w:after="60" w:line="264" w:lineRule="auto"/>
              <w:jc w:val="center"/>
            </w:pPr>
            <m:oMath>
              <m:r>
                <m:rPr/>
                <w:rPr>
                  <w:rFonts w:ascii="Cambria Math" w:hAnsi="Cambria Math"/>
                  <w:sz w:val="19"/>
                </w:rPr>
                <m:t>D</m:t>
              </m:r>
            </m:oMath>
            <w:r>
              <w:rPr>
                <w:rFonts w:ascii="Times New Roman" w:hAnsi="Times New Roman" w:eastAsia="宋体"/>
                <w:b w:val="0"/>
                <w:sz w:val="19"/>
              </w:rPr>
              <w:t>、</w:t>
            </w:r>
            <m:oMath>
              <m:sSub>
                <m:sSubPr/>
                <m:e>
                  <m:r>
                    <m:rPr/>
                    <w:rPr>
                      <w:rFonts w:ascii="Cambria Math" w:hAnsi="Cambria Math"/>
                      <w:sz w:val="19"/>
                    </w:rPr>
                    <m:t>h</m:t>
                  </m:r>
                </m:e>
                <m:sub>
                  <m:r>
                    <m:rPr/>
                    <w:rPr>
                      <w:rFonts w:ascii="Cambria Math" w:hAnsi="Cambria Math"/>
                      <w:sz w:val="19"/>
                    </w:rPr>
                    <m:t>d</m:t>
                  </m:r>
                </m:sub>
              </m:sSub>
            </m:oMath>
            <w:r>
              <w:rPr>
                <w:rFonts w:ascii="Times New Roman" w:hAnsi="Times New Roman" w:eastAsia="宋体"/>
                <w:b w:val="0"/>
                <w:sz w:val="19"/>
              </w:rPr>
              <w:t>、</w:t>
            </w:r>
            <m:oMath>
              <m:sSubSup>
                <m:sSubSupPr/>
                <m:e>
                  <m:r>
                    <m:rPr/>
                    <w:rPr>
                      <w:rFonts w:ascii="Cambria Math" w:hAnsi="Cambria Math"/>
                      <w:sz w:val="19"/>
                    </w:rPr>
                    <m:t>H</m:t>
                  </m:r>
                </m:e>
                <m:sub>
                  <m:r>
                    <m:rPr/>
                    <w:rPr>
                      <w:rFonts w:ascii="Cambria Math" w:hAnsi="Cambria Math"/>
                      <w:sz w:val="19"/>
                    </w:rPr>
                    <m:t>i</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p>
        </w:tc>
        <w:tc>
          <w:tcPr>
            <w:tcW w:w="4819" w:type="dxa"/>
            <w:vAlign w:val="center"/>
          </w:tcPr>
          <w:p w14:paraId="318497B4">
            <w:pPr>
              <w:spacing w:after="60" w:line="264" w:lineRule="auto"/>
              <w:jc w:val="center"/>
            </w:pPr>
            <w:r>
              <w:rPr>
                <w:rFonts w:ascii="Times New Roman" w:hAnsi="Times New Roman" w:eastAsia="宋体"/>
                <w:b w:val="0"/>
                <w:sz w:val="19"/>
              </w:rPr>
              <w:t>风险维度集合、维度分值映射与综合风险。</w:t>
            </w:r>
          </w:p>
        </w:tc>
      </w:tr>
      <w:tr w14:paraId="56950711">
        <w:trPr>
          <w:cantSplit/>
          <w:jc w:val="center"/>
        </w:trPr>
        <w:tc>
          <w:tcPr>
            <w:tcW w:w="4819" w:type="dxa"/>
            <w:vAlign w:val="center"/>
          </w:tcPr>
          <w:p w14:paraId="6522808A">
            <w:pPr>
              <w:spacing w:after="60" w:line="264" w:lineRule="auto"/>
              <w:jc w:val="center"/>
            </w:pPr>
            <m:oMath>
              <m:sSubSup>
                <m:sSubSupPr/>
                <m:e>
                  <m:r>
                    <m:rPr/>
                    <w:rPr>
                      <w:rFonts w:ascii="Cambria Math" w:hAnsi="Cambria Math"/>
                      <w:sz w:val="19"/>
                    </w:rPr>
                    <m:t>Q</m:t>
                  </m:r>
                </m:e>
                <m:sub>
                  <m:r>
                    <m:rPr/>
                    <w:rPr>
                      <w:rFonts w:ascii="Cambria Math" w:hAnsi="Cambria Math"/>
                      <w:sz w:val="19"/>
                    </w:rPr>
                    <m:t>c</m:t>
                  </m:r>
                  <m:r>
                    <m:rPr>
                      <m:sty m:val="p"/>
                    </m:rPr>
                    <w:rPr>
                      <w:rFonts w:ascii="Cambria Math" w:hAnsi="Cambria Math"/>
                      <w:sz w:val="19"/>
                    </w:rPr>
                    <m:t>,</m:t>
                  </m:r>
                  <m:r>
                    <m:rPr/>
                    <w:rPr>
                      <w:rFonts w:ascii="Cambria Math" w:hAnsi="Cambria Math"/>
                      <w:sz w:val="19"/>
                    </w:rPr>
                    <m:t>ℓ</m:t>
                  </m:r>
                </m:sub>
                <m:sup>
                  <m:r>
                    <m:rPr>
                      <m:sty m:val="p"/>
                    </m:rPr>
                    <w:rPr>
                      <w:rFonts w:ascii="Cambria Math" w:hAnsi="Cambria Math"/>
                      <w:sz w:val="19"/>
                    </w:rPr>
                    <m:t>(</m:t>
                  </m:r>
                  <m:r>
                    <m:rPr/>
                    <w:rPr>
                      <w:rFonts w:ascii="Cambria Math" w:hAnsi="Cambria Math"/>
                      <w:sz w:val="19"/>
                    </w:rPr>
                    <m:t>r</m:t>
                  </m:r>
                  <m:r>
                    <m:rPr>
                      <m:sty m:val="p"/>
                    </m:rPr>
                    <w:rPr>
                      <w:rFonts w:ascii="Cambria Math" w:hAnsi="Cambria Math"/>
                      <w:sz w:val="19"/>
                    </w:rPr>
                    <m:t>)</m:t>
                  </m:r>
                </m:sup>
              </m:sSubSup>
            </m:oMath>
            <w:r>
              <w:rPr>
                <w:rFonts w:ascii="Times New Roman" w:hAnsi="Times New Roman" w:eastAsia="宋体"/>
                <w:b w:val="0"/>
                <w:sz w:val="19"/>
              </w:rPr>
              <w:t>、</w:t>
            </w:r>
            <m:oMath>
              <m:r>
                <m:rPr/>
                <w:rPr>
                  <w:rFonts w:ascii="Cambria Math" w:hAnsi="Cambria Math"/>
                  <w:sz w:val="19"/>
                </w:rPr>
                <m:t>ρ</m:t>
              </m:r>
            </m:oMath>
            <w:r>
              <w:rPr>
                <w:rFonts w:ascii="Times New Roman" w:hAnsi="Times New Roman" w:eastAsia="宋体"/>
                <w:b w:val="0"/>
                <w:sz w:val="19"/>
              </w:rPr>
              <w:t>、</w:t>
            </w:r>
            <m:oMath>
              <m:r>
                <m:rPr/>
                <w:rPr>
                  <w:rFonts w:ascii="Cambria Math" w:hAnsi="Cambria Math"/>
                  <w:sz w:val="19"/>
                </w:rPr>
                <m:t>m</m:t>
              </m:r>
            </m:oMath>
          </w:p>
        </w:tc>
        <w:tc>
          <w:tcPr>
            <w:tcW w:w="4819" w:type="dxa"/>
            <w:vAlign w:val="center"/>
          </w:tcPr>
          <w:p w14:paraId="513733F9">
            <w:pPr>
              <w:spacing w:after="60" w:line="264" w:lineRule="auto"/>
              <w:jc w:val="center"/>
            </w:pPr>
            <w:r>
              <w:rPr>
                <w:rFonts w:ascii="Times New Roman" w:hAnsi="Times New Roman" w:eastAsia="宋体"/>
                <w:b w:val="0"/>
                <w:sz w:val="19"/>
              </w:rPr>
              <w:t>第</w:t>
            </w:r>
            <m:oMath>
              <m:r>
                <m:rPr/>
                <w:rPr>
                  <w:rFonts w:ascii="Cambria Math" w:hAnsi="Cambria Math"/>
                  <w:sz w:val="19"/>
                </w:rPr>
                <m:t>ℓ</m:t>
              </m:r>
            </m:oMath>
            <w:r>
              <w:rPr>
                <w:rFonts w:ascii="Times New Roman" w:hAnsi="Times New Roman" w:eastAsia="宋体"/>
                <w:b w:val="0"/>
                <w:sz w:val="19"/>
              </w:rPr>
              <w:t>个风险层、高风险占比与混合测试每类目标数。</w:t>
            </w:r>
          </w:p>
        </w:tc>
      </w:tr>
      <w:tr w14:paraId="45E967EB">
        <w:trPr>
          <w:cantSplit/>
          <w:jc w:val="center"/>
        </w:trPr>
        <w:tc>
          <w:tcPr>
            <w:tcW w:w="4819" w:type="dxa"/>
            <w:vAlign w:val="center"/>
          </w:tcPr>
          <w:p w14:paraId="7ACF3EC7">
            <w:pPr>
              <w:spacing w:after="60" w:line="264" w:lineRule="auto"/>
              <w:jc w:val="center"/>
            </w:pPr>
            <m:oMath>
              <m:sSub>
                <m:sSubPr/>
                <m:e>
                  <m:r>
                    <m:rPr/>
                    <w:rPr>
                      <w:rFonts w:ascii="Cambria Math" w:hAnsi="Cambria Math"/>
                      <w:sz w:val="19"/>
                    </w:rPr>
                    <m:t>f</m:t>
                  </m:r>
                </m:e>
                <m:sub>
                  <m:r>
                    <m:rPr/>
                    <w:rPr>
                      <w:rFonts w:ascii="Cambria Math" w:hAnsi="Cambria Math"/>
                      <w:sz w:val="19"/>
                    </w:rPr>
                    <m:t>θ</m:t>
                  </m:r>
                </m:sub>
              </m:sSub>
            </m:oMath>
            <w:r>
              <w:rPr>
                <w:rFonts w:ascii="Times New Roman" w:hAnsi="Times New Roman" w:eastAsia="宋体"/>
                <w:b w:val="0"/>
                <w:sz w:val="19"/>
              </w:rPr>
              <w:t>、</w:t>
            </w:r>
            <m:oMath>
              <m:sSub>
                <m:sSubPr/>
                <m:e>
                  <m:acc>
                    <m:accPr/>
                    <m:e>
                      <m:r>
                        <m:rPr/>
                        <w:rPr>
                          <w:rFonts w:ascii="Cambria Math" w:hAnsi="Cambria Math"/>
                          <w:sz w:val="19"/>
                        </w:rPr>
                        <m:t>y</m:t>
                      </m:r>
                    </m:e>
                  </m:acc>
                </m:e>
                <m:sub>
                  <m:r>
                    <m:rPr/>
                    <w:rPr>
                      <w:rFonts w:ascii="Cambria Math" w:hAnsi="Cambria Math"/>
                      <w:sz w:val="19"/>
                    </w:rPr>
                    <m:t>i</m:t>
                  </m:r>
                </m:sub>
              </m:sSub>
            </m:oMath>
          </w:p>
        </w:tc>
        <w:tc>
          <w:tcPr>
            <w:tcW w:w="4819" w:type="dxa"/>
            <w:vAlign w:val="center"/>
          </w:tcPr>
          <w:p w14:paraId="04A86E33">
            <w:pPr>
              <w:spacing w:after="60" w:line="264" w:lineRule="auto"/>
              <w:jc w:val="center"/>
            </w:pPr>
            <w:r>
              <w:rPr>
                <w:rFonts w:ascii="Times New Roman" w:hAnsi="Times New Roman" w:eastAsia="宋体"/>
                <w:b w:val="0"/>
                <w:sz w:val="19"/>
              </w:rPr>
              <w:t>被测分类器与目标的类别预测。</w:t>
            </w:r>
          </w:p>
        </w:tc>
      </w:tr>
      <w:tr w14:paraId="0E7AA4FE">
        <w:trPr>
          <w:cantSplit/>
          <w:jc w:val="center"/>
        </w:trPr>
        <w:tc>
          <w:tcPr>
            <w:tcW w:w="4819" w:type="dxa"/>
            <w:vAlign w:val="center"/>
          </w:tcPr>
          <w:p w14:paraId="5A6B7AFB">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v</m:t>
              </m:r>
            </m:oMath>
            <w:r>
              <w:rPr>
                <w:rFonts w:ascii="Times New Roman" w:hAnsi="Times New Roman" w:eastAsia="宋体"/>
                <w:b w:val="0"/>
                <w:sz w:val="19"/>
              </w:rPr>
              <w:t>、</w:t>
            </w:r>
            <m:oMath>
              <m:r>
                <m:rPr/>
                <w:rPr>
                  <w:rFonts w:ascii="Cambria Math" w:hAnsi="Cambria Math"/>
                  <w:sz w:val="19"/>
                </w:rPr>
                <m:t>t</m:t>
              </m:r>
            </m:oMath>
          </w:p>
        </w:tc>
        <w:tc>
          <w:tcPr>
            <w:tcW w:w="4819" w:type="dxa"/>
            <w:vAlign w:val="center"/>
          </w:tcPr>
          <w:p w14:paraId="6D0BB6B2">
            <w:pPr>
              <w:spacing w:after="60" w:line="264" w:lineRule="auto"/>
              <w:jc w:val="center"/>
            </w:pPr>
            <w:r>
              <w:rPr>
                <w:rFonts w:ascii="Times New Roman" w:hAnsi="Times New Roman" w:eastAsia="宋体"/>
                <w:b w:val="0"/>
                <w:sz w:val="19"/>
              </w:rPr>
              <w:t>复杂度分析中的候选数、状态数与选出目标数。</w:t>
            </w:r>
          </w:p>
        </w:tc>
      </w:tr>
      <w:tr w14:paraId="38F99C29">
        <w:trPr>
          <w:cantSplit/>
          <w:jc w:val="center"/>
        </w:trPr>
        <w:tc>
          <w:tcPr>
            <w:tcW w:w="4819" w:type="dxa"/>
            <w:vAlign w:val="center"/>
          </w:tcPr>
          <w:p w14:paraId="2B67442C">
            <w:pPr>
              <w:spacing w:after="60" w:line="264" w:lineRule="auto"/>
              <w:jc w:val="center"/>
            </w:pPr>
            <m:oMath>
              <m:r>
                <m:rPr/>
                <w:rPr>
                  <w:rFonts w:ascii="Cambria Math" w:hAnsi="Cambria Math"/>
                  <w:sz w:val="19"/>
                </w:rPr>
                <m:t>N</m:t>
              </m:r>
            </m:oMath>
            <w:r>
              <w:rPr>
                <w:rFonts w:ascii="Times New Roman" w:hAnsi="Times New Roman" w:eastAsia="宋体"/>
                <w:b w:val="0"/>
                <w:sz w:val="19"/>
              </w:rPr>
              <w:t>、</w:t>
            </w:r>
            <m:oMath>
              <m:r>
                <m:rPr/>
                <w:rPr>
                  <w:rFonts w:ascii="Cambria Math" w:hAnsi="Cambria Math"/>
                  <w:sz w:val="19"/>
                </w:rPr>
                <m:t>q</m:t>
              </m:r>
            </m:oMath>
            <w:r>
              <w:rPr>
                <w:rFonts w:ascii="Times New Roman" w:hAnsi="Times New Roman" w:eastAsia="宋体"/>
                <w:b w:val="0"/>
                <w:sz w:val="19"/>
              </w:rPr>
              <w:t>、</w:t>
            </w:r>
            <m:oMath>
              <m:r>
                <m:rPr/>
                <w:rPr>
                  <w:rFonts w:ascii="Cambria Math" w:hAnsi="Cambria Math"/>
                  <w:sz w:val="19"/>
                </w:rPr>
                <m:t>e</m:t>
              </m:r>
            </m:oMath>
          </w:p>
        </w:tc>
        <w:tc>
          <w:tcPr>
            <w:tcW w:w="4819" w:type="dxa"/>
            <w:vAlign w:val="center"/>
          </w:tcPr>
          <w:p w14:paraId="4BD27D7E">
            <w:pPr>
              <w:spacing w:after="60" w:line="264" w:lineRule="auto"/>
              <w:jc w:val="center"/>
            </w:pPr>
            <w:r>
              <w:rPr>
                <w:rFonts w:ascii="Times New Roman" w:hAnsi="Times New Roman" w:eastAsia="宋体"/>
                <w:b w:val="0"/>
                <w:sz w:val="19"/>
              </w:rPr>
              <w:t>某方法的错误数、两方法匹配错误数与指定类型的错误频数。</w:t>
            </w:r>
          </w:p>
        </w:tc>
      </w:tr>
    </w:tbl>
    <w:p w14:paraId="3CF5BB45">
      <w:pPr>
        <w:pStyle w:val="3"/>
        <w:spacing w:before="180" w:after="100"/>
        <w:rPr>
          <w:rFonts w:hint="eastAsia" w:ascii="黑体" w:hAnsi="黑体" w:eastAsia="黑体" w:cs="黑体"/>
        </w:rPr>
      </w:pPr>
      <w:r>
        <w:rPr>
          <w:rFonts w:hint="eastAsia" w:ascii="黑体" w:hAnsi="黑体" w:eastAsia="黑体" w:cs="黑体"/>
        </w:rPr>
        <w:t>3.2 多视图视觉状态表示</w:t>
      </w:r>
    </w:p>
    <w:p>
      <w:pPr>
        <w:pStyle w:val="4"/>
      </w:pPr>
      <w:r>
        <w:t>3.2.1 多视图标注与共享状态</w:t>
      </w:r>
    </w:p>
    <w:p w14:paraId="07B18897">
      <w:pPr>
        <w:keepNext/>
        <w:keepLines/>
        <w:spacing w:after="100" w:line="312" w:lineRule="auto"/>
        <w:ind w:firstLine="425"/>
      </w:pPr>
      <w:r>
        <w:rPr>
          <w:rFonts w:ascii="Times New Roman" w:hAnsi="Times New Roman" w:eastAsia="宋体"/>
          <w:b w:val="0"/>
          <w:sz w:val="22"/>
        </w:rPr>
        <w:t>为同时获得场景信息和目标细节，将原图</w:t>
      </w:r>
      <m:oMath>
        <m:sSub>
          <m:sSubPr/>
          <m:e>
            <m:r>
              <m:rPr/>
              <w:rPr>
                <w:rFonts w:ascii="Cambria Math" w:hAnsi="Cambria Math"/>
                <w:sz w:val="22"/>
              </w:rPr>
              <m:t>I</m:t>
            </m:r>
          </m:e>
          <m:sub>
            <m:r>
              <m:rPr/>
              <w:rPr>
                <w:rFonts w:ascii="Cambria Math" w:hAnsi="Cambria Math"/>
                <w:sz w:val="22"/>
              </w:rPr>
              <m:t>i</m:t>
            </m:r>
          </m:sub>
        </m:sSub>
      </m:oMath>
      <w:r>
        <w:rPr>
          <w:rFonts w:ascii="Times New Roman" w:hAnsi="Times New Roman" w:eastAsia="宋体"/>
          <w:b w:val="0"/>
          <w:sz w:val="22"/>
        </w:rPr>
        <w:t>、目标框标记图</w:t>
      </w:r>
      <m:oMath>
        <m:sSub>
          <m:sSubPr/>
          <m:e>
            <m:r>
              <m:rPr/>
              <w:rPr>
                <w:rFonts w:ascii="Cambria Math" w:hAnsi="Cambria Math"/>
                <w:sz w:val="22"/>
              </w:rPr>
              <m:t>M</m:t>
            </m:r>
          </m:e>
          <m:sub>
            <m:r>
              <m:rPr/>
              <w:rPr>
                <w:rFonts w:ascii="Cambria Math" w:hAnsi="Cambria Math"/>
                <w:sz w:val="22"/>
              </w:rPr>
              <m:t>i</m:t>
            </m:r>
          </m:sub>
        </m:sSub>
      </m:oMath>
      <w:r>
        <w:rPr>
          <w:rFonts w:ascii="Times New Roman" w:hAnsi="Times New Roman" w:eastAsia="宋体"/>
          <w:b w:val="0"/>
          <w:sz w:val="22"/>
        </w:rPr>
        <w:t>及放大裁剪图</w:t>
      </w:r>
      <m:oMath>
        <m:sSub>
          <m:sSubPr/>
          <m:e>
            <m:r>
              <m:rPr/>
              <w:rPr>
                <w:rFonts w:ascii="Cambria Math" w:hAnsi="Cambria Math"/>
                <w:sz w:val="22"/>
              </w:rPr>
              <m:t>V</m:t>
            </m:r>
          </m:e>
          <m:sub>
            <m:r>
              <m:rPr/>
              <w:rPr>
                <w:rFonts w:ascii="Cambria Math" w:hAnsi="Cambria Math"/>
                <w:sz w:val="22"/>
              </w:rPr>
              <m:t>i</m:t>
            </m:r>
          </m:sub>
        </m:sSub>
      </m:oMath>
      <w:r>
        <w:rPr>
          <w:rFonts w:ascii="Times New Roman" w:hAnsi="Times New Roman" w:eastAsia="宋体"/>
          <w:b w:val="0"/>
          <w:sz w:val="22"/>
        </w:rPr>
        <w:t>输入状态描述器。设标注来源为</w:t>
      </w:r>
      <m:oMath>
        <m:r>
          <m:rPr/>
          <w:rPr>
            <w:rFonts w:ascii="Cambria Math" w:hAnsi="Cambria Math"/>
            <w:sz w:val="22"/>
          </w:rPr>
          <m:t>r</m:t>
        </m:r>
        <m:r>
          <m:rPr>
            <m:sty m:val="p"/>
          </m:rPr>
          <w:rPr>
            <w:rFonts w:ascii="Cambria Math" w:hAnsi="Cambria Math"/>
            <w:sz w:val="22"/>
          </w:rPr>
          <m:t>∈{local,online}</m:t>
        </m:r>
      </m:oMath>
      <w:r>
        <w:rPr>
          <w:rFonts w:ascii="Times New Roman" w:hAnsi="Times New Roman" w:eastAsia="宋体"/>
          <w:b w:val="0"/>
          <w:sz w:val="22"/>
        </w:rPr>
        <w:t>，其输出为：</w:t>
      </w:r>
    </w:p>
    <w:p w14:paraId="2F7286E6">
      <w:pPr>
        <w:spacing w:before="80" w:after="140"/>
        <w:jc w:val="center"/>
      </w:pPr>
      <m:oMathPara>
        <m:oMath>
          <m:sSubSup>
            <m:sSubSupPr/>
            <m:e>
              <m:r>
                <m:rPr/>
                <w:rPr>
                  <w:rFonts w:ascii="Cambria Math" w:hAnsi="Cambria Math"/>
                  <w:sz w:val="22"/>
                </w:rPr>
                <m:t>z</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sSub>
            <m:sSubPr/>
            <m:e>
              <m:r>
                <m:rPr/>
                <w:rPr>
                  <w:rFonts w:ascii="Cambria Math" w:hAnsi="Cambria Math"/>
                  <w:sz w:val="22"/>
                </w:rPr>
                <m:t>ϕ</m:t>
              </m:r>
            </m:e>
            <m:sub>
              <m:r>
                <m:rPr/>
                <w:rPr>
                  <w:rFonts w:ascii="Cambria Math" w:hAnsi="Cambria Math"/>
                  <w:sz w:val="22"/>
                </w:rPr>
                <m:t>r</m:t>
              </m:r>
            </m:sub>
          </m:sSub>
          <m:d>
            <m:dPr>
              <m:sepChr m:val=""/>
            </m:dPr>
            <m:e>
              <m:sSub>
                <m:sSubPr/>
                <m:e>
                  <m:r>
                    <m:rPr/>
                    <w:rPr>
                      <w:rFonts w:ascii="Cambria Math" w:hAnsi="Cambria Math"/>
                      <w:sz w:val="22"/>
                    </w:rPr>
                    <m:t>I</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M</m:t>
                  </m:r>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V</m:t>
                  </m:r>
                </m:e>
                <m:sub>
                  <m:r>
                    <m:rPr/>
                    <w:rPr>
                      <w:rFonts w:ascii="Cambria Math" w:hAnsi="Cambria Math"/>
                      <w:sz w:val="22"/>
                    </w:rPr>
                    <m:t>i</m:t>
                  </m:r>
                </m:sub>
              </m:sSub>
            </m:e>
          </m:d>
          <m:r>
            <m:rPr>
              <m:sty m:val="p"/>
            </m:rPr>
            <w:rPr>
              <w:rFonts w:ascii="Cambria Math" w:hAnsi="Cambria Math"/>
              <w:sz w:val="22"/>
            </w:rPr>
            <m:t>.</m:t>
          </m:r>
        </m:oMath>
      </m:oMathPara>
    </w:p>
    <w:p w14:paraId="0576E509">
      <w:pPr>
        <w:keepLines/>
        <w:spacing w:after="100" w:line="312" w:lineRule="auto"/>
        <w:ind w:firstLine="425"/>
      </w:pPr>
      <w:r>
        <w:rPr>
          <w:rFonts w:ascii="Times New Roman" w:hAnsi="Times New Roman" w:eastAsia="宋体"/>
          <w:b w:val="0"/>
          <w:sz w:val="22"/>
        </w:rPr>
        <w:t>其中，</w:t>
      </w:r>
      <m:oMath>
        <m:sSub>
          <m:sSubPr/>
          <m:e>
            <m:r>
              <m:rPr/>
              <w:rPr>
                <w:rFonts w:ascii="Cambria Math" w:hAnsi="Cambria Math"/>
                <w:sz w:val="22"/>
              </w:rPr>
              <m:t>ϕ</m:t>
            </m:r>
          </m:e>
          <m:sub>
            <m:r>
              <m:rPr/>
              <w:rPr>
                <w:rFonts w:ascii="Cambria Math" w:hAnsi="Cambria Math"/>
                <w:sz w:val="22"/>
              </w:rPr>
              <m:t>r</m:t>
            </m:r>
          </m:sub>
        </m:sSub>
      </m:oMath>
      <w:r>
        <w:rPr>
          <w:rFonts w:ascii="Times New Roman" w:hAnsi="Times New Roman" w:eastAsia="宋体"/>
          <w:b w:val="0"/>
          <w:sz w:val="22"/>
        </w:rPr>
        <w:t>表示按预定义字段及有限枚举值进行描述的VLM。当前实现分别使用本地Qwen3-VL与线上SenseNova，不进行分类概率融合。主分析分别固定一种来源，以该来源的状态完成覆盖选样、风险组织和条件评价，最终报告注明来源。跨来源选样或评价作为单独的敏感性分析，分别注明选样、风险组织及评价所用来源。具体模型版本、提示及类别协议的字段映射在实验设置与补充材料中说明。</w:t>
      </w:r>
    </w:p>
    <w:p w14:paraId="11ABE6A2">
      <w:pPr>
        <w:keepLines/>
        <w:spacing w:after="100" w:line="312" w:lineRule="auto"/>
        <w:ind w:firstLine="425"/>
      </w:pPr>
      <w:r>
        <w:rPr>
          <w:rFonts w:ascii="Times New Roman" w:hAnsi="Times New Roman" w:eastAsia="宋体"/>
          <w:b w:val="0"/>
          <w:sz w:val="22"/>
        </w:rPr>
        <w:t>类别专用协议映射为14项共享字段：身体可见性、身体朝向、遮挡程度、遮挡物类型、截断程度、群体关系、交互关系、场景、背景复杂度、模糊、照明、目标背景对比、可识别性与呈现形式。另以官方目标框面积与原始图像面积之比</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表示目标尺度，按预定义区间离散化后形成第15项分析字段。目标尺度保留目标在原始场景中的相对面积信息，不将裁剪缩放后的输入尺寸当作原图尺度。</w:t>
      </w:r>
    </w:p>
    <w:p w14:paraId="2C5FF4E0">
      <w:pPr>
        <w:keepLines/>
        <w:spacing w:after="100" w:line="312" w:lineRule="auto"/>
        <w:ind w:firstLine="425"/>
      </w:pPr>
      <w:r>
        <w:rPr>
          <w:rFonts w:ascii="Times New Roman" w:hAnsi="Times New Roman" w:eastAsia="宋体"/>
          <w:b w:val="0"/>
          <w:sz w:val="22"/>
        </w:rPr>
        <w:t>将“字段—枚举值”对定义为视觉状态。例如，“身体朝向—背向”表示一种状态。目标</w:t>
      </w:r>
      <m:oMath>
        <m:r>
          <m:rPr/>
          <w:rPr>
            <w:rFonts w:ascii="Cambria Math" w:hAnsi="Cambria Math"/>
            <w:sz w:val="22"/>
          </w:rPr>
          <m:t>i</m:t>
        </m:r>
      </m:oMath>
      <w:r>
        <w:rPr>
          <w:rFonts w:ascii="Times New Roman" w:hAnsi="Times New Roman" w:eastAsia="宋体"/>
          <w:b w:val="0"/>
          <w:sz w:val="22"/>
        </w:rPr>
        <w:t>在来源</w:t>
      </w:r>
      <m:oMath>
        <m:r>
          <m:rPr/>
          <w:rPr>
            <w:rFonts w:ascii="Cambria Math" w:hAnsi="Cambria Math"/>
            <w:sz w:val="22"/>
          </w:rPr>
          <m:t>r</m:t>
        </m:r>
      </m:oMath>
      <w:r>
        <w:rPr>
          <w:rFonts w:ascii="Times New Roman" w:hAnsi="Times New Roman" w:eastAsia="宋体"/>
          <w:b w:val="0"/>
          <w:sz w:val="22"/>
        </w:rPr>
        <w:t>下激活的已知状态集合记为</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多值字段按集合处理，可同时激活多个不同状态。同一目标对同一状态最多贡献一次支持，不因重复枚举而重复计数。无法判断的字段保留为unknown，不计为已获得的覆盖证据。结构化校验用于保证输出可解析及枚举合法，不据此认定自动状态具有完整语义准确性。</w:t>
      </w:r>
    </w:p>
    <w:p>
      <w:pPr>
        <w:pStyle w:val="3"/>
        <w:spacing w:before="180" w:after="100"/>
        <w:rPr>
          <w:rFonts w:hint="default" w:ascii="黑体" w:hAnsi="黑体" w:eastAsia="黑体" w:cs="黑体"/>
          <w:lang w:val="en-US" w:eastAsia="zh-CN"/>
        </w:rPr>
      </w:pPr>
      <w:r>
        <w:t>围绕原始附件所定义的目标尺度、身体可见性、遮挡程度、截断程度和身体朝向五个维度，分别说明整体字段、相关局部细项及其状态取值。每个维度按“描述对象—字段—枚举状态”展开。五个整体字段用于第3.4节的风险评分，局部细项用于解释相应标注协议如何描述目标；是否参与当前分析由实际采用的共享字段集合决定。</w:t>
      </w:r>
    </w:p>
    <w:p>
      <w:pPr>
        <w:pStyle w:val="3"/>
        <w:spacing w:before="180" w:after="100"/>
        <w:rPr>
          <w:rFonts w:hint="default" w:ascii="黑体" w:hAnsi="黑体" w:eastAsia="黑体" w:cs="黑体"/>
          <w:lang w:val="en-US" w:eastAsia="zh-CN"/>
        </w:rPr>
      </w:pPr>
      <w:r>
        <w:t>表2　原始五维度的整体字段及相关细项。局部细项来自不同协议，不表示全部类别同时使用。</w:t>
      </w:r>
    </w:p>
    <w:tbl>
      <w:tblPr>
        <w:tblStyle w:val="33"/>
        <w:tblW w:type="auto" w:w="0"/>
        <w:tblLook w:firstColumn="1" w:firstRow="1" w:lastColumn="0" w:lastRow="0" w:noHBand="0" w:noVBand="1" w:val="04A0"/>
      </w:tblPr>
      <w:tblGrid>
        <w:gridCol w:w="2409"/>
        <w:gridCol w:w="2409"/>
        <w:gridCol w:w="2409"/>
        <w:gridCol w:w="2409"/>
      </w:tblGrid>
      <w:tr>
        <w:trPr>
          <w:tblHeader/>
        </w:trPr>
        <w:tc>
          <w:tcPr>
            <w:tcW w:type="dxa" w:w="2409"/>
          </w:tcPr>
          <w:p>
            <w:r>
              <w:rPr>
                <w:b/>
                <w:sz w:val="18"/>
              </w:rPr>
              <w:t>维度</w:t>
            </w:r>
          </w:p>
        </w:tc>
        <w:tc>
          <w:tcPr>
            <w:tcW w:type="dxa" w:w="2409"/>
          </w:tcPr>
          <w:p>
            <w:r>
              <w:rPr>
                <w:b/>
                <w:sz w:val="18"/>
              </w:rPr>
              <w:t>整体字段与含义</w:t>
            </w:r>
          </w:p>
        </w:tc>
        <w:tc>
          <w:tcPr>
            <w:tcW w:type="dxa" w:w="2409"/>
          </w:tcPr>
          <w:p>
            <w:r>
              <w:rPr>
                <w:b/>
                <w:sz w:val="18"/>
              </w:rPr>
              <w:t>整体状态</w:t>
            </w:r>
          </w:p>
        </w:tc>
        <w:tc>
          <w:tcPr>
            <w:tcW w:type="dxa" w:w="2409"/>
          </w:tcPr>
          <w:p>
            <w:r>
              <w:rPr>
                <w:b/>
                <w:sz w:val="18"/>
              </w:rPr>
              <w:t>相关细项与使用范围</w:t>
            </w:r>
          </w:p>
        </w:tc>
      </w:tr>
      <w:tr>
        <w:tc>
          <w:tcPr>
            <w:tcW w:type="dxa" w:w="2409"/>
          </w:tcPr>
          <w:p>
            <w:r>
              <w:rPr>
                <w:sz w:val="18"/>
              </w:rPr>
              <w:t>目标尺度</w:t>
            </w:r>
          </w:p>
        </w:tc>
        <w:tc>
          <w:tcPr>
            <w:tcW w:type="dxa" w:w="2409"/>
          </w:tcPr>
          <w:p>
            <w:r>
              <w:rPr>
                <w:sz w:val="18"/>
              </w:rPr>
              <w:t>target_scale；官方目标框面积占原图面积的比例</w:t>
            </w:r>
          </w:p>
        </w:tc>
        <w:tc>
          <w:tcPr>
            <w:tcW w:type="dxa" w:w="2409"/>
          </w:tcPr>
          <w:p>
            <w:r>
              <w:rPr>
                <w:sz w:val="18"/>
              </w:rPr>
              <w:t>tiny、small、medium、large</w:t>
            </w:r>
          </w:p>
        </w:tc>
        <w:tc>
          <w:tcPr>
            <w:tcW w:type="dxa" w:w="2409"/>
          </w:tcPr>
          <w:p>
            <w:r>
              <w:rPr>
                <w:sz w:val="18"/>
              </w:rPr>
              <w:t>当前尺度字段由程序计算；独立头部协议另有head_scale，目标区域和分档不同。</w:t>
            </w:r>
          </w:p>
        </w:tc>
      </w:tr>
      <w:tr>
        <w:tc>
          <w:tcPr>
            <w:tcW w:type="dxa" w:w="2409"/>
          </w:tcPr>
          <w:p>
            <w:r>
              <w:rPr>
                <w:sz w:val="18"/>
              </w:rPr>
              <w:t>身体可见性</w:t>
            </w:r>
          </w:p>
        </w:tc>
        <w:tc>
          <w:tcPr>
            <w:tcW w:type="dxa" w:w="2409"/>
          </w:tcPr>
          <w:p>
            <w:r>
              <w:rPr>
                <w:sz w:val="18"/>
              </w:rPr>
              <w:t>body_visibility；目标整体可见的完整程度</w:t>
            </w:r>
          </w:p>
        </w:tc>
        <w:tc>
          <w:tcPr>
            <w:tcW w:type="dxa" w:w="2409"/>
          </w:tcPr>
          <w:p>
            <w:r>
              <w:rPr>
                <w:sz w:val="18"/>
              </w:rPr>
              <w:t>full、most、partial、minimal、unknown</w:t>
            </w:r>
          </w:p>
        </w:tc>
        <w:tc>
          <w:tcPr>
            <w:tcW w:type="dxa" w:w="2409"/>
          </w:tcPr>
          <w:p>
            <w:r>
              <w:rPr>
                <w:sz w:val="18"/>
              </w:rPr>
              <w:t>相关协议另描述头部、腿部、尾部、面部及头发等局部的可见性；这些局部字段不直接加入当前风险评分。</w:t>
            </w:r>
          </w:p>
        </w:tc>
      </w:tr>
      <w:tr>
        <w:tc>
          <w:tcPr>
            <w:tcW w:type="dxa" w:w="2409"/>
          </w:tcPr>
          <w:p>
            <w:r>
              <w:rPr>
                <w:sz w:val="18"/>
              </w:rPr>
              <w:t>遮挡程度</w:t>
            </w:r>
          </w:p>
        </w:tc>
        <w:tc>
          <w:tcPr>
            <w:tcW w:type="dxa" w:w="2409"/>
          </w:tcPr>
          <w:p>
            <w:r>
              <w:rPr>
                <w:sz w:val="18"/>
              </w:rPr>
              <w:t>occlusion_level；目标被其他可见物体挡住的程度</w:t>
            </w:r>
          </w:p>
        </w:tc>
        <w:tc>
          <w:tcPr>
            <w:tcW w:type="dxa" w:w="2409"/>
          </w:tcPr>
          <w:p>
            <w:r>
              <w:rPr>
                <w:sz w:val="18"/>
              </w:rPr>
              <w:t>none、light、moderate、heavy、unknown</w:t>
            </w:r>
          </w:p>
        </w:tc>
        <w:tc>
          <w:tcPr>
            <w:tcW w:type="dxa" w:w="2409"/>
          </w:tcPr>
          <w:p>
            <w:r>
              <w:rPr>
                <w:sz w:val="18"/>
              </w:rPr>
              <w:t>遮挡来源、遮挡部位；头发挡住面部属于特定头部协议中的遮挡来源。</w:t>
            </w:r>
          </w:p>
        </w:tc>
      </w:tr>
      <w:tr>
        <w:tc>
          <w:tcPr>
            <w:tcW w:type="dxa" w:w="2409"/>
          </w:tcPr>
          <w:p>
            <w:r>
              <w:rPr>
                <w:sz w:val="18"/>
              </w:rPr>
              <w:t>截断程度</w:t>
            </w:r>
          </w:p>
        </w:tc>
        <w:tc>
          <w:tcPr>
            <w:tcW w:type="dxa" w:w="2409"/>
          </w:tcPr>
          <w:p>
            <w:r>
              <w:rPr>
                <w:sz w:val="18"/>
              </w:rPr>
              <w:t>truncation_level；目标因越过图像或裁剪边界而缺失的程度</w:t>
            </w:r>
          </w:p>
        </w:tc>
        <w:tc>
          <w:tcPr>
            <w:tcW w:type="dxa" w:w="2409"/>
          </w:tcPr>
          <w:p>
            <w:r>
              <w:rPr>
                <w:sz w:val="18"/>
              </w:rPr>
              <w:t>none、light、moderate、heavy、unknown</w:t>
            </w:r>
          </w:p>
        </w:tc>
        <w:tc>
          <w:tcPr>
            <w:tcW w:type="dxa" w:w="2409"/>
          </w:tcPr>
          <w:p>
            <w:r>
              <w:rPr>
                <w:sz w:val="18"/>
              </w:rPr>
              <w:t>截断身体部位；独立头部协议还区分上、下、左、右边界。</w:t>
            </w:r>
          </w:p>
        </w:tc>
      </w:tr>
      <w:tr>
        <w:tc>
          <w:tcPr>
            <w:tcW w:type="dxa" w:w="2409"/>
          </w:tcPr>
          <w:p>
            <w:r>
              <w:rPr>
                <w:sz w:val="18"/>
              </w:rPr>
              <w:t>身体朝向</w:t>
            </w:r>
          </w:p>
        </w:tc>
        <w:tc>
          <w:tcPr>
            <w:tcW w:type="dxa" w:w="2409"/>
          </w:tcPr>
          <w:p>
            <w:r>
              <w:rPr>
                <w:sz w:val="18"/>
              </w:rPr>
              <w:t>body_orientation；目标整体相对于观察视角的方向</w:t>
            </w:r>
          </w:p>
        </w:tc>
        <w:tc>
          <w:tcPr>
            <w:tcW w:type="dxa" w:w="2409"/>
          </w:tcPr>
          <w:p>
            <w:r>
              <w:rPr>
                <w:sz w:val="18"/>
              </w:rPr>
              <w:t>front、back、left_side、right_side、three_quarter、overhead_or_unusual、unknown</w:t>
            </w:r>
          </w:p>
        </w:tc>
        <w:tc>
          <w:tcPr>
            <w:tcW w:type="dxa" w:w="2409"/>
          </w:tcPr>
          <w:p>
            <w:r>
              <w:rPr>
                <w:sz w:val="18"/>
              </w:rPr>
              <w:t>头部朝向；独立头部协议另区分水平转向、俯仰与倾斜。</w:t>
            </w:r>
          </w:p>
        </w:tc>
      </w:tr>
    </w:tbl>
    <w:p>
      <w:pPr>
        <w:pStyle w:val="4"/>
      </w:pPr>
      <w:r>
        <w:t>3.2.2 目标尺度</w:t>
      </w:r>
    </w:p>
    <w:p>
      <w:pPr>
        <w:pStyle w:val="3"/>
        <w:spacing w:before="180" w:after="100"/>
        <w:rPr>
          <w:rFonts w:hint="default" w:ascii="黑体" w:hAnsi="黑体" w:eastAsia="黑体" w:cs="黑体"/>
          <w:lang w:val="en-US" w:eastAsia="zh-CN"/>
        </w:rPr>
      </w:pPr>
      <w:r>
        <w:t>目标尺度描述目标在原始场景中占据的相对面积。令aᵢ为官方目标框面积与原始图像面积之比，计算式为aᵢ=(目标框宽×目标框高)/(原图宽×原图高)。该量依据官方目标框和原图尺寸由程序计算，不依赖VLM对尺度的主观判断。</w:t>
      </w:r>
    </w:p>
    <w:p>
      <w:pPr>
        <w:pStyle w:val="3"/>
        <w:spacing w:before="180" w:after="100"/>
        <w:rPr>
          <w:rFonts w:hint="default" w:ascii="黑体" w:hAnsi="黑体" w:eastAsia="黑体" w:cs="黑体"/>
          <w:lang w:val="en-US" w:eastAsia="zh-CN"/>
        </w:rPr>
      </w:pPr>
      <w:r>
        <w:t>尺度分为四档：tiny表示aᵢ&lt;0.01，small表示0.01≤aᵢ&lt;0.03，medium表示0.03≤aᵢ&lt;0.10，large表示aᵢ≥0.10；对应风险分值依次为3、2、1、0。这里的阈值描述原图中的面积占比，裁剪图被缩放为固定输入尺寸后，仍沿用原图尺度。</w:t>
      </w:r>
    </w:p>
    <w:p>
      <w:pPr>
        <w:pStyle w:val="3"/>
        <w:spacing w:before="180" w:after="100"/>
        <w:rPr>
          <w:rFonts w:hint="default" w:ascii="黑体" w:hAnsi="黑体" w:eastAsia="黑体" w:cs="黑体"/>
          <w:lang w:val="en-US" w:eastAsia="zh-CN"/>
        </w:rPr>
      </w:pPr>
      <w:r>
        <w:t>局部目标需要单独定义尺度区域。例如，独立head_face_v1.0协议定义head_scale，用于描述头部区域的尺度，取small、medium、large或unknown。它与当前完整目标的target_scale采用不同对象及分档，不能把完整目标的四档阈值直接套用于头部字段。相对面积也不直接等同于目标绝对像素数或图像清晰度。</w:t>
      </w:r>
    </w:p>
    <w:p>
      <w:pPr>
        <w:pStyle w:val="4"/>
      </w:pPr>
      <w:r>
        <w:t>3.2.3 身体可见性</w:t>
      </w:r>
    </w:p>
    <w:p>
      <w:pPr>
        <w:pStyle w:val="3"/>
        <w:spacing w:before="180" w:after="100"/>
        <w:rPr>
          <w:rFonts w:hint="default" w:ascii="黑体" w:hAnsi="黑体" w:eastAsia="黑体" w:cs="黑体"/>
          <w:lang w:val="en-US" w:eastAsia="zh-CN"/>
        </w:rPr>
      </w:pPr>
      <w:r>
        <w:t>身体可见性描述目标整体在图像中的可见完整程度。body_visibility取full（完整可见）、most（大部分可见）、partial（部分可见）、minimal（仅少量可见）或unknown（无法可靠判断）。犬、猫、马、羊和人的字段描述目标身体整体；车辆对应整辆车。风险映射为full／most取0，partial取2，minimal取3。</w:t>
      </w:r>
    </w:p>
    <w:p>
      <w:pPr>
        <w:pStyle w:val="3"/>
        <w:spacing w:before="180" w:after="100"/>
        <w:rPr>
          <w:rFonts w:hint="default" w:ascii="黑体" w:hAnsi="黑体" w:eastAsia="黑体" w:cs="黑体"/>
          <w:lang w:val="en-US" w:eastAsia="zh-CN"/>
        </w:rPr>
      </w:pPr>
      <w:r>
        <w:t>头部和肢体应在局部字段中分别描述。通用对象协议的head_visibility取clear、partial、not_visible、unknown，分别表示头部清楚可见、部分可见、不可见和无法判断；leg_visibility取all_expected、some、one、none、unknown，分别表示该类别通常应有的腿部均可见、部分腿部可见、仅一条可见、均不可见和无法判断。犬猫专用协议另有tail_visibility，记录尾巴清晰可见、部分可见或不可观察，并以独立字段记录尾巴姿态。</w:t>
      </w:r>
    </w:p>
    <w:p>
      <w:pPr>
        <w:pStyle w:val="3"/>
        <w:spacing w:before="180" w:after="100"/>
        <w:rPr>
          <w:rFonts w:hint="default" w:ascii="黑体" w:hAnsi="黑体" w:eastAsia="黑体" w:cs="黑体"/>
          <w:lang w:val="en-US" w:eastAsia="zh-CN"/>
        </w:rPr>
      </w:pPr>
      <w:r>
        <w:t>面部和头发也可以在相应专用协议中进一步细分。head_face_v1.0分别记录face_visibility、eye_visibility、nose_visibility和mouth_visibility；其中眼睛可见性区分双眼可见、仅左眼、仅右眼、均不可见和无法判断。hair_visibility取clear、partial、not_visible、unknown，记录头发清楚可见、部分可见、不可见和无法判断；hair_presence另区分有头发、光头或剃发、被覆盖和无法判断。</w:t>
      </w:r>
    </w:p>
    <w:p>
      <w:pPr>
        <w:pStyle w:val="3"/>
        <w:spacing w:before="180" w:after="100"/>
        <w:rPr>
          <w:rFonts w:hint="default" w:ascii="黑体" w:hAnsi="黑体" w:eastAsia="黑体" w:cs="黑体"/>
          <w:lang w:val="en-US" w:eastAsia="zh-CN"/>
        </w:rPr>
      </w:pPr>
      <w:r>
        <w:t>上述局部字段来自各自协议，不能由body_visibility自动推得，也不直接累加为当前身体可见性的风险分值。当前六分类共享分析保留body_visibility，未将这些头部、肢体、面部或头发局部字段纳入其15项状态矩阵。身体可见性描述可见结果，导致缺失的具体情况由遮挡与截断维度分别说明。</w:t>
      </w:r>
    </w:p>
    <w:p>
      <w:pPr>
        <w:pStyle w:val="4"/>
      </w:pPr>
      <w:r>
        <w:t>3.2.4 遮挡程度</w:t>
      </w:r>
    </w:p>
    <w:p>
      <w:pPr>
        <w:pStyle w:val="3"/>
        <w:spacing w:before="180" w:after="100"/>
        <w:rPr>
          <w:rFonts w:hint="default" w:ascii="黑体" w:hAnsi="黑体" w:eastAsia="黑体" w:cs="黑体"/>
          <w:lang w:val="en-US" w:eastAsia="zh-CN"/>
        </w:rPr>
      </w:pPr>
      <w:r>
        <w:t>遮挡程度描述目标被其他可见物体挡住的情况。occlusion_level取none、light、moderate、heavy或unknown，分别表示无、轻度、中度、重度遮挡或无法判断；已知等级对应0、1、2、3分。比如，栏杆挡住目标腿部或其他目标挡住其身体，属于遮挡。</w:t>
      </w:r>
    </w:p>
    <w:p>
      <w:pPr>
        <w:pStyle w:val="3"/>
        <w:spacing w:before="180" w:after="100"/>
        <w:rPr>
          <w:rFonts w:hint="default" w:ascii="黑体" w:hAnsi="黑体" w:eastAsia="黑体" w:cs="黑体"/>
          <w:lang w:val="en-US" w:eastAsia="zh-CN"/>
        </w:rPr>
      </w:pPr>
      <w:r>
        <w:t>遮挡来源由occluder_type进一步描述。当前共享协议的已知值包括none、person、same_class_object、other_object、vegetation、frame_or_structure、image_boundary和multiple，分别记录无、人、同类目标、其他物体、植被、框架或结构、图像边界及多种来源；该字段允许记录多个类型，none和unknown不能与其他值共存。image_boundary是现有词表保留值，边界造成的目标缺失仍由截断字段描述，不据此直接增加遮挡分值。</w:t>
      </w:r>
    </w:p>
    <w:p>
      <w:pPr>
        <w:pStyle w:val="3"/>
        <w:spacing w:before="180" w:after="100"/>
        <w:rPr>
          <w:rFonts w:hint="default" w:ascii="黑体" w:hAnsi="黑体" w:eastAsia="黑体" w:cs="黑体"/>
          <w:lang w:val="en-US" w:eastAsia="zh-CN"/>
        </w:rPr>
      </w:pPr>
      <w:r>
        <w:t>遮挡部位在犬猫专用协议中由occlusion_parts记录，包含head、torso、legs、tail、none和unknown，分别对应头部、躯干、腿部、尾巴、无和无法判断。独立头部协议的occluder_types还能记录口罩、眼镜、头发、手、物体和其他人物等来源。因此，“头发挡住面部”可作为遮挡来源，但“头发颜色”不属于遮挡程度。</w:t>
      </w:r>
    </w:p>
    <w:p>
      <w:pPr>
        <w:pStyle w:val="3"/>
        <w:spacing w:before="180" w:after="100"/>
        <w:rPr>
          <w:rFonts w:hint="default" w:ascii="黑体" w:hAnsi="黑体" w:eastAsia="黑体" w:cs="黑体"/>
          <w:lang w:val="en-US" w:eastAsia="zh-CN"/>
        </w:rPr>
      </w:pPr>
      <w:r>
        <w:t>当前风险评分只读取occlusion_level，不读取遮挡物类型或遮挡部位来追加分值。occluder_type仍是当前共享覆盖与条件评价字段；occlusion_parts及头部协议中的专用来源没有进入当前共享分析。不同协议的等级词表存在差异，犬猫专用协议的none／partial／heavy及独立头部协议的severe不能未经说明就替代当前评分词表。</w:t>
      </w:r>
    </w:p>
    <w:p>
      <w:pPr>
        <w:pStyle w:val="4"/>
      </w:pPr>
      <w:r>
        <w:t>3.2.5 截断程度</w:t>
      </w:r>
    </w:p>
    <w:p>
      <w:pPr>
        <w:pStyle w:val="3"/>
        <w:spacing w:before="180" w:after="100"/>
        <w:rPr>
          <w:rFonts w:hint="default" w:ascii="黑体" w:hAnsi="黑体" w:eastAsia="黑体" w:cs="黑体"/>
          <w:lang w:val="en-US" w:eastAsia="zh-CN"/>
        </w:rPr>
      </w:pPr>
      <w:r>
        <w:t>截断程度描述目标超出图像边界或裁剪边界，导致一部分未被完整呈现的情况。truncation_level取none、light、moderate、heavy或unknown，分别表示无、轻度、中度、重度截断或无法判断；对应风险分值为0、0.5、1、2。判断时结合原图与裁剪图，核对缺失是否来自边界。</w:t>
      </w:r>
    </w:p>
    <w:p>
      <w:pPr>
        <w:pStyle w:val="3"/>
        <w:spacing w:before="180" w:after="100"/>
        <w:rPr>
          <w:rFonts w:hint="default" w:ascii="黑体" w:hAnsi="黑体" w:eastAsia="黑体" w:cs="黑体"/>
          <w:lang w:val="en-US" w:eastAsia="zh-CN"/>
        </w:rPr>
      </w:pPr>
      <w:r>
        <w:t>通用对象协议的truncation_parts进一步记录none、head、torso、legs、tail_or_rear、multiple和unknown，分别对应无、头部、躯干、腿部、尾部或后部、多个部位和无法判断。犬猫专用协议采用tail表示尾部，其部位词表应按相应版本记录。独立头部协议的head_truncation_parts则区分top、left、right、bottom、multiple、none、unknown，描述头部在哪个边界方向缺失；head_completeness另记录完整、轻度截断、严重截断或无法判断。</w:t>
      </w:r>
    </w:p>
    <w:p>
      <w:pPr>
        <w:pStyle w:val="3"/>
        <w:spacing w:before="180" w:after="100"/>
        <w:rPr>
          <w:rFonts w:hint="default" w:ascii="黑体" w:hAnsi="黑体" w:eastAsia="黑体" w:cs="黑体"/>
          <w:lang w:val="en-US" w:eastAsia="zh-CN"/>
        </w:rPr>
      </w:pPr>
      <w:r>
        <w:t>例如，目标头部超出画面上边缘属于头部截断，头部被其他人物挡住属于头部遮挡。截断部位和边界方向提供更细的描述，但当前风险评分只读取truncation_level，当前共享状态矩阵也未保留truncation_parts。遮挡与截断可以同时发生，分别标注。</w:t>
      </w:r>
    </w:p>
    <w:p>
      <w:pPr>
        <w:pStyle w:val="4"/>
      </w:pPr>
      <w:r>
        <w:t>3.2.6 身体朝向</w:t>
      </w:r>
    </w:p>
    <w:p>
      <w:pPr>
        <w:pStyle w:val="3"/>
        <w:spacing w:before="180" w:after="100"/>
        <w:rPr>
          <w:rFonts w:hint="default" w:ascii="黑体" w:hAnsi="黑体" w:eastAsia="黑体" w:cs="黑体"/>
          <w:lang w:val="en-US" w:eastAsia="zh-CN"/>
        </w:rPr>
      </w:pPr>
      <w:r>
        <w:t>身体朝向描述目标整体相对于观察视角的方向。body_orientation取front、back、left_side、right_side、three_quarter、overhead_or_unusual或unknown，分别表示正向、背向、目标自身左侧、目标自身右侧、斜向、俯视或非常规视角及无法判断。front／left_side／right_side／three_quarter取0分，back取1分，overhead_or_unusual取2分。车辆的front和back分别指车头与车尾朝向镜头。</w:t>
      </w:r>
    </w:p>
    <w:p>
      <w:pPr>
        <w:pStyle w:val="3"/>
        <w:spacing w:before="180" w:after="100"/>
        <w:rPr>
          <w:rFonts w:hint="default" w:ascii="黑体" w:hAnsi="黑体" w:eastAsia="黑体" w:cs="黑体"/>
          <w:lang w:val="en-US" w:eastAsia="zh-CN"/>
        </w:rPr>
      </w:pPr>
      <w:r>
        <w:t>头部朝向可与身体朝向不同，需要在相应协议中独立记录。通用对象协议的head_orientation取front、back、left、right、up、down、unknown。独立头部协议进一步将观察方向拆分为yaw、pitch和roll：yaw记录正面、左／右斜向、左／右侧面及后向或面部缺失；pitch记录向上、水平或向下；roll记录直立、轻微倾斜或明显倾斜。各字段均保留unknown。</w:t>
      </w:r>
    </w:p>
    <w:p>
      <w:pPr>
        <w:pStyle w:val="3"/>
        <w:spacing w:before="180" w:after="100"/>
        <w:rPr>
          <w:rFonts w:hint="default" w:ascii="黑体" w:hAnsi="黑体" w:eastAsia="黑体" w:cs="黑体"/>
          <w:lang w:val="en-US" w:eastAsia="zh-CN"/>
        </w:rPr>
      </w:pPr>
      <w:r>
        <w:t>身体动作与朝向也分别定义。站立、坐姿、躺卧、行走和奔跑属于姿态或动作状态，不能直接转换成身体朝向分值。当前风险评分及共享状态矩阵使用body_orientation；头部朝向、头部三轴姿态及姿态动作字段未进入当前共享子集。左侧和右侧采用目标自身方位，不能仅根据目标位于画面左边或右边判断。</w:t>
      </w:r>
    </w:p>
    <w:p>
      <w:pPr>
        <w:pStyle w:val="3"/>
        <w:spacing w:before="180" w:after="100"/>
        <w:rPr>
          <w:rFonts w:hint="default" w:ascii="黑体" w:hAnsi="黑体" w:eastAsia="黑体" w:cs="黑体"/>
          <w:lang w:val="en-US" w:eastAsia="zh-CN"/>
        </w:rPr>
      </w:pPr>
      <w:r>
        <w:t>五维度之外的外观与场景字段仍按其原协议保留。人物头发颜色、长度、质地以及犬猫被毛颜色、图案、质地描述外观，不能强行归为尺度、可见性、遮挡、截断或朝向。头发可见性属于可见情况，头发挡住面部属于遮挡来源，头发颜色则是另一类属性。背景、模糊、照明等当前共享字段仍用于覆盖和条件评价，未加入五维风险分数。</w:t>
      </w:r>
    </w:p>
    <w:p>
      <w:pPr>
        <w:pStyle w:val="3"/>
        <w:spacing w:before="180" w:after="100"/>
        <w:rPr>
          <w:rFonts w:hint="default" w:ascii="黑体" w:hAnsi="黑体" w:eastAsia="黑体" w:cs="黑体"/>
          <w:lang w:val="en-US" w:eastAsia="zh-CN"/>
        </w:rPr>
      </w:pPr>
      <w:r>
        <w:t>上述五维度是当前风险组织的预定义子集，不表示已穷尽所有视觉特征。现有协议对身体可见性、遮挡程度和截断程度采用定性等级，未统一规定可见、遮挡或截断面积的比例阈值；中文释义不补造新的数值边界。unknown表示无法可靠判断，不能当作无遮挡、无截断或不可见。相关状态的覆盖处理与风险替代规则分别按第3.3和第3.4节执行。</w:t>
      </w:r>
    </w:p>
    <w:p w14:paraId="7E4114EB">
      <w:pPr>
        <w:pStyle w:val="3"/>
        <w:spacing w:before="180" w:after="100"/>
        <w:rPr>
          <w:rFonts w:hint="default" w:ascii="黑体" w:hAnsi="黑体" w:eastAsia="黑体" w:cs="黑体"/>
          <w:lang w:val="en-US" w:eastAsia="zh-CN"/>
        </w:rPr>
      </w:pPr>
      <w:r>
        <w:rPr>
          <w:rFonts w:hint="eastAsia" w:ascii="黑体" w:hAnsi="黑体" w:eastAsia="黑体" w:cs="黑体"/>
        </w:rPr>
        <w:t>3.3 状态覆盖度量与</w:t>
      </w:r>
      <w:r>
        <w:rPr>
          <w:rFonts w:hint="eastAsia" w:ascii="黑体" w:hAnsi="黑体" w:eastAsia="黑体" w:cs="黑体"/>
          <w:lang w:val="en-US" w:eastAsia="zh-CN"/>
        </w:rPr>
        <w:t>覆盖引导选样</w:t>
      </w:r>
    </w:p>
    <w:p w14:paraId="20537B25">
      <w:pPr>
        <w:pStyle w:val="4"/>
        <w:spacing w:before="180" w:after="100"/>
        <w:rPr>
          <w:rFonts w:hint="eastAsia" w:ascii="黑体" w:hAnsi="黑体" w:eastAsia="黑体" w:cs="黑体"/>
        </w:rPr>
      </w:pPr>
      <w:r>
        <w:rPr>
          <w:rFonts w:hint="eastAsia" w:ascii="黑体" w:hAnsi="黑体" w:eastAsia="黑体" w:cs="黑体"/>
        </w:rPr>
        <w:t>3.3.1 状态支持与频次覆盖</w:t>
      </w:r>
    </w:p>
    <w:p w14:paraId="223C924F">
      <w:pPr>
        <w:keepNext/>
        <w:keepLines/>
        <w:spacing w:after="100" w:line="312" w:lineRule="auto"/>
        <w:ind w:firstLine="425"/>
      </w:pPr>
      <w:r>
        <w:rPr>
          <w:rFonts w:ascii="Times New Roman" w:hAnsi="Times New Roman" w:eastAsia="宋体"/>
          <w:b w:val="0"/>
          <w:sz w:val="22"/>
        </w:rPr>
        <w:t>对同一候选池，在类别</w:t>
      </w:r>
      <m:oMath>
        <m:r>
          <m:rPr/>
          <w:rPr>
            <w:rFonts w:ascii="Cambria Math" w:hAnsi="Cambria Math"/>
            <w:sz w:val="22"/>
          </w:rPr>
          <m:t>c</m:t>
        </m:r>
      </m:oMath>
      <w:r>
        <w:rPr>
          <w:rFonts w:ascii="Times New Roman" w:hAnsi="Times New Roman" w:eastAsia="宋体"/>
          <w:b w:val="0"/>
          <w:sz w:val="22"/>
        </w:rPr>
        <w:t>内将两种标注来源观察到的已知状态取并集，记为状态集合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。该并集仅统一类别状态词表和覆盖分母，不合并同一目标的两份标注；每个目标仍使用来源</w:t>
      </w:r>
      <m:oMath>
        <m:r>
          <m:rPr/>
          <w:rPr>
            <w:rFonts w:ascii="Cambria Math" w:hAnsi="Cambria Math"/>
            <w:sz w:val="22"/>
          </w:rPr>
          <m:t>r</m:t>
        </m:r>
      </m:oMath>
      <w:r>
        <w:rPr>
          <w:rFonts w:ascii="Times New Roman" w:hAnsi="Times New Roman" w:eastAsia="宋体"/>
          <w:b w:val="0"/>
          <w:sz w:val="22"/>
        </w:rPr>
        <w:t>的</w:t>
      </w:r>
      <m:oMath>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oMath>
      <w:r>
        <w:rPr>
          <w:rFonts w:ascii="Times New Roman" w:hAnsi="Times New Roman" w:eastAsia="宋体"/>
          <w:b w:val="0"/>
          <w:sz w:val="22"/>
        </w:rPr>
        <w:t>。某状态只在另一来源中出现时，其在当前来源中的支持数为零。当前来源零支持的状态仍计入分母，以保证同一候选池内跨来源覆盖值使用共同词表；本文不另报仅当前来源词表的分母敏感性结果。比较不同选样规模与方法时使用相同的</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。对于已选目标索引集合</w:t>
      </w:r>
      <m:oMath>
        <m:r>
          <m:rPr/>
          <w:rPr>
            <w:rFonts w:ascii="Cambria Math" w:hAnsi="Cambria Math"/>
            <w:sz w:val="22"/>
          </w:rPr>
          <m:t>S</m:t>
        </m:r>
      </m:oMath>
      <w:r>
        <w:rPr>
          <w:rFonts w:ascii="Times New Roman" w:hAnsi="Times New Roman" w:eastAsia="宋体"/>
          <w:b w:val="0"/>
          <w:sz w:val="22"/>
        </w:rPr>
        <w:t>，状态</w:t>
      </w:r>
      <m:oMath>
        <m:r>
          <m:rPr/>
          <w:rPr>
            <w:rFonts w:ascii="Cambria Math" w:hAnsi="Cambria Math"/>
            <w:sz w:val="22"/>
          </w:rPr>
          <m:t>s</m:t>
        </m:r>
      </m:oMath>
      <w:r>
        <w:rPr>
          <w:rFonts w:ascii="Times New Roman" w:hAnsi="Times New Roman" w:eastAsia="宋体"/>
          <w:b w:val="0"/>
          <w:sz w:val="22"/>
        </w:rPr>
        <w:t>的支持数定义为：</w:t>
      </w:r>
    </w:p>
    <w:p w14:paraId="6567BA44">
      <w:pPr>
        <w:spacing w:before="80" w:after="140"/>
        <w:jc w:val="center"/>
      </w:pPr>
      <m:oMathPara>
        <m:oMath>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S</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m:sty m:val="p"/>
            </m:rPr>
            <w:rPr>
              <w:rFonts w:ascii="Cambria Math" w:hAnsi="Cambria Math"/>
              <w:sz w:val="22"/>
            </w:rPr>
            <m:t>.</m:t>
          </m:r>
        </m:oMath>
      </m:oMathPara>
    </w:p>
    <w:p w14:paraId="354C7E18">
      <w:pPr>
        <w:keepNext/>
        <w:keepLines/>
        <w:spacing w:after="100" w:line="312" w:lineRule="auto"/>
        <w:ind w:firstLine="425"/>
      </w:pPr>
      <w:r>
        <w:rPr>
          <w:rFonts w:ascii="Times New Roman" w:hAnsi="Times New Roman" w:eastAsia="宋体"/>
          <w:b w:val="0"/>
          <w:sz w:val="22"/>
        </w:rPr>
        <w:t>其中，</w:t>
      </w:r>
      <m:oMath>
        <m:r>
          <m:rPr>
            <m:sty m:val="b"/>
          </m:rPr>
          <w:rPr>
            <w:rFonts w:ascii="Cambria Math" w:hAnsi="Cambria Math"/>
            <w:sz w:val="22"/>
          </w:rPr>
          <m:t>1</m:t>
        </m:r>
        <m:d>
          <m:dPr>
            <m:begChr m:val="{"/>
            <m:sepChr m:val=""/>
            <m:endChr m:val="}"/>
          </m:dPr>
          <m:e>
            <m:r>
              <m:rPr>
                <m:sty m:val="p"/>
              </m:rPr>
              <w:rPr>
                <w:rFonts w:ascii="Cambria Math" w:hAnsi="Cambria Math"/>
                <w:sz w:val="22"/>
              </w:rPr>
              <m:t>⋅</m:t>
            </m:r>
          </m:e>
        </m:d>
      </m:oMath>
      <w:r>
        <w:rPr>
          <w:rFonts w:ascii="Times New Roman" w:hAnsi="Times New Roman" w:eastAsia="宋体"/>
          <w:b w:val="0"/>
          <w:sz w:val="22"/>
        </w:rPr>
        <w:t>为指示函数。采用支持数饱和的频次覆盖指标：</w:t>
      </w:r>
    </w:p>
    <w:p w14:paraId="356B7B4A">
      <w:pPr>
        <w:spacing w:before="80" w:after="140"/>
        <w:jc w:val="center"/>
      </w:pPr>
      <m:oMathPara>
        <m:oMath>
          <m:eqArr>
            <m:eqArrPr/>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r>
                    <m:rPr>
                      <m:sty m:val="p"/>
                    </m:rPr>
                    <w:rPr>
                      <w:rFonts w:ascii="Cambria Math" w:hAnsi="Cambria Math"/>
                      <w:sz w:val="22"/>
                    </w:rPr>
                    <m:t>|</m:t>
                  </m:r>
                </m:den>
              </m:f>
              <m:nary>
                <m:naryPr>
                  <m:chr m:val="∑"/>
                  <m:limLoc m:val="undOvr"/>
                  <m:supHide m:val="1"/>
                </m:naryPr>
                <m:sub>
                  <m:r>
                    <m:rPr/>
                    <w:rPr>
                      <w:rFonts w:ascii="Cambria Math" w:hAnsi="Cambria Math"/>
                      <w:sz w:val="22"/>
                    </w:rPr>
                    <m:t>s</m:t>
                  </m:r>
                  <m:r>
                    <m:rPr>
                      <m:sty m:val="p"/>
                    </m:rPr>
                    <w:rPr>
                      <w:rFonts w:ascii="Cambria Math" w:hAnsi="Cambria Math"/>
                      <w:sz w:val="22"/>
                    </w:rPr>
                    <m:t>∈</m:t>
                  </m:r>
                  <m:sSub>
                    <m:sSubPr/>
                    <m:e>
                      <m:r>
                        <m:rPr/>
                        <w:rPr>
                          <w:rFonts w:ascii="Cambria Math" w:hAnsi="Cambria Math"/>
                          <w:sz w:val="22"/>
                        </w:rPr>
                        <m:t>U</m:t>
                      </m:r>
                    </m:e>
                    <m:sub>
                      <m:r>
                        <m:rPr/>
                        <w:rPr>
                          <w:rFonts w:ascii="Cambria Math" w:hAnsi="Cambria Math"/>
                          <w:sz w:val="22"/>
                        </w:rPr>
                        <m:t>c</m:t>
                      </m:r>
                    </m:sub>
                  </m:sSub>
                </m:sub>
                <m:sup>
                  <m:r>
                    <m:rPr/>
                    <w:rPr>
                      <w:rFonts w:ascii="Cambria Math" w:hAnsi="Cambria Math"/>
                      <w:sz w:val="22"/>
                    </w:rPr>
                    <m:t>​</m:t>
                  </m:r>
                </m:sup>
                <m:e>
                  <m:r>
                    <m:rPr>
                      <m:sty m:val="p"/>
                    </m:rPr>
                    <w:rPr>
                      <w:rFonts w:ascii="Cambria Math" w:hAnsi="Cambria Math"/>
                      <w:sz w:val="22"/>
                    </w:rPr>
                    <m:t>min</m:t>
                  </m:r>
                </m:e>
              </m:nary>
              <m:d>
                <m:dPr>
                  <m:sepChr m:val=""/>
                </m:dPr>
                <m:e>
                  <m:f>
                    <m:fPr/>
                    <m:num>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num>
                    <m:den>
                      <m:r>
                        <m:rPr/>
                        <w:rPr>
                          <w:rFonts w:ascii="Cambria Math" w:hAnsi="Cambria Math"/>
                          <w:sz w:val="22"/>
                        </w:rPr>
                        <m:t>τ</m:t>
                      </m:r>
                    </m:den>
                  </m:f>
                  <m:r>
                    <m:rPr>
                      <m:sty m:val="p"/>
                    </m:rPr>
                    <w:rPr>
                      <w:rFonts w:ascii="Cambria Math" w:hAnsi="Cambria Math"/>
                      <w:sz w:val="22"/>
                    </w:rPr>
                    <m:t>,</m:t>
                  </m:r>
                  <m:r>
                    <m:rPr/>
                    <w:rPr>
                      <w:rFonts w:ascii="Cambria Math" w:hAnsi="Cambria Math"/>
                      <w:sz w:val="22"/>
                    </w:rPr>
                    <m:t>1</m:t>
                  </m:r>
                </m:e>
              </m:d>
              <m:r>
                <m:rPr>
                  <m:sty m:val="p"/>
                </m:rPr>
                <w:rPr>
                  <w:rFonts w:ascii="Cambria Math" w:hAnsi="Cambria Math"/>
                  <w:sz w:val="22"/>
                </w:rPr>
                <m:t>,</m:t>
              </m:r>
            </m:e>
            <m:e>
              <m:sSup>
                <m:sSupPr/>
                <m:e>
                  <m:r>
                    <m:rPr/>
                    <w:rPr>
                      <w:rFonts w:ascii="Cambria Math" w:hAnsi="Cambria Math"/>
                      <w:sz w:val="22"/>
                    </w:rPr>
                    <m:t>C</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&amp;</m:t>
              </m:r>
              <m:r>
                <m:rPr>
                  <m:sty m:val="p"/>
                </m:rPr>
                <w:rPr>
                  <w:rFonts w:ascii="Cambria Math" w:hAnsi="Cambria Math"/>
                  <w:sz w:val="22"/>
                </w:rPr>
                <m:t>=</m:t>
              </m:r>
              <m:f>
                <m:fPr/>
                <m:num>
                  <m:r>
                    <m:rPr/>
                    <w:rPr>
                      <w:rFonts w:ascii="Cambria Math" w:hAnsi="Cambria Math"/>
                      <w:sz w:val="22"/>
                    </w:rPr>
                    <m:t>1</m:t>
                  </m:r>
                </m:num>
                <m:den>
                  <m:r>
                    <m:rPr/>
                    <w:rPr>
                      <w:rFonts w:ascii="Cambria Math" w:hAnsi="Cambria Math"/>
                      <w:sz w:val="22"/>
                    </w:rPr>
                    <m:t>K</m:t>
                  </m:r>
                </m:den>
              </m:f>
              <m:nary>
                <m:naryPr>
                  <m:chr m:val="∑"/>
                  <m:limLoc m:val="undOvr"/>
                </m:naryPr>
                <m:sub>
                  <m:r>
                    <m:rPr/>
                    <w:rPr>
                      <w:rFonts w:ascii="Cambria Math" w:hAnsi="Cambria Math"/>
                      <w:sz w:val="22"/>
                    </w:rPr>
                    <m:t>c</m:t>
                  </m:r>
                  <m:r>
                    <m:rPr>
                      <m:sty m:val="p"/>
                    </m:rPr>
                    <w:rPr>
                      <w:rFonts w:ascii="Cambria Math" w:hAnsi="Cambria Math"/>
                      <w:sz w:val="22"/>
                    </w:rPr>
                    <m:t>=</m:t>
                  </m:r>
                  <m:r>
                    <m:rPr/>
                    <w:rPr>
                      <w:rFonts w:ascii="Cambria Math" w:hAnsi="Cambria Math"/>
                      <w:sz w:val="22"/>
                    </w:rPr>
                    <m:t>1</m:t>
                  </m:r>
                </m:sub>
                <m:sup>
                  <m:r>
                    <m:rPr/>
                    <w:rPr>
                      <w:rFonts w:ascii="Cambria Math" w:hAnsi="Cambria Math"/>
                      <w:sz w:val="22"/>
                    </w:rPr>
                    <m:t>K</m:t>
                  </m:r>
                </m:sup>
                <m:e>
                  <m:sSubSup>
                    <m:sSubSupPr/>
                    <m:e>
                      <m:r>
                        <m:rPr/>
                        <w:rPr>
                          <w:rFonts w:ascii="Cambria Math" w:hAnsi="Cambria Math"/>
                          <w:sz w:val="22"/>
                        </w:rPr>
                        <m:t>C</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nary>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e>
          </m:eqArr>
        </m:oMath>
      </m:oMathPara>
    </w:p>
    <w:p w14:paraId="71668F71">
      <w:pPr>
        <w:keepLines/>
        <w:spacing w:after="100" w:line="312" w:lineRule="auto"/>
        <w:ind w:firstLine="425"/>
      </w:pPr>
      <m:oMath>
        <m:r>
          <m:rPr/>
          <w:rPr>
            <w:rFonts w:ascii="Cambria Math" w:hAnsi="Cambria Math"/>
            <w:sz w:val="22"/>
          </w:rPr>
          <m:t>τ</m:t>
        </m:r>
      </m:oMath>
      <w:r>
        <w:rPr>
          <w:rFonts w:ascii="Times New Roman" w:hAnsi="Times New Roman" w:eastAsia="宋体"/>
          <w:b w:val="0"/>
          <w:sz w:val="22"/>
        </w:rPr>
        <w:t>为状态支持的饱和阈值，当前实现预先固定为20，并在各候选池中沿用。每个状态的覆盖贡献随支持数增加，达到20个目标后不再增长，以限制高频状态重复出现对覆盖值的持续贡献。该取值为统一的操作性参数；现有分析未系统改变该阈值，尚不能据此确认其最优性或不同取值下的覆盖排序稳定性。同一候选池内比较不同方法和选样规模时，使用相同的</w:t>
      </w:r>
      <m:oMath>
        <m:r>
          <m:rPr/>
          <w:rPr>
            <w:rFonts w:ascii="Cambria Math" w:hAnsi="Cambria Math"/>
            <w:sz w:val="22"/>
          </w:rPr>
          <m:t>τ</m:t>
        </m:r>
      </m:oMath>
      <w:r>
        <w:rPr>
          <w:rFonts w:ascii="Times New Roman" w:hAnsi="Times New Roman" w:eastAsia="宋体"/>
          <w:b w:val="0"/>
          <w:sz w:val="22"/>
        </w:rPr>
        <w:t>与状态集合。改变</w:t>
      </w:r>
      <m:oMath>
        <m:r>
          <m:rPr/>
          <w:rPr>
            <w:rFonts w:ascii="Cambria Math" w:hAnsi="Cambria Math"/>
            <w:sz w:val="22"/>
          </w:rPr>
          <m:t>τ</m:t>
        </m:r>
      </m:oMath>
      <w:r>
        <w:rPr>
          <w:rFonts w:ascii="Times New Roman" w:hAnsi="Times New Roman" w:eastAsia="宋体"/>
          <w:b w:val="0"/>
          <w:sz w:val="22"/>
        </w:rPr>
        <w:t>将同时影响覆盖值及贪心选样中的饱和条件，相关比较需明确采用的阈值。</w:t>
      </w:r>
    </w:p>
    <w:p w14:paraId="637B49EB">
      <w:pPr>
        <w:keepLines/>
        <w:spacing w:after="100" w:line="312" w:lineRule="auto"/>
        <w:ind w:firstLine="425"/>
      </w:pPr>
      <w:r>
        <w:rPr>
          <w:rFonts w:ascii="Times New Roman" w:hAnsi="Times New Roman" w:eastAsia="宋体"/>
          <w:b w:val="0"/>
          <w:sz w:val="22"/>
        </w:rPr>
        <w:t>先在类别内平均，再在类别间平均，以避免样本较多的类别主导总体覆盖。该指标对状态等权，并在类别间宏平均，未在字段内再次归一化。因此，枚举状态较多的字段具有更大的潜在总贡献；多值字段的一次标注也可支持多个不同状态。该指标描述当前词表与候选池中的单状态证据，不评价全部状态组合；状态集合不同的覆盖百分比不直接比较。</w:t>
      </w:r>
    </w:p>
    <w:p w14:paraId="3EF2AFA8">
      <w:pPr>
        <w:pStyle w:val="4"/>
        <w:spacing w:before="180" w:after="100"/>
        <w:rPr>
          <w:rFonts w:hint="eastAsia" w:ascii="黑体" w:hAnsi="黑体" w:eastAsia="黑体" w:cs="黑体"/>
        </w:rPr>
      </w:pPr>
      <w:r>
        <w:rPr>
          <w:rFonts w:hint="eastAsia" w:ascii="黑体" w:hAnsi="黑体" w:eastAsia="黑体" w:cs="黑体"/>
        </w:rPr>
        <w:t>3.3.2 稀缺状态增益与贪心选样</w:t>
      </w:r>
    </w:p>
    <w:p w14:paraId="52041E7D">
      <w:pPr>
        <w:keepNext/>
        <w:keepLines/>
        <w:spacing w:after="100" w:line="312" w:lineRule="auto"/>
        <w:ind w:firstLine="425"/>
      </w:pPr>
      <w:r>
        <w:rPr>
          <w:rFonts w:ascii="Times New Roman" w:hAnsi="Times New Roman" w:eastAsia="宋体"/>
          <w:b w:val="0"/>
          <w:sz w:val="22"/>
        </w:rPr>
        <w:t>为优先增加支持不足状态的测试证据，在类别</w:t>
      </w:r>
      <m:oMath>
        <m:r>
          <m:rPr/>
          <w:rPr>
            <w:rFonts w:ascii="Cambria Math" w:hAnsi="Cambria Math"/>
            <w:sz w:val="22"/>
          </w:rPr>
          <m:t>c</m:t>
        </m:r>
      </m:oMath>
      <w:r>
        <w:rPr>
          <w:rFonts w:ascii="Times New Roman" w:hAnsi="Times New Roman" w:eastAsia="宋体"/>
          <w:b w:val="0"/>
          <w:sz w:val="22"/>
        </w:rPr>
        <w:t>内计算候选目标</w:t>
      </w:r>
      <m:oMath>
        <m:r>
          <m:rPr/>
          <w:rPr>
            <w:rFonts w:ascii="Cambria Math" w:hAnsi="Cambria Math"/>
            <w:sz w:val="22"/>
          </w:rPr>
          <m:t>i</m:t>
        </m:r>
      </m:oMath>
      <w:r>
        <w:rPr>
          <w:rFonts w:ascii="Times New Roman" w:hAnsi="Times New Roman" w:eastAsia="宋体"/>
          <w:b w:val="0"/>
          <w:sz w:val="22"/>
        </w:rPr>
        <w:t>相对于当前集合</w:t>
      </w:r>
      <m:oMath>
        <m:r>
          <m:rPr/>
          <w:rPr>
            <w:rFonts w:ascii="Cambria Math" w:hAnsi="Cambria Math"/>
            <w:sz w:val="22"/>
          </w:rPr>
          <m:t>S</m:t>
        </m:r>
      </m:oMath>
      <w:r>
        <w:rPr>
          <w:rFonts w:ascii="Times New Roman" w:hAnsi="Times New Roman" w:eastAsia="宋体"/>
          <w:b w:val="0"/>
          <w:sz w:val="22"/>
        </w:rPr>
        <w:t>的增益：</w:t>
      </w:r>
    </w:p>
    <w:p w14:paraId="3173EC3C">
      <w:pPr>
        <w:spacing w:before="80" w:after="140"/>
        <w:jc w:val="center"/>
      </w:pPr>
      <m:oMathPara>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S</m:t>
              </m:r>
            </m:e>
          </m:d>
          <m:r>
            <m:rPr>
              <m:sty m:val="p"/>
            </m:rPr>
            <w:rPr>
              <w:rFonts w:ascii="Cambria Math" w:hAnsi="Cambria Math"/>
              <w:sz w:val="22"/>
            </w:rPr>
            <m:t>=</m:t>
          </m:r>
          <m:nary>
            <m:naryPr>
              <m:chr m:val="∑"/>
              <m:limLoc m:val="undOvr"/>
              <m:supHide m:val="1"/>
            </m:naryPr>
            <m:sub>
              <m:m>
                <m:mPr>
                  <m:mcs>
                    <m:mc>
                      <m:mcPr>
                        <m:count m:val="1"/>
                        <m:mcJc m:val="center"/>
                      </m:mcPr>
                    </m:mc>
                  </m:mcs>
                  <m:plcHide m:val="1"/>
                </m:mPr>
                <m:m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mr>
                <m:m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)&lt;</m:t>
                    </m:r>
                    <m:r>
                      <m:rPr/>
                      <w:rPr>
                        <w:rFonts w:ascii="Cambria Math" w:hAnsi="Cambria Math"/>
                        <w:sz w:val="22"/>
                      </w:rPr>
                      <m:t>τ</m:t>
                    </m:r>
                  </m:e>
                </m:mr>
              </m:m>
            </m:sub>
            <m:sup>
              <m:r>
                <m:rPr/>
                <w:rPr>
                  <w:rFonts w:ascii="Cambria Math" w:hAnsi="Cambria Math"/>
                  <w:sz w:val="22"/>
                </w:rPr>
                <m:t>​</m:t>
              </m:r>
            </m:sup>
            <m:e>
              <m:d>
                <m:dPr>
                  <m:begChr m:val="["/>
                  <m:sepChr m:val=""/>
                  <m:endChr m:val="]"/>
                </m:dPr>
                <m:e>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e>
              </m:d>
            </m:e>
          </m:nary>
          <m:r>
            <m:rPr>
              <m:sty m:val="p"/>
            </m:rPr>
            <w:rPr>
              <w:rFonts w:ascii="Cambria Math" w:hAnsi="Cambria Math"/>
              <w:sz w:val="22"/>
            </w:rPr>
            <m:t>.</m:t>
          </m:r>
        </m:oMath>
      </m:oMathPara>
    </w:p>
    <w:p w14:paraId="5D85C129">
      <w:pPr>
        <w:keepLines/>
        <w:spacing w:after="100" w:line="312" w:lineRule="auto"/>
        <w:ind w:firstLine="425"/>
      </w:pPr>
      <w:r>
        <w:rPr>
          <w:rFonts w:ascii="Times New Roman" w:hAnsi="Times New Roman" w:eastAsia="宋体"/>
          <w:b w:val="0"/>
          <w:sz w:val="22"/>
        </w:rPr>
        <w:t>每个未饱和状态的增益为</w:t>
      </w:r>
      <m:oMath>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2</m:t>
            </m:r>
          </m:e>
        </m:d>
        <m:r>
          <m:rPr>
            <m:sty m:val="p"/>
          </m:rPr>
          <w:rPr>
            <w:rFonts w:ascii="Cambria Math" w:hAnsi="Cambria Math"/>
            <w:sz w:val="22"/>
          </w:rPr>
          <m:t>−log</m:t>
        </m:r>
        <m:d>
          <m:dPr>
            <m:sepChr m:val=""/>
          </m:dPr>
          <m:e>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r>
              <m:rPr/>
              <w:rPr>
                <w:rFonts w:ascii="Cambria Math" w:hAnsi="Cambria Math"/>
                <w:sz w:val="22"/>
              </w:rPr>
              <m:t>1</m:t>
            </m:r>
          </m:e>
        </m:d>
      </m:oMath>
      <w:r>
        <w:rPr>
          <w:rFonts w:ascii="Times New Roman" w:hAnsi="Times New Roman" w:eastAsia="宋体"/>
          <w:b w:val="0"/>
          <w:sz w:val="22"/>
        </w:rPr>
        <w:t>，随已有支持数增加而减小，因此支持较少的状态获得较大的边际增益。选样初始集合为空，状态计数为零。在每轮中，仅从当前风险层内、尚未选中且所在风险格仍有剩余配额的目标中选择增益最大的目标，并更新状态计数。增益相同时按目标ID排序，保证给定输入下选样次序确定。按Q1至Q5依次完成各层配额，状态计数在同一类别内跨风险层累计。</w:t>
      </w:r>
    </w:p>
    <w:p w14:paraId="7A1D209F">
      <w:pPr>
        <w:keepLines/>
        <w:spacing w:after="100" w:line="312" w:lineRule="auto"/>
        <w:ind w:firstLine="425"/>
      </w:pPr>
      <w:r>
        <w:rPr>
          <w:rFonts w:ascii="Times New Roman" w:hAnsi="Times New Roman" w:eastAsia="宋体"/>
          <w:b w:val="0"/>
          <w:sz w:val="22"/>
        </w:rPr>
        <w:t>在独立确认的选样对照中，各方法使用共同的类别、风险层及风险格配额。风险格由采用unknown中点处理的风险分值与未知维数的二元组合定义；各层格内配额依据候选数量比例和最大余数法预先分配。贪心选择的可行集合由当前风险层和格内剩余配额限定。每层完成后检查实际风险格频数是否等于预定配额；本文共同配额比较的预算点位于完整层配额的完成边界，因此各方法在这些预算点具有相同的风险格频数。任意截取某层内部的前缀不自动满足该条件。风险评分及风险层构造见第3.4节。发现阶段的匹配对照以覆盖选样结果的风险格频数作为随机选样配额，两种配额设置的适用实验分别说明。</w:t>
      </w:r>
    </w:p>
    <w:p w14:paraId="724A7D86">
      <w:pPr>
        <w:keepLines/>
        <w:spacing w:after="100" w:line="312" w:lineRule="auto"/>
        <w:ind w:firstLine="425"/>
      </w:pPr>
      <w:r>
        <w:rPr>
          <w:rFonts w:ascii="Times New Roman" w:hAnsi="Times New Roman" w:eastAsia="宋体"/>
          <w:b w:val="0"/>
          <w:sz w:val="22"/>
        </w:rPr>
        <w:t>以一个简化示例说明配额约束。假设某类别有100个候选目标，Q1—Q5各包含20个目标，每层计划选择6个。某层内三个风险格分别包含9、7、4个候选，按比例分配得到2.7、2.1、1.2个名额。采用最大余数法，先取整数部分，再将剩余名额分配给余数最大的风险格，最终配额为3、2、1。每轮从当前层所有尚有剩余格配额的候选中比较覆盖增益，选择增益最大的目标；某格配额用满后，该格剩余目标不再参与选择。完成当前层的6个名额后进入下一层，状态支持数继续累计。该例仅说明算法约束，不代表实际实验规模。</w:t>
      </w:r>
    </w:p>
    <w:p w14:paraId="6304844D">
      <w:pPr>
        <w:keepLines/>
        <w:spacing w:after="100" w:line="312" w:lineRule="auto"/>
        <w:ind w:firstLine="425"/>
      </w:pPr>
      <w:r>
        <w:rPr>
          <w:rFonts w:ascii="Times New Roman" w:hAnsi="Times New Roman" w:eastAsia="宋体"/>
          <w:b w:val="0"/>
          <w:sz w:val="22"/>
        </w:rPr>
        <w:t>在共同配额选样中，风险层和风险格配额限定候选目标的可选范围，覆盖增益决定该范围内的选择优先级。因此，该过程是风险配额约束下的条件贪心选择，其覆盖结果描述给定风险构成下所选集合的状态证据分布。风险与覆盖承担不同功能，并不意味着二者在统计上独立。覆盖指标本身仍可用于评价其他目标集合，并不限于该选样过程。</w:t>
      </w:r>
    </w:p>
    <w:p w14:paraId="3B718656">
      <w:pPr>
        <w:keepNext/>
        <w:keepLines/>
        <w:spacing w:after="100" w:line="312" w:lineRule="auto"/>
        <w:rPr>
          <w:rFonts w:ascii="Times New Roman" w:hAnsi="Times New Roman" w:eastAsia="宋体"/>
          <w:b w:val="0"/>
          <w:sz w:val="18"/>
        </w:rPr>
      </w:pPr>
      <w:r>
        <w:rPr>
          <w:rFonts w:ascii="Times New Roman" w:hAnsi="Times New Roman" w:eastAsia="宋体"/>
          <w:b w:val="0"/>
          <w:sz w:val="18"/>
        </w:rPr>
        <w:t>算法1给出主覆盖选样的执行过程。设单一来源、单一类别的候选数为</w:t>
      </w:r>
      <m:oMath>
        <m:r>
          <m:rPr/>
          <w:rPr>
            <w:rFonts w:ascii="Cambria Math" w:hAnsi="Cambria Math"/>
            <w:sz w:val="22"/>
          </w:rPr>
          <m:t>n</m:t>
        </m:r>
      </m:oMath>
      <w:r>
        <w:rPr>
          <w:rFonts w:ascii="Times New Roman" w:hAnsi="Times New Roman" w:eastAsia="宋体"/>
          <w:b w:val="0"/>
          <w:sz w:val="18"/>
        </w:rPr>
        <w:t>，状态数为</w:t>
      </w:r>
      <m:oMath>
        <m:r>
          <m:rPr/>
          <w:rPr>
            <w:rFonts w:ascii="Cambria Math" w:hAnsi="Cambria Math"/>
            <w:sz w:val="22"/>
          </w:rPr>
          <m:t>v</m:t>
        </m:r>
      </m:oMath>
      <w:r>
        <w:rPr>
          <w:rFonts w:ascii="Times New Roman" w:hAnsi="Times New Roman" w:eastAsia="宋体"/>
          <w:b w:val="0"/>
          <w:sz w:val="18"/>
        </w:rPr>
        <w:t>，选出目标数为</w:t>
      </w:r>
      <m:oMath>
        <m:r>
          <m:rPr/>
          <w:rPr>
            <w:rFonts w:ascii="Cambria Math" w:hAnsi="Cambria Math"/>
            <w:sz w:val="22"/>
          </w:rPr>
          <m:t>t</m:t>
        </m:r>
      </m:oMath>
      <w:r>
        <w:rPr>
          <w:rFonts w:ascii="Times New Roman" w:hAnsi="Times New Roman" w:eastAsia="宋体"/>
          <w:b w:val="0"/>
          <w:sz w:val="18"/>
        </w:rPr>
        <w:t>。当前实现逐轮扫描可行目标并重新计算状态增益，贪心部分时间上界为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tnv</m:t>
        </m:r>
        <m:r>
          <m:rPr>
            <m:sty m:val="p"/>
          </m:rPr>
          <w:rPr>
            <w:rFonts w:ascii="Cambria Math" w:hAnsi="Cambria Math"/>
            <w:sz w:val="22"/>
          </w:rPr>
          <m:t>)</m:t>
        </m:r>
      </m:oMath>
      <w:r>
        <w:rPr>
          <w:rFonts w:ascii="Times New Roman" w:hAnsi="Times New Roman" w:eastAsia="宋体"/>
          <w:b w:val="0"/>
          <w:sz w:val="18"/>
        </w:rPr>
        <w:t>；风险排序另需</w:t>
      </w:r>
      <m:oMath>
        <m:r>
          <m:rPr/>
          <w:rPr>
            <w:rFonts w:ascii="Cambria Math" w:hAnsi="Cambria Math"/>
            <w:sz w:val="22"/>
          </w:rPr>
          <m:t>O</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log</m:t>
        </m:r>
        <m:r>
          <m:rPr/>
          <w:rPr>
            <w:rFonts w:ascii="Cambria Math" w:hAnsi="Cambria Math"/>
            <w:sz w:val="22"/>
          </w:rPr>
          <m:t>n</m:t>
        </m:r>
        <m:r>
          <m:rPr>
            <m:sty m:val="p"/>
          </m:rPr>
          <w:rPr>
            <w:rFonts w:ascii="Cambria Math" w:hAnsi="Cambria Math"/>
            <w:sz w:val="22"/>
          </w:rPr>
          <m:t>)</m:t>
        </m:r>
      </m:oMath>
      <w:r>
        <w:rPr>
          <w:rFonts w:ascii="Times New Roman" w:hAnsi="Times New Roman" w:eastAsia="宋体"/>
          <w:b w:val="0"/>
          <w:sz w:val="18"/>
        </w:rPr>
        <w:t>。稠密状态矩阵及选样记录的空间上界为</w:t>
      </w:r>
      <m:oMath>
        <m:r>
          <m:rPr/>
          <w:rPr>
            <w:rFonts w:ascii="Cambria Math" w:hAnsi="Cambria Math"/>
            <w:sz w:val="22"/>
          </w:rPr>
          <m:t>O</m:t>
        </m:r>
        <m:r>
          <m:rPr>
            <m:sty m:val="p"/>
          </m:rPr>
          <w:rPr>
            <w:rFonts w:ascii="Cambria Math" w:hAnsi="Cambria Math"/>
            <w:sz w:val="22"/>
          </w:rPr>
          <m:t>(</m:t>
        </m:r>
        <m:r>
          <m:rPr/>
          <w:rPr>
            <w:rFonts w:ascii="Cambria Math" w:hAnsi="Cambria Math"/>
            <w:sz w:val="22"/>
          </w:rPr>
          <m:t>nv</m:t>
        </m:r>
        <m:r>
          <m:rPr>
            <m:sty m:val="p"/>
          </m:rPr>
          <w:rPr>
            <w:rFonts w:ascii="Cambria Math" w:hAnsi="Cambria Math"/>
            <w:sz w:val="22"/>
          </w:rPr>
          <m:t>+</m:t>
        </m:r>
        <m:r>
          <m:rPr/>
          <w:rPr>
            <w:rFonts w:ascii="Cambria Math" w:hAnsi="Cambria Math"/>
            <w:sz w:val="22"/>
          </w:rPr>
          <m:t>n</m:t>
        </m:r>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w:r>
        <w:rPr>
          <w:rFonts w:ascii="Times New Roman" w:hAnsi="Times New Roman" w:eastAsia="宋体"/>
          <w:b w:val="0"/>
          <w:sz w:val="18"/>
        </w:rPr>
        <w:t>。该分析不包含VLM标注和分类器表征提取的计算成本。</w:t>
      </w:r>
    </w:p>
    <w:p w14:paraId="7FD2F210">
      <w:pPr>
        <w:keepNext/>
        <w:keepLines/>
        <w:pBdr>
          <w:top w:val="single" w:color="auto" w:sz="4" w:space="0"/>
        </w:pBdr>
        <w:spacing w:after="100" w:line="312" w:lineRule="auto"/>
      </w:pPr>
      <w:bookmarkStart w:id="0" w:name="_GoBack"/>
      <w:bookmarkEnd w:id="0"/>
      <w:r>
        <w:rPr>
          <w:rFonts w:ascii="Times New Roman" w:hAnsi="Times New Roman" w:eastAsia="宋体"/>
          <w:b w:val="0"/>
          <w:sz w:val="18"/>
        </w:rPr>
        <w:t>算法1　共同风险配额约束下的覆盖引导贪心选择。</w:t>
      </w:r>
    </w:p>
    <w:p w14:paraId="34C6BFBD">
      <w:pPr>
        <w:keepNext/>
        <w:keepLines/>
        <w:spacing w:after="40" w:line="276" w:lineRule="auto"/>
        <w:ind w:left="0" w:firstLine="0"/>
      </w:pPr>
      <w:r>
        <w:rPr>
          <w:rFonts w:ascii="Times New Roman" w:hAnsi="Times New Roman" w:eastAsia="宋体"/>
          <w:b w:val="0"/>
          <w:sz w:val="20"/>
        </w:rPr>
        <w:t>输入：指定来源</w:t>
      </w:r>
      <m:oMath>
        <m:r>
          <m:rPr/>
          <w:rPr>
            <w:rFonts w:ascii="Cambria Math" w:hAnsi="Cambria Math"/>
            <w:sz w:val="22"/>
          </w:rPr>
          <m:t>r</m:t>
        </m:r>
      </m:oMath>
      <w:r>
        <w:rPr>
          <w:rFonts w:ascii="Times New Roman" w:hAnsi="Times New Roman" w:eastAsia="宋体"/>
          <w:b w:val="0"/>
          <w:sz w:val="20"/>
        </w:rPr>
        <w:t>、类别</w:t>
      </w:r>
      <m:oMath>
        <m:r>
          <m:rPr/>
          <w:rPr>
            <w:rFonts w:ascii="Cambria Math" w:hAnsi="Cambria Math"/>
            <w:sz w:val="22"/>
          </w:rPr>
          <m:t>c</m:t>
        </m:r>
      </m:oMath>
      <w:r>
        <w:rPr>
          <w:rFonts w:ascii="Times New Roman" w:hAnsi="Times New Roman" w:eastAsia="宋体"/>
          <w:b w:val="0"/>
          <w:sz w:val="20"/>
        </w:rPr>
        <w:t>的状态矩阵、风险层、风险格及格内配额。</w:t>
      </w:r>
    </w:p>
    <w:p w14:paraId="46FE741D">
      <w:pPr>
        <w:keepNext/>
        <w:keepLines/>
        <w:spacing w:after="40" w:line="276" w:lineRule="auto"/>
        <w:ind w:left="0" w:firstLine="0"/>
        <w:rPr>
          <w:rFonts w:ascii="Times New Roman" w:hAnsi="Times New Roman" w:eastAsia="宋体"/>
          <w:b w:val="0"/>
          <w:sz w:val="20"/>
        </w:rPr>
      </w:pPr>
      <w:r>
        <w:rPr>
          <w:rFonts w:ascii="Times New Roman" w:hAnsi="Times New Roman" w:eastAsia="宋体"/>
          <w:b w:val="0"/>
          <w:sz w:val="20"/>
        </w:rPr>
        <w:t>输出：选样顺序及层配额完成边界处的预算前缀集合。</w:t>
      </w:r>
    </w:p>
    <w:p w14:paraId="1DB1A0A0">
      <w:pPr>
        <w:keepNext/>
        <w:keepLines/>
        <w:pBdr>
          <w:top w:val="none" w:color="auto" w:sz="0" w:space="0"/>
        </w:pBdr>
        <w:spacing w:after="40" w:line="276" w:lineRule="auto"/>
      </w:pPr>
      <w:r>
        <w:rPr>
          <w:rFonts w:ascii="Times New Roman" w:hAnsi="Times New Roman" w:eastAsia="宋体"/>
          <w:b w:val="0"/>
          <w:sz w:val="20"/>
        </w:rPr>
        <w:t>1  初始化：</w:t>
      </w:r>
      <m:oMath>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，选样顺序为空，各状态支持数为零。</w:t>
      </w:r>
    </w:p>
    <w:p w14:paraId="32E9C8CD">
      <w:pPr>
        <w:keepNext/>
        <w:keepLines/>
        <w:spacing w:after="40" w:line="276" w:lineRule="auto"/>
        <w:ind w:left="68" w:firstLine="0"/>
      </w:pPr>
      <w:r>
        <w:rPr>
          <w:rFonts w:ascii="Times New Roman" w:hAnsi="Times New Roman" w:eastAsia="宋体"/>
          <w:b w:val="0"/>
          <w:sz w:val="20"/>
        </w:rPr>
        <w:t xml:space="preserve">2  for </w:t>
      </w:r>
      <m:oMath>
        <m:r>
          <m:rPr/>
          <w:rPr>
            <w:rFonts w:ascii="Cambria Math" w:hAnsi="Cambria Math"/>
            <w:sz w:val="22"/>
          </w:rPr>
          <m:t>ℓ</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5</m:t>
        </m:r>
      </m:oMath>
      <w:r>
        <w:rPr>
          <w:rFonts w:ascii="Times New Roman" w:hAnsi="Times New Roman" w:eastAsia="宋体"/>
          <w:b w:val="0"/>
          <w:sz w:val="20"/>
        </w:rPr>
        <w:t xml:space="preserve"> do</w:t>
      </w:r>
    </w:p>
    <w:p w14:paraId="6590506B">
      <w:pPr>
        <w:keepNext/>
        <w:keepLines/>
        <w:spacing w:after="40" w:line="276" w:lineRule="auto"/>
        <w:ind w:left="340" w:firstLine="0"/>
      </w:pPr>
      <w:r>
        <w:rPr>
          <w:rFonts w:ascii="Times New Roman" w:hAnsi="Times New Roman" w:eastAsia="宋体"/>
          <w:b w:val="0"/>
          <w:sz w:val="20"/>
        </w:rPr>
        <w:t>3      将当前风险层内各格的已选用量置零。</w:t>
      </w:r>
    </w:p>
    <w:p w14:paraId="52E878D6">
      <w:pPr>
        <w:keepNext/>
        <w:keepLines/>
        <w:spacing w:after="40" w:line="276" w:lineRule="auto"/>
        <w:ind w:left="340" w:firstLine="0"/>
      </w:pPr>
      <w:r>
        <w:rPr>
          <w:rFonts w:ascii="Times New Roman" w:hAnsi="Times New Roman" w:eastAsia="宋体"/>
          <w:b w:val="0"/>
          <w:sz w:val="20"/>
        </w:rPr>
        <w:t>4      while 当前风险层的配额尚未完成 do</w:t>
      </w:r>
    </w:p>
    <w:p w14:paraId="0D9DA63C">
      <w:pPr>
        <w:keepNext/>
        <w:keepLines/>
        <w:spacing w:after="40" w:line="276" w:lineRule="auto"/>
        <w:ind w:left="612" w:firstLine="0"/>
      </w:pPr>
      <w:r>
        <w:rPr>
          <w:rFonts w:ascii="Times New Roman" w:hAnsi="Times New Roman" w:eastAsia="宋体"/>
          <w:b w:val="0"/>
          <w:sz w:val="20"/>
        </w:rPr>
        <w:t>5          构造可行集合：当前层内未选中且所在格仍有剩余配额的目标。</w:t>
      </w:r>
    </w:p>
    <w:p w14:paraId="19448E97">
      <w:pPr>
        <w:keepNext/>
        <w:keepLines/>
        <w:spacing w:after="40" w:line="276" w:lineRule="auto"/>
        <w:ind w:left="612" w:firstLine="0"/>
      </w:pPr>
      <w:r>
        <w:rPr>
          <w:rFonts w:ascii="Times New Roman" w:hAnsi="Times New Roman" w:eastAsia="宋体"/>
          <w:b w:val="0"/>
          <w:sz w:val="20"/>
        </w:rPr>
        <w:t>6          选择</w:t>
      </w:r>
      <m:oMath>
        <m:sSubSup>
          <m:sSubSupPr/>
          <m:e>
            <m:r>
              <m:rPr/>
              <w:rPr>
                <w:rFonts w:ascii="Cambria Math" w:hAnsi="Cambria Math"/>
                <w:sz w:val="22"/>
              </w:rPr>
              <m:t>g</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i</m:t>
        </m:r>
        <m:r>
          <m:rPr>
            <m:sty m:val="p"/>
          </m:rPr>
          <w:rPr>
            <w:rFonts w:ascii="Cambria Math" w:hAnsi="Cambria Math"/>
            <w:sz w:val="22"/>
          </w:rPr>
          <m:t>∣</m:t>
        </m:r>
        <m:r>
          <m:rPr/>
          <w:rPr>
            <w:rFonts w:ascii="Cambria Math" w:hAnsi="Cambria Math"/>
            <w:sz w:val="22"/>
          </w:rPr>
          <m:t>S</m:t>
        </m:r>
        <m:r>
          <m:rPr>
            <m:sty m:val="p"/>
          </m:rPr>
          <w:rPr>
            <w:rFonts w:ascii="Cambria Math" w:hAnsi="Cambria Math"/>
            <w:sz w:val="22"/>
          </w:rPr>
          <m:t>)</m:t>
        </m:r>
      </m:oMath>
      <w:r>
        <w:rPr>
          <w:rFonts w:ascii="Times New Roman" w:hAnsi="Times New Roman" w:eastAsia="宋体"/>
          <w:b w:val="0"/>
          <w:sz w:val="20"/>
        </w:rPr>
        <w:t>最大的目标，同分按目标ID升序。</w:t>
      </w:r>
    </w:p>
    <w:p w14:paraId="25EF366F">
      <w:pPr>
        <w:keepNext/>
        <w:keepLines/>
        <w:spacing w:after="40" w:line="276" w:lineRule="auto"/>
        <w:ind w:left="612" w:firstLine="0"/>
      </w:pPr>
      <w:r>
        <w:rPr>
          <w:rFonts w:ascii="Times New Roman" w:hAnsi="Times New Roman" w:eastAsia="宋体"/>
          <w:b w:val="0"/>
          <w:sz w:val="20"/>
        </w:rPr>
        <w:t>7          将目标加入</w:t>
      </w:r>
      <m:oMath>
        <m:r>
          <m:rPr/>
          <w:rPr>
            <w:rFonts w:ascii="Cambria Math" w:hAnsi="Cambria Math"/>
            <w:sz w:val="22"/>
          </w:rPr>
          <m:t>S</m:t>
        </m:r>
      </m:oMath>
      <w:r>
        <w:rPr>
          <w:rFonts w:ascii="Times New Roman" w:hAnsi="Times New Roman" w:eastAsia="宋体"/>
          <w:b w:val="0"/>
          <w:sz w:val="20"/>
        </w:rPr>
        <w:t>并追加到选样顺序，更新状态支持数与格内用量。</w:t>
      </w:r>
    </w:p>
    <w:p w14:paraId="69DD0C4A">
      <w:pPr>
        <w:keepNext/>
        <w:keepLines/>
        <w:spacing w:after="40" w:line="276" w:lineRule="auto"/>
        <w:ind w:left="340" w:firstLine="0"/>
      </w:pPr>
      <w:r>
        <w:rPr>
          <w:rFonts w:ascii="Times New Roman" w:hAnsi="Times New Roman" w:eastAsia="宋体"/>
          <w:b w:val="0"/>
          <w:sz w:val="20"/>
        </w:rPr>
        <w:t>8      end while</w:t>
      </w:r>
    </w:p>
    <w:p w14:paraId="703466E5">
      <w:pPr>
        <w:keepNext/>
        <w:keepLines/>
        <w:spacing w:after="40" w:line="276" w:lineRule="auto"/>
        <w:ind w:left="340" w:firstLine="0"/>
      </w:pPr>
      <w:r>
        <w:rPr>
          <w:rFonts w:ascii="Times New Roman" w:hAnsi="Times New Roman" w:eastAsia="宋体"/>
          <w:b w:val="0"/>
          <w:sz w:val="20"/>
        </w:rPr>
        <w:t>9      核对当前层的实际风险格频数是否等于预定配额。</w:t>
      </w:r>
    </w:p>
    <w:p w14:paraId="2032FF57">
      <w:pPr>
        <w:keepNext/>
        <w:keepLines/>
        <w:spacing w:after="40" w:line="276" w:lineRule="auto"/>
        <w:ind w:left="0" w:firstLine="0"/>
      </w:pPr>
      <w:r>
        <w:rPr>
          <w:rFonts w:ascii="Times New Roman" w:hAnsi="Times New Roman" w:eastAsia="宋体"/>
          <w:b w:val="0"/>
          <w:sz w:val="20"/>
        </w:rPr>
        <w:t>10 end for</w:t>
      </w:r>
    </w:p>
    <w:p w14:paraId="38985741">
      <w:pPr>
        <w:keepNext w:val="0"/>
        <w:keepLines/>
        <w:pBdr>
          <w:bottom w:val="single" w:color="auto" w:sz="4" w:space="0"/>
        </w:pBdr>
        <w:spacing w:after="40" w:line="276" w:lineRule="auto"/>
        <w:ind w:left="0" w:firstLine="0"/>
      </w:pPr>
      <w:r>
        <w:rPr>
          <w:rFonts w:ascii="Times New Roman" w:hAnsi="Times New Roman" w:eastAsia="宋体"/>
          <w:b w:val="0"/>
          <w:sz w:val="20"/>
        </w:rPr>
        <w:t>11 return 选样顺序及各预算前缀集合。</w:t>
      </w:r>
    </w:p>
    <w:p w14:paraId="6872B7B4">
      <w:pPr>
        <w:keepNext w:val="0"/>
        <w:keepLines/>
        <w:spacing w:after="100" w:line="312" w:lineRule="auto"/>
        <w:ind w:firstLine="425"/>
        <w:rPr>
          <w:rFonts w:ascii="Times New Roman" w:hAnsi="Times New Roman" w:eastAsia="宋体"/>
          <w:b w:val="0"/>
          <w:sz w:val="22"/>
        </w:rPr>
      </w:pPr>
    </w:p>
    <w:p w14:paraId="09526AA7">
      <w:pPr>
        <w:keepNext w:val="0"/>
        <w:keepLines/>
        <w:spacing w:after="100" w:line="312" w:lineRule="auto"/>
        <w:ind w:firstLine="425"/>
      </w:pPr>
      <w:r>
        <w:rPr>
          <w:rFonts w:ascii="Times New Roman" w:hAnsi="Times New Roman" w:eastAsia="宋体"/>
          <w:b w:val="0"/>
          <w:sz w:val="22"/>
        </w:rPr>
        <w:t>状态计数在风险层循环外初始化，并在各层之间累计。</w:t>
      </w:r>
    </w:p>
    <w:p w14:paraId="118DA510">
      <w:pPr>
        <w:keepLines/>
        <w:spacing w:after="100" w:line="312" w:lineRule="auto"/>
        <w:ind w:firstLine="425"/>
      </w:pPr>
      <w:r>
        <w:rPr>
          <w:rFonts w:ascii="Times New Roman" w:hAnsi="Times New Roman" w:eastAsia="宋体"/>
          <w:b w:val="0"/>
          <w:sz w:val="22"/>
        </w:rPr>
        <w:t>选样增益采用对数边际增益，报告覆盖采用线性截断贡献，二者分别定义。该策略用于优先补充稀缺状态，不声称严格优化报告覆盖值，也不直接优化错误数量或分类准确率。</w:t>
      </w:r>
    </w:p>
    <w:p w14:paraId="5F2C439C">
      <w:pPr>
        <w:pStyle w:val="3"/>
        <w:spacing w:before="180" w:after="100"/>
        <w:rPr>
          <w:rFonts w:hint="default" w:ascii="黑体" w:hAnsi="黑体" w:eastAsia="黑体" w:cs="黑体"/>
          <w:lang w:val="en-US" w:eastAsia="zh-CN"/>
        </w:rPr>
      </w:pPr>
      <w:r>
        <w:rPr>
          <w:rFonts w:hint="eastAsia" w:ascii="黑体" w:hAnsi="黑体" w:eastAsia="黑体" w:cs="黑体"/>
        </w:rPr>
        <w:t xml:space="preserve">3.4 </w:t>
      </w:r>
      <w:r>
        <w:rPr>
          <w:rFonts w:hint="eastAsia" w:ascii="黑体" w:hAnsi="黑体" w:eastAsia="黑体" w:cs="黑体"/>
          <w:lang w:val="en-US" w:eastAsia="zh-CN"/>
        </w:rPr>
        <w:t>视觉风险分层与测试组织</w:t>
      </w:r>
    </w:p>
    <w:p w14:paraId="4058BA44">
      <w:pPr>
        <w:pStyle w:val="4"/>
        <w:spacing w:before="180" w:after="100"/>
        <w:rPr>
          <w:rFonts w:hint="eastAsia" w:ascii="黑体" w:hAnsi="黑体" w:eastAsia="黑体" w:cs="黑体"/>
        </w:rPr>
      </w:pPr>
      <w:r>
        <w:rPr>
          <w:rFonts w:hint="eastAsia" w:ascii="黑体" w:hAnsi="黑体" w:eastAsia="黑体" w:cs="黑体"/>
        </w:rPr>
        <w:t>3.4.1 预定义风险评分</w:t>
      </w:r>
    </w:p>
    <w:p>
      <w:pPr>
        <w:keepNext/>
        <w:keepLines/>
        <w:spacing w:after="100" w:line="312" w:lineRule="auto"/>
        <w:ind w:firstLine="425"/>
      </w:pPr>
      <w:r>
        <w:t>风险评分采用第3.2节展开的五个整体字段：程序计算的目标尺度，以及VLM描述的身体可见性、遮挡程度、截断程度和身体朝向。头部、面部、肢体和头发等局部细项只在相应协议中单独记录，当前分值仍严格使用下表的整体字段映射。</w:t>
      </w:r>
    </w:p>
    <w:p w14:paraId="28BD8E42">
      <w:pPr>
        <w:keepNext/>
        <w:keepLines/>
        <w:spacing w:after="100" w:line="312" w:lineRule="auto"/>
        <w:ind w:firstLine="425"/>
      </w:pPr>
      <w:r>
        <w:rPr>
          <w:rFonts w:ascii="Times New Roman" w:hAnsi="Times New Roman" w:eastAsia="宋体"/>
          <w:b w:val="0"/>
          <w:sz w:val="22"/>
        </w:rPr>
        <w:t>选取尺度、身体可见性、遮挡、截断和朝向五个维度构造视觉风险。设风险维度集合为</w:t>
      </w:r>
      <m:oMath>
        <m:r>
          <m:rPr/>
          <w:rPr>
            <w:rFonts w:ascii="Cambria Math" w:hAnsi="Cambria Math"/>
            <w:sz w:val="22"/>
          </w:rPr>
          <m:t>D</m:t>
        </m:r>
      </m:oMath>
      <w:r>
        <w:rPr>
          <w:rFonts w:ascii="Times New Roman" w:hAnsi="Times New Roman" w:eastAsia="宋体"/>
          <w:b w:val="0"/>
          <w:sz w:val="22"/>
        </w:rPr>
        <w:t>，第</w:t>
      </w:r>
      <m:oMath>
        <m:r>
          <m:rPr/>
          <w:rPr>
            <w:rFonts w:ascii="Cambria Math" w:hAnsi="Cambria Math"/>
            <w:sz w:val="22"/>
          </w:rPr>
          <m:t>d</m:t>
        </m:r>
      </m:oMath>
      <w:r>
        <w:rPr>
          <w:rFonts w:ascii="Times New Roman" w:hAnsi="Times New Roman" w:eastAsia="宋体"/>
          <w:b w:val="0"/>
          <w:sz w:val="22"/>
        </w:rPr>
        <w:t>维的映射为</w:t>
      </w:r>
      <m:oMath>
        <m:sSub>
          <m:sSubPr/>
          <m:e>
            <m:r>
              <m:rPr/>
              <w:rPr>
                <w:rFonts w:ascii="Cambria Math" w:hAnsi="Cambria Math"/>
                <w:sz w:val="22"/>
              </w:rPr>
              <m:t>h</m:t>
            </m:r>
          </m:e>
          <m:sub>
            <m:r>
              <m:rPr/>
              <w:rPr>
                <w:rFonts w:ascii="Cambria Math" w:hAnsi="Cambria Math"/>
                <w:sz w:val="22"/>
              </w:rPr>
              <m:t>d</m:t>
            </m:r>
          </m:sub>
        </m:sSub>
      </m:oMath>
      <w:r>
        <w:rPr>
          <w:rFonts w:ascii="Times New Roman" w:hAnsi="Times New Roman" w:eastAsia="宋体"/>
          <w:b w:val="0"/>
          <w:sz w:val="22"/>
        </w:rPr>
        <w:t>，目标的综合风险为：</w:t>
      </w:r>
    </w:p>
    <w:p w14:paraId="704932F5">
      <w:pPr>
        <w:spacing w:before="80" w:after="140"/>
        <w:jc w:val="center"/>
      </w:pPr>
      <m:oMathPara>
        <m:oMath>
          <m:sSubSup>
            <m:sSubSupPr/>
            <m:e>
              <m:r>
                <m:rPr/>
                <w:rPr>
                  <w:rFonts w:ascii="Cambria Math" w:hAnsi="Cambria Math"/>
                  <w:sz w:val="22"/>
                </w:rPr>
                <m:t>H</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nary>
            <m:naryPr>
              <m:chr m:val="∑"/>
              <m:limLoc m:val="undOvr"/>
              <m:supHide m:val="1"/>
            </m:naryPr>
            <m:sub>
              <m:r>
                <m:rPr/>
                <w:rPr>
                  <w:rFonts w:ascii="Cambria Math" w:hAnsi="Cambria Math"/>
                  <w:sz w:val="22"/>
                </w:rPr>
                <m:t>d</m:t>
              </m:r>
              <m:r>
                <m:rPr>
                  <m:sty m:val="p"/>
                </m:rPr>
                <w:rPr>
                  <w:rFonts w:ascii="Cambria Math" w:hAnsi="Cambria Math"/>
                  <w:sz w:val="22"/>
                </w:rPr>
                <m:t>∈</m:t>
              </m:r>
              <m:r>
                <m:rPr/>
                <w:rPr>
                  <w:rFonts w:ascii="Cambria Math" w:hAnsi="Cambria Math"/>
                  <w:sz w:val="22"/>
                </w:rPr>
                <m:t>D</m:t>
              </m:r>
            </m:sub>
            <m:sup>
              <m:r>
                <m:rPr/>
                <w:rPr>
                  <w:rFonts w:ascii="Cambria Math" w:hAnsi="Cambria Math"/>
                  <w:sz w:val="22"/>
                </w:rPr>
                <m:t>​</m:t>
              </m:r>
            </m:sup>
            <m:e>
              <m:sSub>
                <m:sSubPr/>
                <m:e>
                  <m:r>
                    <m:rPr/>
                    <w:rPr>
                      <w:rFonts w:ascii="Cambria Math" w:hAnsi="Cambria Math"/>
                      <w:sz w:val="22"/>
                    </w:rPr>
                    <m:t>h</m:t>
                  </m:r>
                </m:e>
                <m:sub>
                  <m:r>
                    <m:rPr/>
                    <w:rPr>
                      <w:rFonts w:ascii="Cambria Math" w:hAnsi="Cambria Math"/>
                      <w:sz w:val="22"/>
                    </w:rPr>
                    <m:t>d</m:t>
                  </m:r>
                </m:sub>
              </m:sSub>
            </m:e>
          </m:nary>
          <m:d>
            <m:dPr>
              <m:sepChr m:val=""/>
            </m:dPr>
            <m:e>
              <m:r>
                <m:rPr/>
                <w:rPr>
                  <w:rFonts w:ascii="Cambria Math" w:hAnsi="Cambria Math"/>
                  <w:sz w:val="22"/>
                </w:rPr>
                <m:t>i</m:t>
              </m:r>
              <m:r>
                <m:rPr>
                  <m:sty m:val="p"/>
                </m:rPr>
                <w:rPr>
                  <w:rFonts w:ascii="Cambria Math" w:hAnsi="Cambria Math"/>
                  <w:sz w:val="22"/>
                </w:rPr>
                <m:t>,</m:t>
              </m:r>
              <m:r>
                <m:rPr/>
                <w:rPr>
                  <w:rFonts w:ascii="Cambria Math" w:hAnsi="Cambria Math"/>
                  <w:sz w:val="22"/>
                </w:rPr>
                <m:t>r</m:t>
              </m:r>
            </m:e>
          </m:d>
          <m:r>
            <m:rPr>
              <m:sty m:val="p"/>
            </m:rPr>
            <w:rPr>
              <w:rFonts w:ascii="Cambria Math" w:hAnsi="Cambria Math"/>
              <w:sz w:val="22"/>
            </w:rPr>
            <m:t>.</m:t>
          </m:r>
        </m:oMath>
      </m:oMathPara>
    </w:p>
    <w:p w14:paraId="5FB8CF3C">
      <w:pPr>
        <w:keepLines/>
        <w:spacing w:after="100" w:line="312" w:lineRule="auto"/>
        <w:ind w:firstLine="425"/>
      </w:pPr>
      <w:r>
        <w:rPr>
          <w:rFonts w:ascii="Times New Roman" w:hAnsi="Times New Roman" w:eastAsia="宋体"/>
          <w:b w:val="0"/>
          <w:sz w:val="22"/>
        </w:rPr>
        <w:t>各维度映射如表3所示。尺度分值由</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22"/>
        </w:rPr>
        <w:t>计算，其他分值由相应来源的状态确定。该映射为预定义的启发式测试组织规则，不是由分类性能拟合的最优权重。主评分直接累加各维分值，未先将各维归一到相同范围；不同最大分值形成隐含权重，因此不能把此式解释为各维影响相等。评分不读取被测分类器的预测、置信度、表征或错误，也不使用VLM的可识别性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1"/>
        <w:gridCol w:w="7937"/>
      </w:tblGrid>
      <w:tr w14:paraId="39435647">
        <w:trPr>
          <w:cantSplit/>
          <w:jc w:val="center"/>
        </w:trPr>
        <w:tc>
          <w:tcPr>
            <w:tcW w:w="4819" w:type="dxa"/>
          </w:tcPr>
          <w:p w14:paraId="40095313">
            <w:pPr>
              <w:spacing w:after="60" w:line="276" w:lineRule="auto"/>
            </w:pPr>
            <w:r>
              <w:rPr>
                <w:rFonts w:ascii="Times New Roman" w:hAnsi="Times New Roman" w:eastAsia="黑体"/>
                <w:b/>
                <w:sz w:val="19"/>
              </w:rPr>
              <w:t>维度</w:t>
            </w:r>
          </w:p>
        </w:tc>
        <w:tc>
          <w:tcPr>
            <w:tcW w:w="4819" w:type="dxa"/>
          </w:tcPr>
          <w:p w14:paraId="21498E26">
            <w:pPr>
              <w:spacing w:after="60" w:line="276" w:lineRule="auto"/>
            </w:pPr>
            <w:r>
              <w:rPr>
                <w:rFonts w:ascii="Times New Roman" w:hAnsi="Times New Roman" w:eastAsia="黑体"/>
                <w:b/>
                <w:sz w:val="19"/>
              </w:rPr>
              <w:t>状态或区间及对应分值</w:t>
            </w:r>
          </w:p>
        </w:tc>
      </w:tr>
      <w:tr w14:paraId="24630555">
        <w:trPr>
          <w:cantSplit/>
          <w:jc w:val="center"/>
        </w:trPr>
        <w:tc>
          <w:tcPr>
            <w:tcW w:w="4819" w:type="dxa"/>
          </w:tcPr>
          <w:p w14:paraId="6143A7B9">
            <w:pPr>
              <w:spacing w:after="60" w:line="276" w:lineRule="auto"/>
            </w:pPr>
            <w:r>
              <w:rPr>
                <w:rFonts w:ascii="Times New Roman" w:hAnsi="Times New Roman" w:eastAsia="宋体"/>
                <w:b w:val="0"/>
                <w:sz w:val="19"/>
              </w:rPr>
              <w:t>目标尺度</w:t>
            </w:r>
          </w:p>
        </w:tc>
        <w:tc>
          <w:tcPr>
            <w:tcW w:w="4819" w:type="dxa"/>
          </w:tcPr>
          <w:p w14:paraId="0158F60C">
            <w:pPr>
              <w:spacing w:after="60" w:line="276" w:lineRule="auto"/>
            </w:pP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m:t>
              </m:r>
              <m:r>
                <m:rPr/>
                <w:rPr>
                  <w:rFonts w:ascii="Cambria Math" w:hAnsi="Cambria Math"/>
                  <w:sz w:val="19"/>
                </w:rPr>
                <m:t>0.10</m:t>
              </m:r>
            </m:oMath>
            <w:r>
              <w:rPr>
                <w:rFonts w:ascii="Times New Roman" w:hAnsi="Times New Roman" w:eastAsia="宋体"/>
                <w:b w:val="0"/>
                <w:sz w:val="19"/>
              </w:rPr>
              <w:t>：0；</w:t>
            </w:r>
            <m:oMath>
              <m:r>
                <m:rPr/>
                <w:rPr>
                  <w:rFonts w:ascii="Cambria Math" w:hAnsi="Cambria Math"/>
                  <w:sz w:val="19"/>
                </w:rPr>
                <m:t>0.03</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0.10</m:t>
              </m:r>
            </m:oMath>
            <w:r>
              <w:rPr>
                <w:rFonts w:ascii="Times New Roman" w:hAnsi="Times New Roman" w:eastAsia="宋体"/>
                <w:b w:val="0"/>
                <w:sz w:val="19"/>
              </w:rPr>
              <w:t>：1；</w:t>
            </w:r>
            <m:oMath>
              <m:r>
                <m:rPr/>
                <w:rPr>
                  <w:rFonts w:ascii="Cambria Math" w:hAnsi="Cambria Math"/>
                  <w:sz w:val="19"/>
                </w:rPr>
                <m:t>0.01</m:t>
              </m:r>
              <m:r>
                <m:rPr>
                  <m:sty m:val="p"/>
                </m:rPr>
                <w:rPr>
                  <w:rFonts w:ascii="Cambria Math" w:hAnsi="Cambria Math"/>
                  <w:sz w:val="19"/>
                </w:rPr>
                <m:t>≤</m:t>
              </m:r>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0.03</m:t>
              </m:r>
            </m:oMath>
            <w:r>
              <w:rPr>
                <w:rFonts w:ascii="Times New Roman" w:hAnsi="Times New Roman" w:eastAsia="宋体"/>
                <w:b w:val="0"/>
                <w:sz w:val="19"/>
              </w:rPr>
              <w:t>：2；</w:t>
            </w:r>
            <m:oMath>
              <m:sSub>
                <m:sSubPr/>
                <m:e>
                  <m:r>
                    <m:rPr/>
                    <w:rPr>
                      <w:rFonts w:ascii="Cambria Math" w:hAnsi="Cambria Math"/>
                      <w:sz w:val="19"/>
                    </w:rPr>
                    <m:t>a</m:t>
                  </m:r>
                </m:e>
                <m:sub>
                  <m:r>
                    <m:rPr/>
                    <w:rPr>
                      <w:rFonts w:ascii="Cambria Math" w:hAnsi="Cambria Math"/>
                      <w:sz w:val="19"/>
                    </w:rPr>
                    <m:t>i</m:t>
                  </m:r>
                </m:sub>
              </m:sSub>
              <m:r>
                <m:rPr>
                  <m:sty m:val="p"/>
                </m:rPr>
                <w:rPr>
                  <w:rFonts w:ascii="Cambria Math" w:hAnsi="Cambria Math"/>
                  <w:sz w:val="19"/>
                </w:rPr>
                <m:t>&lt;</m:t>
              </m:r>
              <m:r>
                <m:rPr/>
                <w:rPr>
                  <w:rFonts w:ascii="Cambria Math" w:hAnsi="Cambria Math"/>
                  <w:sz w:val="19"/>
                </w:rPr>
                <m:t>0.01</m:t>
              </m:r>
            </m:oMath>
            <w:r>
              <w:rPr>
                <w:rFonts w:ascii="Times New Roman" w:hAnsi="Times New Roman" w:eastAsia="宋体"/>
                <w:b w:val="0"/>
                <w:sz w:val="19"/>
              </w:rPr>
              <w:t>：3</w:t>
            </w:r>
          </w:p>
        </w:tc>
      </w:tr>
      <w:tr w14:paraId="05990001">
        <w:trPr>
          <w:cantSplit/>
          <w:jc w:val="center"/>
        </w:trPr>
        <w:tc>
          <w:tcPr>
            <w:tcW w:w="4819" w:type="dxa"/>
          </w:tcPr>
          <w:p w14:paraId="4A11ABC2">
            <w:pPr>
              <w:spacing w:after="60" w:line="276" w:lineRule="auto"/>
            </w:pPr>
            <w:r>
              <w:rPr>
                <w:rFonts w:ascii="Times New Roman" w:hAnsi="Times New Roman" w:eastAsia="宋体"/>
                <w:b w:val="0"/>
                <w:sz w:val="19"/>
              </w:rPr>
              <w:t>身体可见性</w:t>
            </w:r>
          </w:p>
        </w:tc>
        <w:tc>
          <w:tcPr>
            <w:tcW w:w="4819" w:type="dxa"/>
          </w:tcPr>
          <w:p w14:paraId="7F57BA67">
            <w:pPr>
              <w:spacing w:after="60" w:line="276" w:lineRule="auto"/>
            </w:pPr>
            <w:r>
              <w:rPr>
                <w:rFonts w:ascii="Times New Roman" w:hAnsi="Times New Roman" w:eastAsia="宋体"/>
                <w:b w:val="0"/>
                <w:sz w:val="19"/>
              </w:rPr>
              <w:t>full／most：0；partial：2；minimal：3</w:t>
            </w:r>
          </w:p>
        </w:tc>
      </w:tr>
      <w:tr w14:paraId="5F89594B">
        <w:trPr>
          <w:cantSplit/>
          <w:jc w:val="center"/>
        </w:trPr>
        <w:tc>
          <w:tcPr>
            <w:tcW w:w="4819" w:type="dxa"/>
          </w:tcPr>
          <w:p w14:paraId="73BD3318">
            <w:pPr>
              <w:spacing w:after="60" w:line="276" w:lineRule="auto"/>
            </w:pPr>
            <w:r>
              <w:rPr>
                <w:rFonts w:ascii="Times New Roman" w:hAnsi="Times New Roman" w:eastAsia="宋体"/>
                <w:b w:val="0"/>
                <w:sz w:val="19"/>
              </w:rPr>
              <w:t>遮挡程度</w:t>
            </w:r>
          </w:p>
        </w:tc>
        <w:tc>
          <w:tcPr>
            <w:tcW w:w="4819" w:type="dxa"/>
          </w:tcPr>
          <w:p w14:paraId="76AD6A00">
            <w:pPr>
              <w:spacing w:after="60" w:line="276" w:lineRule="auto"/>
            </w:pPr>
            <w:r>
              <w:rPr>
                <w:rFonts w:ascii="Times New Roman" w:hAnsi="Times New Roman" w:eastAsia="宋体"/>
                <w:b w:val="0"/>
                <w:sz w:val="19"/>
              </w:rPr>
              <w:t>none：0；light：1；moderate：2；heavy：3</w:t>
            </w:r>
          </w:p>
        </w:tc>
      </w:tr>
      <w:tr w14:paraId="77D53BA4">
        <w:trPr>
          <w:cantSplit/>
          <w:jc w:val="center"/>
        </w:trPr>
        <w:tc>
          <w:tcPr>
            <w:tcW w:w="4819" w:type="dxa"/>
          </w:tcPr>
          <w:p w14:paraId="06982641">
            <w:pPr>
              <w:spacing w:after="60" w:line="276" w:lineRule="auto"/>
            </w:pPr>
            <w:r>
              <w:rPr>
                <w:rFonts w:ascii="Times New Roman" w:hAnsi="Times New Roman" w:eastAsia="宋体"/>
                <w:b w:val="0"/>
                <w:sz w:val="19"/>
              </w:rPr>
              <w:t>截断程度</w:t>
            </w:r>
          </w:p>
        </w:tc>
        <w:tc>
          <w:tcPr>
            <w:tcW w:w="4819" w:type="dxa"/>
          </w:tcPr>
          <w:p w14:paraId="0D5B7AAB">
            <w:pPr>
              <w:spacing w:after="60" w:line="276" w:lineRule="auto"/>
            </w:pPr>
            <w:r>
              <w:rPr>
                <w:rFonts w:ascii="Times New Roman" w:hAnsi="Times New Roman" w:eastAsia="宋体"/>
                <w:b w:val="0"/>
                <w:sz w:val="19"/>
              </w:rPr>
              <w:t>none：0；light：0.5；moderate：1；heavy：2</w:t>
            </w:r>
          </w:p>
        </w:tc>
      </w:tr>
      <w:tr w14:paraId="2BDAEB9B">
        <w:trPr>
          <w:cantSplit/>
          <w:jc w:val="center"/>
        </w:trPr>
        <w:tc>
          <w:tcPr>
            <w:tcW w:w="4819" w:type="dxa"/>
          </w:tcPr>
          <w:p w14:paraId="78811C14">
            <w:pPr>
              <w:spacing w:after="60" w:line="276" w:lineRule="auto"/>
            </w:pPr>
            <w:r>
              <w:rPr>
                <w:rFonts w:ascii="Times New Roman" w:hAnsi="Times New Roman" w:eastAsia="宋体"/>
                <w:b w:val="0"/>
                <w:sz w:val="19"/>
              </w:rPr>
              <w:t>身体朝向</w:t>
            </w:r>
          </w:p>
        </w:tc>
        <w:tc>
          <w:tcPr>
            <w:tcW w:w="4819" w:type="dxa"/>
          </w:tcPr>
          <w:p w14:paraId="52FD11C8">
            <w:pPr>
              <w:spacing w:after="60" w:line="276" w:lineRule="auto"/>
            </w:pPr>
            <w:r>
              <w:rPr>
                <w:rFonts w:ascii="Times New Roman" w:hAnsi="Times New Roman" w:eastAsia="宋体"/>
                <w:b w:val="0"/>
                <w:sz w:val="19"/>
              </w:rPr>
              <w:t>front／left_side／right_side／three_quarter：0；back：1；overhead_or_unusual：2</w:t>
            </w:r>
          </w:p>
        </w:tc>
      </w:tr>
    </w:tbl>
    <w:p w14:paraId="1F256DD3">
      <w:pPr>
        <w:spacing w:after="0"/>
      </w:pPr>
    </w:p>
    <w:p w14:paraId="202C7D2D">
      <w:pPr>
        <w:keepLines/>
        <w:spacing w:after="100" w:line="312" w:lineRule="auto"/>
      </w:pPr>
      <w:r>
        <w:rPr>
          <w:rFonts w:ascii="Times New Roman" w:hAnsi="Times New Roman" w:eastAsia="宋体"/>
          <w:b w:val="0"/>
          <w:sz w:val="18"/>
        </w:rPr>
        <w:t>表3　预定义风险映射。五项分值相加后的范围为0—13；</w:t>
      </w:r>
      <m:oMath>
        <m:sSub>
          <m:sSubPr/>
          <m:e>
            <m:r>
              <m:rPr/>
              <w:rPr>
                <w:rFonts w:ascii="Cambria Math" w:hAnsi="Cambria Math"/>
                <w:sz w:val="22"/>
              </w:rPr>
              <m:t>a</m:t>
            </m:r>
          </m:e>
          <m:sub>
            <m:r>
              <m:rPr/>
              <w:rPr>
                <w:rFonts w:ascii="Cambria Math" w:hAnsi="Cambria Math"/>
                <w:sz w:val="22"/>
              </w:rPr>
              <m:t>i</m:t>
            </m:r>
          </m:sub>
        </m:sSub>
      </m:oMath>
      <w:r>
        <w:rPr>
          <w:rFonts w:ascii="Times New Roman" w:hAnsi="Times New Roman" w:eastAsia="宋体"/>
          <w:b w:val="0"/>
          <w:sz w:val="18"/>
        </w:rPr>
        <w:t>为目标框面积与原始图像面积之比。</w:t>
      </w:r>
    </w:p>
    <w:p w14:paraId="76C987A0">
      <w:pPr>
        <w:keepLines/>
        <w:spacing w:after="100" w:line="312" w:lineRule="auto"/>
        <w:ind w:firstLine="425"/>
      </w:pPr>
      <w:r>
        <w:rPr>
          <w:rFonts w:ascii="Times New Roman" w:hAnsi="Times New Roman" w:eastAsia="宋体"/>
          <w:b w:val="0"/>
          <w:sz w:val="22"/>
        </w:rPr>
        <w:t>当某风险维度为unknown时，将其可能分值范围记为零至该维度最大分值，主分析采用该区间的中点作为操作性替代，并记录未知维数。选择中点是在缺少确定状态时采用范围中心值，不假设各可能状态等概率，也不将其解释为真实难度的期望。</w:t>
      </w:r>
    </w:p>
    <w:p w14:paraId="5A432478">
      <w:pPr>
        <w:keepLines/>
        <w:spacing w:after="100" w:line="312" w:lineRule="auto"/>
        <w:ind w:firstLine="425"/>
      </w:pPr>
      <w:r>
        <w:rPr>
          <w:rFonts w:ascii="Times New Roman" w:hAnsi="Times New Roman" w:eastAsia="宋体"/>
          <w:b w:val="0"/>
          <w:sz w:val="22"/>
        </w:rPr>
        <w:t>该处理不会使综合风险超出预定义的0—13范围。多个未知维度会扩大评分的不确定范围，但不能仅凭未知维数判断评分被系统性高估或低估。敏感性分析分别将未知维度取零值和最大值，重新评分与分层，检查结论对未知处理的依赖。unknown仍不计为覆盖证据。</w:t>
      </w:r>
    </w:p>
    <w:p w14:paraId="46CFCF07">
      <w:pPr>
        <w:pStyle w:val="4"/>
        <w:spacing w:before="180" w:after="100"/>
        <w:rPr>
          <w:rFonts w:hint="eastAsia" w:ascii="黑体" w:hAnsi="黑体" w:eastAsia="黑体" w:cs="黑体"/>
        </w:rPr>
      </w:pPr>
      <w:r>
        <w:rPr>
          <w:rFonts w:hint="eastAsia" w:ascii="黑体" w:hAnsi="黑体" w:eastAsia="黑体" w:cs="黑体"/>
        </w:rPr>
        <w:t>3.4.2 类别内分层与风险混合</w:t>
      </w:r>
    </w:p>
    <w:p w14:paraId="4FE0F591">
      <w:pPr>
        <w:keepLines/>
        <w:spacing w:after="100" w:line="312" w:lineRule="auto"/>
        <w:ind w:firstLine="425"/>
      </w:pPr>
      <w:r>
        <w:rPr>
          <w:rFonts w:ascii="Times New Roman" w:hAnsi="Times New Roman" w:eastAsia="宋体"/>
          <w:b w:val="0"/>
          <w:sz w:val="22"/>
        </w:rPr>
        <w:t>在每个真实类别内按风险升序排列，同分按目标ID排序，将目标等分为Q1至Q5。Q1表示相对低风险，Q5表示相对高风险。分层在各候选池及类别内分别开展，不将其解释为跨类别统一的绝对难度阈值。</w:t>
      </w:r>
    </w:p>
    <w:p w14:paraId="22E4FB21">
      <w:pPr>
        <w:keepNext/>
        <w:keepLines/>
        <w:spacing w:after="100" w:line="312" w:lineRule="auto"/>
        <w:ind w:firstLine="425"/>
      </w:pPr>
      <w:r>
        <w:rPr>
          <w:rFonts w:ascii="Times New Roman" w:hAnsi="Times New Roman" w:eastAsia="宋体"/>
          <w:b w:val="0"/>
          <w:sz w:val="22"/>
        </w:rPr>
        <w:t>为考察测试构成对测得性能的影响，对每个类别保留相同目标数量</w:t>
      </w:r>
      <m:oMath>
        <m:r>
          <m:rPr/>
          <w:rPr>
            <w:rFonts w:ascii="Cambria Math" w:hAnsi="Cambria Math"/>
            <w:sz w:val="22"/>
          </w:rPr>
          <m:t>m</m:t>
        </m:r>
      </m:oMath>
      <w:r>
        <w:rPr>
          <w:rFonts w:ascii="Times New Roman" w:hAnsi="Times New Roman" w:eastAsia="宋体"/>
          <w:b w:val="0"/>
          <w:sz w:val="22"/>
        </w:rPr>
        <w:t>，并调节高风险占比</w:t>
      </w:r>
      <m:oMath>
        <m:r>
          <m:rPr/>
          <w:rPr>
            <w:rFonts w:ascii="Cambria Math" w:hAnsi="Cambria Math"/>
            <w:sz w:val="22"/>
          </w:rPr>
          <m:t>ρ</m:t>
        </m:r>
      </m:oMath>
      <w:r>
        <w:rPr>
          <w:rFonts w:ascii="Times New Roman" w:hAnsi="Times New Roman" w:eastAsia="宋体"/>
          <w:b w:val="0"/>
          <w:sz w:val="22"/>
        </w:rPr>
        <w:t>。主分析从Q5抽取</w:t>
      </w:r>
      <m:oMath>
        <m:r>
          <m:rPr/>
          <w:rPr>
            <w:rFonts w:ascii="Cambria Math" w:hAnsi="Cambria Math"/>
            <w:sz w:val="22"/>
          </w:rPr>
          <m:t>ρm</m:t>
        </m:r>
      </m:oMath>
      <w:r>
        <w:rPr>
          <w:rFonts w:ascii="Times New Roman" w:hAnsi="Times New Roman" w:eastAsia="宋体"/>
          <w:b w:val="0"/>
          <w:sz w:val="22"/>
        </w:rPr>
        <w:t>个目标，从Q1至Q4的并集抽取其余目标：</w:t>
      </w:r>
    </w:p>
    <w:p w14:paraId="6D45959D">
      <w:pPr>
        <w:spacing w:before="80" w:after="140"/>
        <w:jc w:val="center"/>
      </w:pPr>
      <m:oMathPara>
        <m:oMath>
          <m:sSubSup>
            <m:sSubSupPr/>
            <m:e>
              <m:r>
                <m:rPr/>
                <w:rPr>
                  <w:rFonts w:ascii="Cambria Math" w:hAnsi="Cambria Math"/>
                  <w:sz w:val="22"/>
                </w:rPr>
                <m:t>T</m:t>
              </m:r>
            </m:e>
            <m:sub>
              <m:r>
                <m:rPr/>
                <w:rPr>
                  <w:rFonts w:ascii="Cambria Math" w:hAnsi="Cambria Math"/>
                  <w:sz w:val="22"/>
                </w:rPr>
                <m:t>c</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)=Sample</m:t>
          </m:r>
          <m:d>
            <m:dPr>
              <m:sepChr m:val=""/>
            </m:dPr>
            <m:e>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5</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ρm</m:t>
              </m:r>
            </m:e>
          </m:d>
          <m:r>
            <m:rPr>
              <m:sty m:val="p"/>
            </m:rPr>
            <w:rPr>
              <w:rFonts w:ascii="Cambria Math" w:hAnsi="Cambria Math"/>
              <w:sz w:val="22"/>
            </w:rPr>
            <m:t>∪Sample</m:t>
          </m:r>
          <m:d>
            <m:dPr>
              <m:sepChr m:val=""/>
            </m:dPr>
            <m:e>
              <m:limLow>
                <m:limLowPr/>
                <m:e>
                  <m:limUpp>
                    <m:limUppPr/>
                    <m:e>
                      <m:r>
                        <m:rPr>
                          <m:sty m:val="p"/>
                        </m:rPr>
                        <w:rPr>
                          <w:rFonts w:ascii="Cambria Math" w:hAnsi="Cambria Math"/>
                          <w:sz w:val="22"/>
                        </w:rPr>
                        <m:t>⋃</m:t>
                      </m:r>
                    </m:e>
                    <m:lim>
                      <m:r>
                        <m:rPr/>
                        <w:rPr>
                          <w:rFonts w:ascii="Cambria Math" w:hAnsi="Cambria Math"/>
                          <w:sz w:val="22"/>
                        </w:rPr>
                        <m:t>4</m:t>
                      </m:r>
                    </m:lim>
                  </m:limUpp>
                </m:e>
                <m:lim>
                  <m:r>
                    <m:rPr/>
                    <w:rPr>
                      <w:rFonts w:ascii="Cambria Math" w:hAnsi="Cambria Math"/>
                      <w:sz w:val="22"/>
                    </w:rPr>
                    <m:t>ℓ</m:t>
                  </m:r>
                  <m:r>
                    <m:rPr>
                      <m:sty m:val="p"/>
                    </m:rPr>
                    <w:rPr>
                      <w:rFonts w:ascii="Cambria Math" w:hAnsi="Cambria Math"/>
                      <w:sz w:val="22"/>
                    </w:rPr>
                    <m:t>=</m:t>
                  </m:r>
                  <m:r>
                    <m:rPr/>
                    <w:rPr>
                      <w:rFonts w:ascii="Cambria Math" w:hAnsi="Cambria Math"/>
                      <w:sz w:val="22"/>
                    </w:rPr>
                    <m:t>1</m:t>
                  </m:r>
                </m:lim>
              </m:limLow>
              <m:sSubSup>
                <m:sSubSupPr/>
                <m:e>
                  <m:r>
                    <m:rPr/>
                    <w:rPr>
                      <w:rFonts w:ascii="Cambria Math" w:hAnsi="Cambria Math"/>
                      <w:sz w:val="22"/>
                    </w:rPr>
                    <m:t>Q</m:t>
                  </m:r>
                </m:e>
                <m:sub>
                  <m:r>
                    <m:rPr/>
                    <w:rPr>
                      <w:rFonts w:ascii="Cambria Math" w:hAnsi="Cambria Math"/>
                      <w:sz w:val="22"/>
                    </w:rPr>
                    <m:t>c</m:t>
                  </m:r>
                  <m:r>
                    <m:rPr>
                      <m:sty m:val="p"/>
                    </m:rPr>
                    <w:rPr>
                      <w:rFonts w:ascii="Cambria Math" w:hAnsi="Cambria Math"/>
                      <w:sz w:val="22"/>
                    </w:rPr>
                    <m:t>,</m:t>
                  </m:r>
                  <m:r>
                    <m:rPr/>
                    <w:rPr>
                      <w:rFonts w:ascii="Cambria Math" w:hAnsi="Cambria Math"/>
                      <w:sz w:val="22"/>
                    </w:rPr>
                    <m:t>ℓ</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e>
          </m:d>
          <m:r>
            <m:rPr>
              <m:sty m:val="p"/>
            </m:rPr>
            <w:rPr>
              <w:rFonts w:ascii="Cambria Math" w:hAnsi="Cambria Math"/>
              <w:sz w:val="22"/>
            </w:rPr>
            <m:t>.</m:t>
          </m:r>
        </m:oMath>
      </m:oMathPara>
    </w:p>
    <w:p w14:paraId="77258AA7">
      <w:pPr>
        <w:keepLines/>
        <w:spacing w:after="100" w:line="312" w:lineRule="auto"/>
        <w:ind w:firstLine="425"/>
      </w:pPr>
      <w:r>
        <w:rPr>
          <w:rFonts w:ascii="Times New Roman" w:hAnsi="Times New Roman" w:eastAsia="宋体"/>
          <w:b w:val="0"/>
          <w:sz w:val="22"/>
        </w:rPr>
        <w:t>Sample表示无放回抽样，</w:t>
      </w:r>
      <m:oMath>
        <m:r>
          <m:rPr/>
          <w:rPr>
            <w:rFonts w:ascii="Cambria Math" w:hAnsi="Cambria Math"/>
            <w:sz w:val="22"/>
          </w:rPr>
          <m:t>ρ</m:t>
        </m:r>
        <m:r>
          <m:rPr>
            <m:sty m:val="p"/>
          </m:rPr>
          <w:rPr>
            <w:rFonts w:ascii="Cambria Math" w:hAnsi="Cambria Math"/>
            <w:sz w:val="22"/>
          </w:rPr>
          <m:t>∈[</m:t>
        </m:r>
        <m:r>
          <m:rPr/>
          <w:rPr>
            <w:rFonts w:ascii="Cambria Math" w:hAnsi="Cambria Math"/>
            <w:sz w:val="22"/>
          </w:rPr>
          <m:t>0</m:t>
        </m:r>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oMath>
      <w:r>
        <w:rPr>
          <w:rFonts w:ascii="Times New Roman" w:hAnsi="Times New Roman" w:eastAsia="宋体"/>
          <w:b w:val="0"/>
          <w:sz w:val="22"/>
        </w:rPr>
        <w:t>，且</w:t>
      </w:r>
      <m:oMath>
        <m:r>
          <m:rPr/>
          <w:rPr>
            <w:rFonts w:ascii="Cambria Math" w:hAnsi="Cambria Math"/>
            <w:sz w:val="22"/>
          </w:rPr>
          <m:t>ρm</m:t>
        </m:r>
      </m:oMath>
      <w:r>
        <w:rPr>
          <w:rFonts w:ascii="Times New Roman" w:hAnsi="Times New Roman" w:eastAsia="宋体"/>
          <w:b w:val="0"/>
          <w:sz w:val="22"/>
        </w:rPr>
        <w:t>与</w:t>
      </w:r>
      <m:oMath>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r>
          <m:rPr/>
          <w:rPr>
            <w:rFonts w:ascii="Cambria Math" w:hAnsi="Cambria Math"/>
            <w:sz w:val="22"/>
          </w:rPr>
          <m:t>m</m:t>
        </m:r>
      </m:oMath>
      <w:r>
        <w:rPr>
          <w:rFonts w:ascii="Times New Roman" w:hAnsi="Times New Roman" w:eastAsia="宋体"/>
          <w:b w:val="0"/>
          <w:sz w:val="22"/>
        </w:rPr>
        <w:t>均为整数，分别不超过Q5与Q1至Q4并集的候选容量。将各类别目标合并为测试集</w:t>
      </w:r>
      <m:oMath>
        <m:sSup>
          <m:sSupPr/>
          <m:e>
            <m:r>
              <m:rPr/>
              <w:rPr>
                <w:rFonts w:ascii="Cambria Math" w:hAnsi="Cambria Math"/>
                <w:sz w:val="22"/>
              </w:rPr>
              <m:t>T</m:t>
            </m:r>
          </m:e>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p>
        <m:r>
          <m:rPr>
            <m:sty m:val="p"/>
          </m:rPr>
          <w:rPr>
            <w:rFonts w:ascii="Cambria Math" w:hAnsi="Cambria Math"/>
            <w:sz w:val="22"/>
          </w:rPr>
          <m:t>(</m:t>
        </m:r>
        <m:r>
          <m:rPr/>
          <w:rPr>
            <w:rFonts w:ascii="Cambria Math" w:hAnsi="Cambria Math"/>
            <w:sz w:val="22"/>
          </w:rPr>
          <m:t>ρ</m:t>
        </m:r>
        <m:r>
          <m:rPr>
            <m:sty m:val="p"/>
          </m:rPr>
          <w:rPr>
            <w:rFonts w:ascii="Cambria Math" w:hAnsi="Cambria Math"/>
            <w:sz w:val="22"/>
          </w:rPr>
          <m:t>)</m:t>
        </m:r>
      </m:oMath>
      <w:r>
        <w:rPr>
          <w:rFonts w:ascii="Times New Roman" w:hAnsi="Times New Roman" w:eastAsia="宋体"/>
          <w:b w:val="0"/>
          <w:sz w:val="22"/>
        </w:rPr>
        <w:t>，使测试总量</w:t>
      </w:r>
      <m:oMath>
        <m:r>
          <m:rPr/>
          <w:rPr>
            <w:rFonts w:ascii="Cambria Math" w:hAnsi="Cambria Math"/>
            <w:sz w:val="22"/>
          </w:rPr>
          <m:t>Km</m:t>
        </m:r>
      </m:oMath>
      <w:r>
        <w:rPr>
          <w:rFonts w:ascii="Times New Roman" w:hAnsi="Times New Roman" w:eastAsia="宋体"/>
          <w:b w:val="0"/>
          <w:sz w:val="22"/>
        </w:rPr>
        <w:t>和类别比例保持一致。对各比例重复抽样；在每个比例及每次重复中，各模型使用同一测试样本集合，以比较性能响应及模型间排名变化。模型扩展分析采用Q1与Q5混合；两种混合协议对应的模型组、抽样设置和结果在实验章节分别说明。</w:t>
      </w:r>
    </w:p>
    <w:p w14:paraId="644EE53E">
      <w:pPr>
        <w:keepLines/>
        <w:spacing w:after="100" w:line="312" w:lineRule="auto"/>
        <w:ind w:firstLine="425"/>
      </w:pPr>
      <w:r>
        <w:rPr>
          <w:rFonts w:ascii="Times New Roman" w:hAnsi="Times New Roman" w:eastAsia="宋体"/>
          <w:b w:val="0"/>
          <w:sz w:val="22"/>
        </w:rPr>
        <w:t>风险构成约束使不同方法在规定预算点具有相同的风险格频数，但不保证所有视觉属性或潜在分类难度完全一致。覆盖度量描述状态支持，风险评分组织视觉条件；提高覆盖不预设提高风险，风险增大也不预设所有相邻层的实测表现严格递减。</w:t>
      </w:r>
    </w:p>
    <w:p w14:paraId="4325166F">
      <w:pPr>
        <w:pStyle w:val="3"/>
        <w:spacing w:before="180" w:after="100"/>
        <w:rPr>
          <w:rFonts w:hint="eastAsia" w:ascii="黑体" w:hAnsi="黑体" w:eastAsia="黑体" w:cs="黑体"/>
        </w:rPr>
      </w:pPr>
      <w:r>
        <w:rPr>
          <w:rFonts w:hint="eastAsia" w:ascii="黑体" w:hAnsi="黑体" w:eastAsia="黑体" w:cs="黑体"/>
        </w:rPr>
        <w:t>3.5 视觉条件评价与失败信息广度</w:t>
      </w:r>
    </w:p>
    <w:p w14:paraId="5926199B">
      <w:pPr>
        <w:pStyle w:val="4"/>
        <w:spacing w:before="180" w:after="100"/>
        <w:rPr>
          <w:rFonts w:hint="eastAsia" w:ascii="黑体" w:hAnsi="黑体" w:eastAsia="黑体" w:cs="黑体"/>
        </w:rPr>
      </w:pPr>
      <w:r>
        <w:rPr>
          <w:rFonts w:hint="eastAsia" w:ascii="黑体" w:hAnsi="黑体" w:eastAsia="黑体" w:cs="黑体"/>
        </w:rPr>
        <w:t>3.5.1 整体与状态条件表现</w:t>
      </w:r>
    </w:p>
    <w:p w14:paraId="45FDEE69">
      <w:pPr>
        <w:keepLines/>
        <w:spacing w:after="100" w:line="312" w:lineRule="auto"/>
        <w:ind w:firstLine="425"/>
      </w:pPr>
      <w:r>
        <w:rPr>
          <w:rFonts w:ascii="Times New Roman" w:hAnsi="Times New Roman" w:eastAsia="宋体"/>
          <w:b w:val="0"/>
          <w:sz w:val="22"/>
        </w:rPr>
        <w:t>被测分类器对目标裁剪图输出类别预测</w:t>
      </w:r>
      <m:oMath>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f</m:t>
            </m:r>
          </m:e>
          <m:sub>
            <m:r>
              <m:rPr/>
              <w:rPr>
                <w:rFonts w:ascii="Cambria Math" w:hAnsi="Cambria Math"/>
                <w:sz w:val="22"/>
              </w:rPr>
              <m:t>θ</m:t>
            </m:r>
          </m:sub>
        </m:sSub>
        <m:r>
          <m:rPr>
            <m:sty m:val="p"/>
          </m:rPr>
          <w:rPr>
            <w:rFonts w:ascii="Cambria Math" w:hAnsi="Cambria Math"/>
            <w:sz w:val="22"/>
          </w:rPr>
          <m:t>(</m:t>
        </m:r>
        <m:sSub>
          <m:sSubPr/>
          <m:e>
            <m:r>
              <m:rPr/>
              <w:rPr>
                <w:rFonts w:ascii="Cambria Math" w:hAnsi="Cambria Math"/>
                <w:sz w:val="22"/>
              </w:rPr>
              <m:t>x</m:t>
            </m:r>
          </m:e>
          <m:sub>
            <m:r>
              <m:rPr/>
              <w:rPr>
                <w:rFonts w:ascii="Cambria Math" w:hAnsi="Cambria Math"/>
                <w:sz w:val="22"/>
              </w:rPr>
              <m:t>i</m:t>
            </m:r>
          </m:sub>
        </m:sSub>
        <m:r>
          <m:rPr>
            <m:sty m:val="p"/>
          </m:rPr>
          <w:rPr>
            <w:rFonts w:ascii="Cambria Math" w:hAnsi="Cambria Math"/>
            <w:sz w:val="22"/>
          </w:rPr>
          <m:t>)</m:t>
        </m:r>
      </m:oMath>
      <w:r>
        <w:rPr>
          <w:rFonts w:ascii="Times New Roman" w:hAnsi="Times New Roman" w:eastAsia="宋体"/>
          <w:b w:val="0"/>
          <w:sz w:val="22"/>
        </w:rPr>
        <w:t>。将预测、官方类别和视觉状态关联，计算测试集的Accuracy、Macro-Precision、Macro-Recall和Macro-F1。Macro-F1按各类别F1取算术平均，不由Macro-Precision与Macro-Recall直接求调和平均。</w:t>
      </w:r>
    </w:p>
    <w:p w14:paraId="772E7C43">
      <w:pPr>
        <w:keepNext/>
        <w:keepLines/>
        <w:spacing w:after="100" w:line="312" w:lineRule="auto"/>
        <w:ind w:firstLine="425"/>
      </w:pPr>
      <w:r>
        <w:rPr>
          <w:rFonts w:ascii="Times New Roman" w:hAnsi="Times New Roman" w:eastAsia="宋体"/>
          <w:b w:val="0"/>
          <w:sz w:val="22"/>
        </w:rPr>
        <w:t>进一步在真实类别</w:t>
      </w:r>
      <m:oMath>
        <m:r>
          <m:rPr/>
          <w:rPr>
            <w:rFonts w:ascii="Cambria Math" w:hAnsi="Cambria Math"/>
            <w:sz w:val="22"/>
          </w:rPr>
          <m:t>c</m:t>
        </m:r>
      </m:oMath>
      <w:r>
        <w:rPr>
          <w:rFonts w:ascii="Times New Roman" w:hAnsi="Times New Roman" w:eastAsia="宋体"/>
          <w:b w:val="0"/>
          <w:sz w:val="22"/>
        </w:rPr>
        <w:t>内，统计状态</w:t>
      </w:r>
      <m:oMath>
        <m:r>
          <m:rPr/>
          <w:rPr>
            <w:rFonts w:ascii="Cambria Math" w:hAnsi="Cambria Math"/>
            <w:sz w:val="22"/>
          </w:rPr>
          <m:t>s</m:t>
        </m:r>
      </m:oMath>
      <w:r>
        <w:rPr>
          <w:rFonts w:ascii="Times New Roman" w:hAnsi="Times New Roman" w:eastAsia="宋体"/>
          <w:b w:val="0"/>
          <w:sz w:val="22"/>
        </w:rPr>
        <w:t>的条件Recall：</w:t>
      </w:r>
    </w:p>
    <w:p w14:paraId="6F1DB560">
      <w:pPr>
        <w:spacing w:before="80" w:after="140"/>
        <w:jc w:val="center"/>
      </w:pPr>
      <m:oMathPara>
        <m:oMath>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f>
            <m:fPr/>
            <m:num>
              <m:nary>
                <m:naryPr>
                  <m:chr m:val="∑"/>
                  <m:limLoc m:val="undOvr"/>
                  <m:supHide m:val="1"/>
                </m:naryPr>
                <m:sub>
                  <m:r>
                    <m:rPr/>
                    <w:rPr>
                      <w:rFonts w:ascii="Cambria Math" w:hAnsi="Cambria Math"/>
                      <w:sz w:val="22"/>
                    </w:rPr>
                    <m:t>i</m:t>
                  </m:r>
                  <m:r>
                    <m:rPr>
                      <m:sty m:val="p"/>
                    </m:rPr>
                    <w:rPr>
                      <w:rFonts w:ascii="Cambria Math" w:hAnsi="Cambria Math"/>
                      <w:sz w:val="22"/>
                    </w:rPr>
                    <m:t>∈</m:t>
                  </m:r>
                  <m:r>
                    <m:rPr/>
                    <w:rPr>
                      <w:rFonts w:ascii="Cambria Math" w:hAnsi="Cambria Math"/>
                      <w:sz w:val="22"/>
                    </w:rPr>
                    <m:t>T</m:t>
                  </m:r>
                </m:sub>
                <m:sup>
                  <m:r>
                    <m:rPr/>
                    <w:rPr>
                      <w:rFonts w:ascii="Cambria Math" w:hAnsi="Cambria Math"/>
                      <w:sz w:val="22"/>
                    </w:rPr>
                    <m:t>​</m:t>
                  </m:r>
                </m:sup>
                <m:e>
                  <m:r>
                    <m:rPr>
                      <m:sty m:val="b"/>
                    </m:rPr>
                    <w:rPr>
                      <w:rFonts w:ascii="Cambria Math" w:hAnsi="Cambria Math"/>
                      <w:sz w:val="22"/>
                    </w:rPr>
                    <m:t>1</m:t>
                  </m:r>
                </m:e>
              </m:nary>
              <m:d>
                <m:dPr>
                  <m:begChr m:val="{"/>
                  <m:sepChr m:val=""/>
                  <m:endChr m:val="}"/>
                </m:dPr>
                <m:e>
                  <m:sSub>
                    <m:sSubPr/>
                    <m:e>
                      <m:r>
                        <m:rPr/>
                        <w:rPr>
                          <w:rFonts w:ascii="Cambria Math" w:hAnsi="Cambria Math"/>
                          <w:sz w:val="22"/>
                        </w:rPr>
                        <m:t>y</m:t>
                      </m:r>
                    </m:e>
                    <m:sub>
                      <m:r>
                        <m:rPr/>
                        <w:rPr>
                          <w:rFonts w:ascii="Cambria Math" w:hAnsi="Cambria Math"/>
                          <w:sz w:val="22"/>
                        </w:rPr>
                        <m:t>i</m:t>
                      </m:r>
                    </m:sub>
                  </m:sSub>
                  <m:r>
                    <m:rPr>
                      <m:sty m:val="p"/>
                    </m:rPr>
                    <w:rPr>
                      <w:rFonts w:ascii="Cambria Math" w:hAnsi="Cambria Math"/>
                      <w:sz w:val="22"/>
                    </w:rPr>
                    <m:t>=</m:t>
                  </m:r>
                  <m:r>
                    <m:rPr/>
                    <w:rPr>
                      <w:rFonts w:ascii="Cambria Math" w:hAnsi="Cambria Math"/>
                      <w:sz w:val="22"/>
                    </w:rPr>
                    <m:t>c</m:t>
                  </m:r>
                </m:e>
              </m:d>
              <m:r>
                <m:rPr/>
                <w:rPr>
                  <w:rFonts w:ascii="Cambria Math" w:hAnsi="Cambria Math"/>
                  <w:sz w:val="22"/>
                </w:rPr>
                <m:t> </m:t>
              </m:r>
              <m:r>
                <m:rPr>
                  <m:sty m:val="b"/>
                </m:rPr>
                <w:rPr>
                  <w:rFonts w:ascii="Cambria Math" w:hAnsi="Cambria Math"/>
                  <w:sz w:val="22"/>
                </w:rPr>
                <m:t>1</m:t>
              </m:r>
              <m:d>
                <m:dPr>
                  <m:begChr m:val="{"/>
                  <m:sepChr m:val=""/>
                  <m:endChr m:val="}"/>
                </m:dPr>
                <m:e>
                  <m:r>
                    <m:rPr/>
                    <w:rPr>
                      <w:rFonts w:ascii="Cambria Math" w:hAnsi="Cambria Math"/>
                      <w:sz w:val="22"/>
                    </w:rPr>
                    <m:t>s</m:t>
                  </m:r>
                  <m:r>
                    <m:rPr>
                      <m:sty m:val="p"/>
                    </m:rPr>
                    <w:rPr>
                      <w:rFonts w:ascii="Cambria Math" w:hAnsi="Cambria Math"/>
                      <w:sz w:val="22"/>
                    </w:rPr>
                    <m:t>∈</m:t>
                  </m:r>
                  <m:sSubSup>
                    <m:sSubSupPr/>
                    <m:e>
                      <m:r>
                        <m:rPr/>
                        <w:rPr>
                          <w:rFonts w:ascii="Cambria Math" w:hAnsi="Cambria Math"/>
                          <w:sz w:val="22"/>
                        </w:rPr>
                        <m:t>A</m:t>
                      </m:r>
                    </m:e>
                    <m:sub>
                      <m:r>
                        <m:rPr/>
                        <w:rPr>
                          <w:rFonts w:ascii="Cambria Math" w:hAnsi="Cambria Math"/>
                          <w:sz w:val="22"/>
                        </w:rPr>
                        <m:t>i</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e>
              </m:d>
              <m:r>
                <m:rPr/>
                <w:rPr>
                  <w:rFonts w:ascii="Cambria Math" w:hAnsi="Cambria Math"/>
                  <w:sz w:val="22"/>
                </w:rPr>
                <m:t> </m:t>
              </m:r>
              <m:r>
                <m:rPr>
                  <m:sty m:val="b"/>
                </m:rPr>
                <w:rPr>
                  <w:rFonts w:ascii="Cambria Math" w:hAnsi="Cambria Math"/>
                  <w:sz w:val="22"/>
                </w:rPr>
                <m:t>1</m:t>
              </m:r>
              <m:d>
                <m:dPr>
                  <m:begChr m:val="{"/>
                  <m:sepChr m:val=""/>
                  <m:endChr m:val="}"/>
                </m:dPr>
                <m:e>
                  <m:sSub>
                    <m:sSubPr/>
                    <m:e>
                      <m:acc>
                        <m:accPr/>
                        <m:e>
                          <m:r>
                            <m:rPr/>
                            <w:rPr>
                              <w:rFonts w:ascii="Cambria Math" w:hAnsi="Cambria Math"/>
                              <w:sz w:val="22"/>
                            </w:rPr>
                            <m:t>y</m:t>
                          </m:r>
                        </m:e>
                      </m:acc>
                    </m:e>
                    <m:sub>
                      <m:r>
                        <m:rPr/>
                        <w:rPr>
                          <w:rFonts w:ascii="Cambria Math" w:hAnsi="Cambria Math"/>
                          <w:sz w:val="22"/>
                        </w:rPr>
                        <m:t>i</m:t>
                      </m:r>
                    </m:sub>
                  </m:sSub>
                  <m:r>
                    <m:rPr>
                      <m:sty m:val="p"/>
                    </m:rPr>
                    <w:rPr>
                      <w:rFonts w:ascii="Cambria Math" w:hAnsi="Cambria Math"/>
                      <w:sz w:val="22"/>
                    </w:rPr>
                    <m:t>=</m:t>
                  </m:r>
                  <m:sSub>
                    <m:sSubPr/>
                    <m:e>
                      <m:r>
                        <m:rPr/>
                        <w:rPr>
                          <w:rFonts w:ascii="Cambria Math" w:hAnsi="Cambria Math"/>
                          <w:sz w:val="22"/>
                        </w:rPr>
                        <m:t>y</m:t>
                      </m:r>
                    </m:e>
                    <m:sub>
                      <m:r>
                        <m:rPr/>
                        <w:rPr>
                          <w:rFonts w:ascii="Cambria Math" w:hAnsi="Cambria Math"/>
                          <w:sz w:val="22"/>
                        </w:rPr>
                        <m:t>i</m:t>
                      </m:r>
                    </m:sub>
                  </m:sSub>
                </m:e>
              </m:d>
            </m:num>
            <m:den>
              <m:sSubSup>
                <m:sSubSupPr/>
                <m:e>
                  <m:r>
                    <m:rPr/>
                    <w:rPr>
                      <w:rFonts w:ascii="Cambria Math" w:hAnsi="Cambria Math"/>
                      <w:sz w:val="22"/>
                    </w:rPr>
                    <m:t>n</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den>
          </m:f>
          <m:r>
            <m:rPr>
              <m:sty m:val="p"/>
            </m:rPr>
            <w:rPr>
              <w:rFonts w:ascii="Cambria Math" w:hAnsi="Cambria Math"/>
              <w:sz w:val="22"/>
            </w:rPr>
            <m:t>.</m:t>
          </m:r>
        </m:oMath>
      </m:oMathPara>
    </w:p>
    <w:p w14:paraId="6C874ADD">
      <w:pPr>
        <w:keepNext/>
        <w:keepLines/>
        <w:spacing w:after="100" w:line="312" w:lineRule="auto"/>
        <w:ind w:firstLine="425"/>
      </w:pPr>
      <w:r>
        <w:rPr>
          <w:rFonts w:ascii="Times New Roman" w:hAnsi="Times New Roman" w:eastAsia="宋体"/>
          <w:b w:val="0"/>
          <w:sz w:val="22"/>
        </w:rPr>
        <w:t>该指标表示具有相应视觉状态的该类目标中被正确识别的比例。只有状态支持数大于零时才计算，并同时报告支持数。以该类别在同一目标集合上的总体Recall为参考，定义状态差：</w:t>
      </w:r>
    </w:p>
    <w:p w14:paraId="2B694282">
      <w:pPr>
        <w:spacing w:before="80" w:after="140"/>
        <w:jc w:val="center"/>
      </w:pPr>
      <m:oMathPara>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Sup>
            <m:sSubSupPr/>
            <m:e>
              <m:r>
                <m:rPr>
                  <m:sty m:val="p"/>
                </m:rPr>
                <w:rPr>
                  <w:rFonts w:ascii="Cambria Math" w:hAnsi="Cambria Math"/>
                  <w:sz w:val="22"/>
                </w:rPr>
                <m:t>Rec</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sSub>
            <m:sSubPr/>
            <m:e>
              <m:r>
                <m:rPr>
                  <m:sty m:val="p"/>
                </m:rPr>
                <w:rPr>
                  <w:rFonts w:ascii="Cambria Math" w:hAnsi="Cambria Math"/>
                  <w:sz w:val="22"/>
                </w:rPr>
                <m:t>Rec</m:t>
              </m:r>
            </m:e>
            <m:sub>
              <m:r>
                <m:rPr/>
                <w:rPr>
                  <w:rFonts w:ascii="Cambria Math" w:hAnsi="Cambria Math"/>
                  <w:sz w:val="22"/>
                </w:rPr>
                <m:t>c</m:t>
              </m:r>
            </m:sub>
          </m:sSub>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oMath>
      </m:oMathPara>
    </w:p>
    <w:p w14:paraId="2DAF630E">
      <w:pPr>
        <w:keepLines/>
        <w:spacing w:after="100" w:line="312" w:lineRule="auto"/>
        <w:ind w:firstLine="425"/>
      </w:pPr>
      <w:r>
        <w:rPr>
          <w:rFonts w:ascii="Times New Roman" w:hAnsi="Times New Roman" w:eastAsia="宋体"/>
          <w:b w:val="0"/>
          <w:sz w:val="22"/>
        </w:rPr>
        <w:t>负差表示模型在该状态下的表现低于对应类别参考。状态集合可能重叠，因此各条件差不作为互相独立的错误类型或因果效应。</w:t>
      </w:r>
    </w:p>
    <w:p w14:paraId="651740BE">
      <w:pPr>
        <w:pStyle w:val="4"/>
        <w:spacing w:before="180" w:after="100"/>
        <w:rPr>
          <w:rFonts w:hint="eastAsia" w:ascii="黑体" w:hAnsi="黑体" w:eastAsia="黑体" w:cs="黑体"/>
        </w:rPr>
      </w:pPr>
      <w:r>
        <w:rPr>
          <w:rFonts w:hint="eastAsia" w:ascii="黑体" w:hAnsi="黑体" w:eastAsia="黑体" w:cs="黑体"/>
        </w:rPr>
        <w:t>3.5.2 错误数量与失败信息的区分</w:t>
      </w:r>
    </w:p>
    <w:p w14:paraId="0EFA6508">
      <w:pPr>
        <w:keepLines/>
        <w:spacing w:after="100" w:line="312" w:lineRule="auto"/>
        <w:ind w:firstLine="425"/>
      </w:pPr>
      <w:r>
        <w:rPr>
          <w:rFonts w:ascii="Times New Roman" w:hAnsi="Times New Roman" w:eastAsia="宋体"/>
          <w:b w:val="0"/>
          <w:sz w:val="22"/>
        </w:rPr>
        <w:t>对选样结果分别统计失败状态广度、混淆类型广度与表征簇广度。失败状态广度为已选集合中满足预设支持门槛且包含至少一个分类错误的视觉状态数，占该类别固定状态集合</w:t>
      </w:r>
      <m:oMath>
        <m:sSub>
          <m:sSubPr/>
          <m:e>
            <m:r>
              <m:rPr/>
              <w:rPr>
                <w:rFonts w:ascii="Cambria Math" w:hAnsi="Cambria Math"/>
                <w:sz w:val="22"/>
              </w:rPr>
              <m:t>U</m:t>
            </m:r>
          </m:e>
          <m:sub>
            <m:r>
              <m:rPr/>
              <w:rPr>
                <w:rFonts w:ascii="Cambria Math" w:hAnsi="Cambria Math"/>
                <w:sz w:val="22"/>
              </w:rPr>
              <m:t>c</m:t>
            </m:r>
          </m:sub>
        </m:sSub>
      </m:oMath>
      <w:r>
        <w:rPr>
          <w:rFonts w:ascii="Times New Roman" w:hAnsi="Times New Roman" w:eastAsia="宋体"/>
          <w:b w:val="0"/>
          <w:sz w:val="22"/>
        </w:rPr>
        <w:t>的比例，再进行类别宏平均。该支持门槛当前取3，用于判断状态是否具有基本测试支持，与第3.6节的薄弱条件筛选门槛分别设置。失败状态广度未经等错误数控制，可能随错误数量增加而增大，也直接依赖用于选样的自动状态词表，故作为描述性指标，与对应错误数量和错误率同时报告，不据此单独认定获得了更多独立失败信息。</w:t>
      </w:r>
    </w:p>
    <w:p w14:paraId="710048CA">
      <w:pPr>
        <w:keepLines/>
        <w:spacing w:after="100" w:line="312" w:lineRule="auto"/>
        <w:ind w:firstLine="425"/>
      </w:pPr>
      <w:r>
        <w:rPr>
          <w:rFonts w:ascii="Times New Roman" w:hAnsi="Times New Roman" w:eastAsia="宋体"/>
          <w:b w:val="0"/>
          <w:sz w:val="22"/>
        </w:rPr>
        <w:t>混淆类型由真实类别与错误预测类别的配对定义，其广度为所选错误覆盖的混淆类型比例。对于给定模型、训练种子和真实类别，归一化分母取其在完整候选池中实际出现的错误预测类别数。“完整候选池”指选样之前用于本轮评价的全部候选目标，而非某个预算下已选出的目标。</w:t>
      </w:r>
    </w:p>
    <w:p w14:paraId="29C2B984">
      <w:pPr>
        <w:keepLines/>
        <w:spacing w:after="100" w:line="312" w:lineRule="auto"/>
        <w:ind w:firstLine="425"/>
      </w:pPr>
      <w:r>
        <w:rPr>
          <w:rFonts w:ascii="Times New Roman" w:hAnsi="Times New Roman" w:eastAsia="宋体"/>
          <w:b w:val="0"/>
          <w:sz w:val="22"/>
        </w:rPr>
        <w:t>表征簇广度为所选错误覆盖的表征簇比例。对给定模型、训练种子和真实类别，先从完整候选池中提取全部分类错误目标，并仅对这些错误目标的表征聚类；正确目标不参与该聚类。所得簇数作为固定分母，表示当前模型在该候选池中错误目标的表征划分，不代表完整输入空间的簇数。比较同一模型和训练种子下的不同选样方法及预算时，沿用相同的错误集合、聚类结果和分母。</w:t>
      </w:r>
    </w:p>
    <w:p w14:paraId="2460389C">
      <w:pPr>
        <w:keepLines/>
        <w:spacing w:after="100" w:line="312" w:lineRule="auto"/>
        <w:ind w:firstLine="425"/>
      </w:pPr>
      <w:r>
        <w:rPr>
          <w:rFonts w:ascii="Times New Roman" w:hAnsi="Times New Roman" w:eastAsia="宋体"/>
          <w:b w:val="0"/>
          <w:sz w:val="22"/>
        </w:rPr>
        <w:t>选样独立确认的主分析使用被测分类器最终分类层的输入表征，另以统一ViT-B/16表征作敏感性分析；风险混合分析使用统一ViT-B/16表征。错误表征先进行L2归一化，再以K-means聚类。错误数不少于2时，簇数取其平方根四舍五入后截在2至8之间；零错误和单错误分别对应零簇和一簇。初始化次数与随机种子在实验设置中给出。</w:t>
      </w:r>
    </w:p>
    <w:p w14:paraId="6EB34C33">
      <w:pPr>
        <w:keepLines/>
        <w:spacing w:after="100" w:line="312" w:lineRule="auto"/>
        <w:ind w:firstLine="425"/>
      </w:pPr>
      <w:r>
        <w:rPr>
          <w:rFonts w:ascii="Times New Roman" w:hAnsi="Times New Roman" w:eastAsia="宋体"/>
          <w:b w:val="0"/>
          <w:sz w:val="22"/>
        </w:rPr>
        <w:t>即使使用统一表征，不同模型或训练种子的错误集合及聚类结果也可能不同。因此，跨模型分析先计算各模型内选样方法的配对差异，再按架构汇总，不直接以原始簇比例进行跨模型排名。表征簇描述错误样本的表征多样性，不等同于独立缺陷或错误根因。</w:t>
      </w:r>
    </w:p>
    <w:p w14:paraId="65199596">
      <w:pPr>
        <w:keepNext/>
        <w:keepLines/>
        <w:spacing w:after="100" w:line="312" w:lineRule="auto"/>
        <w:ind w:firstLine="425"/>
      </w:pPr>
      <w:r>
        <w:rPr>
          <w:rFonts w:ascii="Times New Roman" w:hAnsi="Times New Roman" w:eastAsia="宋体"/>
          <w:b w:val="0"/>
          <w:sz w:val="22"/>
        </w:rPr>
        <w:t>为比较相同错误数量下的信息广度，仅对混淆类型与表征簇进行等错误数控制。在每个真实类别中，取两种方法错误数的较小值</w:t>
      </w:r>
      <m:oMath>
        <m:r>
          <m:rPr/>
          <w:rPr>
            <w:rFonts w:ascii="Cambria Math" w:hAnsi="Cambria Math"/>
            <w:sz w:val="22"/>
          </w:rPr>
          <m:t>q</m:t>
        </m:r>
      </m:oMath>
      <w:r>
        <w:rPr>
          <w:rFonts w:ascii="Times New Roman" w:hAnsi="Times New Roman" w:eastAsia="宋体"/>
          <w:b w:val="0"/>
          <w:sz w:val="22"/>
        </w:rPr>
        <w:t>。设某方法共有</w:t>
      </w:r>
      <m:oMath>
        <m:r>
          <m:rPr/>
          <w:rPr>
            <w:rFonts w:ascii="Cambria Math" w:hAnsi="Cambria Math"/>
            <w:sz w:val="22"/>
          </w:rPr>
          <m:t>N</m:t>
        </m:r>
      </m:oMath>
      <w:r>
        <w:rPr>
          <w:rFonts w:ascii="Times New Roman" w:hAnsi="Times New Roman" w:eastAsia="宋体"/>
          <w:b w:val="0"/>
          <w:sz w:val="22"/>
        </w:rPr>
        <w:t>个错误，其中一种混淆类型或表征簇出现</w:t>
      </w:r>
      <m:oMath>
        <m:r>
          <m:rPr/>
          <w:rPr>
            <w:rFonts w:ascii="Cambria Math" w:hAnsi="Cambria Math"/>
            <w:sz w:val="22"/>
          </w:rPr>
          <m:t>e</m:t>
        </m:r>
      </m:oMath>
      <w:r>
        <w:rPr>
          <w:rFonts w:ascii="Times New Roman" w:hAnsi="Times New Roman" w:eastAsia="宋体"/>
          <w:b w:val="0"/>
          <w:sz w:val="22"/>
        </w:rPr>
        <w:t>次，则无放回抽取</w:t>
      </w:r>
      <m:oMath>
        <m:r>
          <m:rPr/>
          <w:rPr>
            <w:rFonts w:ascii="Cambria Math" w:hAnsi="Cambria Math"/>
            <w:sz w:val="22"/>
          </w:rPr>
          <m:t>q</m:t>
        </m:r>
      </m:oMath>
      <w:r>
        <w:rPr>
          <w:rFonts w:ascii="Times New Roman" w:hAnsi="Times New Roman" w:eastAsia="宋体"/>
          <w:b w:val="0"/>
          <w:sz w:val="22"/>
        </w:rPr>
        <w:t>个错误后观察到该类型的期望贡献为：</w:t>
      </w:r>
    </w:p>
    <w:p w14:paraId="6C171FC7">
      <w:pPr>
        <w:spacing w:before="80" w:after="140"/>
        <w:jc w:val="center"/>
      </w:pPr>
      <m:oMathPara>
        <m:oMath>
          <m:r>
            <m:rPr>
              <m:sty m:val="p"/>
              <m:scr m:val="double-struck"/>
            </m:rPr>
            <w:rPr>
              <w:rFonts w:ascii="Cambria Math" w:hAnsi="Cambria Math"/>
              <w:sz w:val="22"/>
            </w:rPr>
            <m:t>E</m:t>
          </m:r>
          <m:d>
            <m:dPr>
              <m:begChr m:val="["/>
              <m:sepChr m:val=""/>
              <m:endChr m:val="]"/>
            </m:dPr>
            <m:e>
              <m:r>
                <m:rPr>
                  <m:sty m:val="b"/>
                </m:rPr>
                <w:rPr>
                  <w:rFonts w:ascii="Cambria Math" w:hAnsi="Cambria Math"/>
                  <w:sz w:val="22"/>
                </w:rPr>
                <m:t>1</m:t>
              </m:r>
              <m:d>
                <m:dPr>
                  <m:begChr m:val="{"/>
                  <m:sepChr m:val=""/>
                  <m:endChr m:val="}"/>
                </m:dPr>
                <m:e>
                  <m:r>
                    <m:rPr>
                      <m:nor/>
                      <m:sty m:val="p"/>
                    </m:rPr>
                    <w:rPr>
                      <w:rFonts w:ascii="Cambria Math" w:hAnsi="Cambria Math"/>
                      <w:b w:val="0"/>
                      <w:i w:val="0"/>
                      <w:sz w:val="22"/>
                    </w:rPr>
                    <m:t>type observed</m:t>
                  </m:r>
                </m:e>
              </m:d>
            </m:e>
          </m:d>
          <m:r>
            <m:rPr>
              <m:sty m:val="p"/>
            </m:rPr>
            <w:rPr>
              <w:rFonts w:ascii="Cambria Math" w:hAnsi="Cambria Math"/>
              <w:sz w:val="22"/>
            </w:rPr>
            <m:t>=</m:t>
          </m:r>
          <m:r>
            <m:rPr/>
            <w:rPr>
              <w:rFonts w:ascii="Cambria Math" w:hAnsi="Cambria Math"/>
              <w:sz w:val="22"/>
            </w:rPr>
            <m:t>1</m:t>
          </m:r>
          <m:r>
            <m:rPr>
              <m:sty m:val="p"/>
            </m:rPr>
            <w:rPr>
              <w:rFonts w:ascii="Cambria Math" w:hAnsi="Cambria Math"/>
              <w:sz w:val="22"/>
            </w:rPr>
            <m:t>−</m:t>
          </m:r>
          <m:f>
            <m:fPr/>
            <m:num>
              <m:d>
                <m:dPr>
                  <m:sepChr m:val=""/>
                </m:dPr>
                <m:e>
                  <m:f>
                    <m:fPr>
                      <m:type m:val="nobar"/>
                    </m:fPr>
                    <m:num>
                      <m:r>
                        <m:rPr/>
                        <w:rPr>
                          <w:rFonts w:ascii="Cambria Math" w:hAnsi="Cambria Math"/>
                          <w:sz w:val="22"/>
                        </w:rPr>
                        <m:t>N</m:t>
                      </m:r>
                      <m:r>
                        <m:rPr>
                          <m:sty m:val="p"/>
                        </m:rPr>
                        <w:rPr>
                          <w:rFonts w:ascii="Cambria Math" w:hAnsi="Cambria Math"/>
                          <w:sz w:val="22"/>
                        </w:rPr>
                        <m:t>−</m:t>
                      </m:r>
                      <m:r>
                        <m:rPr/>
                        <w:rPr>
                          <w:rFonts w:ascii="Cambria Math" w:hAnsi="Cambria Math"/>
                          <w:sz w:val="22"/>
                        </w:rPr>
                        <m:t>e</m:t>
                      </m:r>
                    </m:num>
                    <m:den>
                      <m:r>
                        <m:rPr/>
                        <w:rPr>
                          <w:rFonts w:ascii="Cambria Math" w:hAnsi="Cambria Math"/>
                          <w:sz w:val="22"/>
                        </w:rPr>
                        <m:t>q</m:t>
                      </m:r>
                    </m:den>
                  </m:f>
                </m:e>
              </m:d>
            </m:num>
            <m:den>
              <m:d>
                <m:dPr>
                  <m:sepChr m:val=""/>
                </m:dPr>
                <m:e>
                  <m:f>
                    <m:fPr>
                      <m:type m:val="nobar"/>
                    </m:fPr>
                    <m:num>
                      <m:r>
                        <m:rPr/>
                        <w:rPr>
                          <w:rFonts w:ascii="Cambria Math" w:hAnsi="Cambria Math"/>
                          <w:sz w:val="22"/>
                        </w:rPr>
                        <m:t>N</m:t>
                      </m:r>
                    </m:num>
                    <m:den>
                      <m:r>
                        <m:rPr/>
                        <w:rPr>
                          <w:rFonts w:ascii="Cambria Math" w:hAnsi="Cambria Math"/>
                          <w:sz w:val="22"/>
                        </w:rPr>
                        <m:t>q</m:t>
                      </m:r>
                    </m:den>
                  </m:f>
                </m:e>
              </m:d>
            </m:den>
          </m:f>
          <m:r>
            <m:rPr>
              <m:sty m:val="p"/>
            </m:rPr>
            <w:rPr>
              <w:rFonts w:ascii="Cambria Math" w:hAnsi="Cambria Math"/>
              <w:sz w:val="22"/>
            </w:rPr>
            <m:t>.</m:t>
          </m:r>
        </m:oMath>
      </m:oMathPara>
    </w:p>
    <w:p w14:paraId="2CB749FE">
      <w:pPr>
        <w:keepLines/>
        <w:spacing w:after="100" w:line="312" w:lineRule="auto"/>
        <w:ind w:firstLine="425"/>
      </w:pPr>
      <w:r>
        <w:rPr>
          <w:rFonts w:ascii="Times New Roman" w:hAnsi="Times New Roman" w:eastAsia="宋体"/>
          <w:b w:val="0"/>
          <w:sz w:val="22"/>
        </w:rPr>
        <w:t>上式在</w:t>
      </w:r>
      <m:oMath>
        <m:r>
          <m:rPr/>
          <w:rPr>
            <w:rFonts w:ascii="Cambria Math" w:hAnsi="Cambria Math"/>
            <w:sz w:val="22"/>
          </w:rPr>
          <m:t>N</m:t>
        </m:r>
        <m:r>
          <m:rPr>
            <m:sty m:val="p"/>
          </m:rPr>
          <w:rPr>
            <w:rFonts w:ascii="Cambria Math" w:hAnsi="Cambria Math"/>
            <w:sz w:val="22"/>
          </w:rPr>
          <m:t>&gt;</m:t>
        </m:r>
        <m:r>
          <m:rPr/>
          <w:rPr>
            <w:rFonts w:ascii="Cambria Math" w:hAnsi="Cambria Math"/>
            <w:sz w:val="22"/>
          </w:rPr>
          <m:t>0</m:t>
        </m:r>
      </m:oMath>
      <w:r>
        <w:rPr>
          <w:rFonts w:ascii="Times New Roman" w:hAnsi="Times New Roman" w:eastAsia="宋体"/>
          <w:b w:val="0"/>
          <w:sz w:val="22"/>
        </w:rPr>
        <w:t>、</w:t>
      </w:r>
      <m:oMath>
        <m:r>
          <m:rPr/>
          <w:rPr>
            <w:rFonts w:ascii="Cambria Math" w:hAnsi="Cambria Math"/>
            <w:sz w:val="22"/>
          </w:rPr>
          <m:t>0</m:t>
        </m:r>
        <m:r>
          <m:rPr>
            <m:sty m:val="p"/>
          </m:rPr>
          <w:rPr>
            <w:rFonts w:ascii="Cambria Math" w:hAnsi="Cambria Math"/>
            <w:sz w:val="22"/>
          </w:rPr>
          <m:t>≤</m:t>
        </m:r>
        <m:r>
          <m:rPr/>
          <w:rPr>
            <w:rFonts w:ascii="Cambria Math" w:hAnsi="Cambria Math"/>
            <w:sz w:val="22"/>
          </w:rPr>
          <m:t>q</m:t>
        </m:r>
        <m:r>
          <m:rPr>
            <m:sty m:val="p"/>
          </m:rPr>
          <w:rPr>
            <w:rFonts w:ascii="Cambria Math" w:hAnsi="Cambria Math"/>
            <w:sz w:val="22"/>
          </w:rPr>
          <m:t>≤</m:t>
        </m:r>
        <m:r>
          <m:rPr/>
          <w:rPr>
            <w:rFonts w:ascii="Cambria Math" w:hAnsi="Cambria Math"/>
            <w:sz w:val="22"/>
          </w:rPr>
          <m:t>N</m:t>
        </m:r>
      </m:oMath>
      <w:r>
        <w:rPr>
          <w:rFonts w:ascii="Times New Roman" w:hAnsi="Times New Roman" w:eastAsia="宋体"/>
          <w:b w:val="0"/>
          <w:sz w:val="22"/>
        </w:rPr>
        <w:t>时计算；若</w:t>
      </w:r>
      <m:oMath>
        <m:r>
          <m:rPr/>
          <w:rPr>
            <w:rFonts w:ascii="Cambria Math" w:hAnsi="Cambria Math"/>
            <w:sz w:val="22"/>
          </w:rPr>
          <m:t>q</m:t>
        </m:r>
        <m:r>
          <m:rPr>
            <m:sty m:val="p"/>
          </m:rPr>
          <w:rPr>
            <w:rFonts w:ascii="Cambria Math" w:hAnsi="Cambria Math"/>
            <w:sz w:val="22"/>
          </w:rPr>
          <m:t>&gt;</m:t>
        </m:r>
        <m:r>
          <m:rPr/>
          <w:rPr>
            <w:rFonts w:ascii="Cambria Math" w:hAnsi="Cambria Math"/>
            <w:sz w:val="22"/>
          </w:rPr>
          <m:t>N</m:t>
        </m:r>
        <m:r>
          <m:rPr>
            <m:sty m:val="p"/>
          </m:rPr>
          <w:rPr>
            <w:rFonts w:ascii="Cambria Math" w:hAnsi="Cambria Math"/>
            <w:sz w:val="22"/>
          </w:rPr>
          <m:t>−</m:t>
        </m:r>
        <m:r>
          <m:rPr/>
          <w:rPr>
            <w:rFonts w:ascii="Cambria Math" w:hAnsi="Cambria Math"/>
            <w:sz w:val="22"/>
          </w:rPr>
          <m:t>e</m:t>
        </m:r>
      </m:oMath>
      <w:r>
        <w:rPr>
          <w:rFonts w:ascii="Times New Roman" w:hAnsi="Times New Roman" w:eastAsia="宋体"/>
          <w:b w:val="0"/>
          <w:sz w:val="22"/>
        </w:rPr>
        <w:t>，分子组合数取零。分别对两类指标的类型贡献求和，按上述完整候选池中的类型数或簇数归一化，再进行类别宏平均。若</w:t>
      </w:r>
      <m:oMath>
        <m:r>
          <m:rPr/>
          <w:rPr>
            <w:rFonts w:ascii="Cambria Math" w:hAnsi="Cambria Math"/>
            <w:sz w:val="22"/>
          </w:rPr>
          <m:t>q</m:t>
        </m:r>
      </m:oMath>
      <w:r>
        <w:rPr>
          <w:rFonts w:ascii="Times New Roman" w:hAnsi="Times New Roman" w:eastAsia="宋体"/>
          <w:b w:val="0"/>
          <w:sz w:val="22"/>
        </w:rPr>
        <w:t>为零或相应分母为零，广度贡献记为零，同时注明缺少可比较的错误证据。不同选样规模下的曲线可通过归一化面积汇总；此面积是测试规模曲线的统计量，不是ROC-AUC或分类性能提升。</w:t>
      </w:r>
    </w:p>
    <w:p w14:paraId="6F8FD118">
      <w:pPr>
        <w:keepLines/>
        <w:spacing w:after="100" w:line="312" w:lineRule="auto"/>
        <w:ind w:firstLine="425"/>
      </w:pPr>
      <w:r>
        <w:rPr>
          <w:rFonts w:ascii="Times New Roman" w:hAnsi="Times New Roman" w:eastAsia="宋体"/>
          <w:b w:val="0"/>
          <w:sz w:val="22"/>
        </w:rPr>
        <w:t>等错误数处理是分类预测后的评价步骤，不用于提前选择目标。错误数量与信息广度分别回答“发现多少错误”和“在相同错误数量下获得多少不同失败信息”。</w:t>
      </w:r>
    </w:p>
    <w:p w14:paraId="5FEA7519">
      <w:pPr>
        <w:pStyle w:val="3"/>
        <w:spacing w:before="180" w:after="100"/>
        <w:rPr>
          <w:rFonts w:hint="eastAsia" w:ascii="黑体" w:hAnsi="黑体" w:eastAsia="黑体" w:cs="黑体"/>
        </w:rPr>
      </w:pPr>
      <w:r>
        <w:rPr>
          <w:rFonts w:hint="eastAsia" w:ascii="黑体" w:hAnsi="黑体" w:eastAsia="黑体" w:cs="黑体"/>
        </w:rPr>
        <w:t>3.6 条件能力报告与薄弱条件复查</w:t>
      </w:r>
    </w:p>
    <w:p w14:paraId="6D377E47">
      <w:pPr>
        <w:keepLines/>
        <w:spacing w:after="100" w:line="312" w:lineRule="auto"/>
        <w:ind w:firstLine="425"/>
      </w:pPr>
      <w:r>
        <w:rPr>
          <w:rFonts w:ascii="Times New Roman" w:hAnsi="Times New Roman" w:eastAsia="宋体"/>
          <w:b w:val="0"/>
          <w:sz w:val="22"/>
        </w:rPr>
        <w:t>将模型预测、真实类别与视觉状态关联，形成条件能力报告。报告逐行记录数据集、标注来源、模型架构与训练种子、真实类别、状态字段及枚举值、状态支持数、条件Recall、类别总体Recall、二者差值及复查状态。该结构同时呈现识别表现和支持量，便于判断条件差异是否具有足够样本依据。</w:t>
      </w:r>
    </w:p>
    <w:p w14:paraId="398CEAB8">
      <w:pPr>
        <w:keepLines/>
        <w:spacing w:after="100" w:line="312" w:lineRule="auto"/>
        <w:ind w:firstLine="425"/>
      </w:pPr>
      <w:r>
        <w:rPr>
          <w:rFonts w:ascii="Times New Roman" w:hAnsi="Times New Roman" w:eastAsia="宋体"/>
          <w:b w:val="0"/>
          <w:sz w:val="22"/>
        </w:rPr>
        <w:t>在发现集合中，先对同一架构的不同训练种子平均条件Recall与类别Recall，再筛选支持数不少于20、平均条件Recall低于类别Recall至少10个百分点的状态。每个标注来源、类别和架构最多保留三项，按差值从低到高排序，同差时按字段及枚举值排序。不足三项时不补选。候选条件清单在查看复查数据的分类预测前确定。</w:t>
      </w:r>
    </w:p>
    <w:p w14:paraId="07B70194">
      <w:pPr>
        <w:keepLines/>
        <w:spacing w:after="100" w:line="312" w:lineRule="auto"/>
        <w:ind w:firstLine="425"/>
      </w:pPr>
      <w:r>
        <w:rPr>
          <w:rFonts w:ascii="Times New Roman" w:hAnsi="Times New Roman" w:eastAsia="宋体"/>
          <w:b w:val="0"/>
          <w:sz w:val="22"/>
        </w:rPr>
        <w:t>复查使用与既有训练、验证及研究样本排重后的新目标集合，保持类别任务、状态定义和分类器一致；目标框由各数据源官方标注确定，并沿用同类多目标时选取最大合法框的规则。当前研究分别使用COCO、VOC2007和Objects365构建复查集合，具体来源、规模与排重设置在实验章节说明。构建过程不依据分类器错误或待复查状态富集样本。</w:t>
      </w:r>
    </w:p>
    <w:p w14:paraId="44FBA3A8">
      <w:pPr>
        <w:keepLines/>
        <w:spacing w:after="100" w:line="312" w:lineRule="auto"/>
        <w:ind w:firstLine="425"/>
      </w:pPr>
      <w:r>
        <w:rPr>
          <w:rFonts w:ascii="Times New Roman" w:hAnsi="Times New Roman" w:eastAsia="宋体"/>
          <w:b w:val="0"/>
          <w:sz w:val="22"/>
        </w:rPr>
        <w:t>对每个候选条件，分别计算各训练种子在新集合中的状态支持数和Recall差值。支持数不少于20且差值</w:t>
      </w:r>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)&lt;</m:t>
        </m:r>
        <m:r>
          <m:rPr/>
          <w:rPr>
            <w:rFonts w:ascii="Cambria Math" w:hAnsi="Cambria Math"/>
            <w:sz w:val="22"/>
          </w:rPr>
          <m:t>0</m:t>
        </m:r>
      </m:oMath>
      <w:r>
        <w:rPr>
          <w:rFonts w:ascii="Times New Roman" w:hAnsi="Times New Roman" w:eastAsia="宋体"/>
          <w:b w:val="0"/>
          <w:sz w:val="22"/>
        </w:rPr>
        <w:t>，记为“薄弱方向复现”；支持充分但差值</w:t>
      </w:r>
      <m:oMath>
        <m:sSubSup>
          <m:sSubSupPr/>
          <m:e>
            <m:r>
              <m:rPr>
                <m:sty m:val="p"/>
              </m:rPr>
              <w:rPr>
                <w:rFonts w:ascii="Cambria Math" w:hAnsi="Cambria Math"/>
                <w:sz w:val="22"/>
              </w:rPr>
              <m:t>Δ</m:t>
            </m:r>
          </m:e>
          <m:sub>
            <m:r>
              <m:rPr/>
              <w:rPr>
                <w:rFonts w:ascii="Cambria Math" w:hAnsi="Cambria Math"/>
                <w:sz w:val="22"/>
              </w:rPr>
              <m:t>c</m:t>
            </m:r>
            <m:r>
              <m:rPr>
                <m:sty m:val="p"/>
              </m:rPr>
              <w:rPr>
                <w:rFonts w:ascii="Cambria Math" w:hAnsi="Cambria Math"/>
                <w:sz w:val="22"/>
              </w:rPr>
              <m:t>,</m:t>
            </m:r>
            <m:r>
              <m:rPr/>
              <w:rPr>
                <w:rFonts w:ascii="Cambria Math" w:hAnsi="Cambria Math"/>
                <w:sz w:val="22"/>
              </w:rPr>
              <m:t>s</m:t>
            </m:r>
          </m:sub>
          <m:sup>
            <m:r>
              <m:rPr>
                <m:sty m:val="p"/>
              </m:rPr>
              <w:rPr>
                <w:rFonts w:ascii="Cambria Math" w:hAnsi="Cambria Math"/>
                <w:sz w:val="22"/>
              </w:rPr>
              <m:t>(</m:t>
            </m:r>
            <m:r>
              <m:rPr/>
              <w:rPr>
                <w:rFonts w:ascii="Cambria Math" w:hAnsi="Cambria Math"/>
                <w:sz w:val="22"/>
              </w:rPr>
              <m:t>r</m:t>
            </m:r>
            <m:r>
              <m:rPr>
                <m:sty m:val="p"/>
              </m:rPr>
              <w:rPr>
                <w:rFonts w:ascii="Cambria Math" w:hAnsi="Cambria Math"/>
                <w:sz w:val="22"/>
              </w:rPr>
              <m:t>)</m:t>
            </m:r>
          </m:sup>
        </m:sSubSup>
        <m:r>
          <m:rPr>
            <m:sty m:val="p"/>
          </m:rPr>
          <w:rPr>
            <w:rFonts w:ascii="Cambria Math" w:hAnsi="Cambria Math"/>
            <w:sz w:val="22"/>
          </w:rPr>
          <m:t>(</m:t>
        </m:r>
        <m:r>
          <m:rPr/>
          <w:rPr>
            <w:rFonts w:ascii="Cambria Math" w:hAnsi="Cambria Math"/>
            <w:sz w:val="22"/>
          </w:rPr>
          <m:t>T</m:t>
        </m:r>
        <m:r>
          <m:rPr>
            <m:sty m:val="p"/>
          </m:rPr>
          <w:rPr>
            <w:rFonts w:ascii="Cambria Math" w:hAnsi="Cambria Math"/>
            <w:sz w:val="22"/>
          </w:rPr>
          <m:t>)≥</m:t>
        </m:r>
        <m:r>
          <m:rPr/>
          <w:rPr>
            <w:rFonts w:ascii="Cambria Math" w:hAnsi="Cambria Math"/>
            <w:sz w:val="22"/>
          </w:rPr>
          <m:t>0</m:t>
        </m:r>
      </m:oMath>
      <w:r>
        <w:rPr>
          <w:rFonts w:ascii="Times New Roman" w:hAnsi="Times New Roman" w:eastAsia="宋体"/>
          <w:b w:val="0"/>
          <w:sz w:val="22"/>
        </w:rPr>
        <w:t>，记为“未复现”；支持数不足20，记为“支持不足”。方向复现表示该状态仍低于对应类别参考，不要求重新达到发现阶段10个百分点的落差，也不等同于逐项统计显著。</w:t>
      </w:r>
    </w:p>
    <w:p w14:paraId="08B3E415">
      <w:pPr>
        <w:keepLines/>
        <w:spacing w:after="100" w:line="312" w:lineRule="auto"/>
        <w:ind w:firstLine="425"/>
      </w:pPr>
      <w:r>
        <w:rPr>
          <w:rFonts w:ascii="Times New Roman" w:hAnsi="Times New Roman" w:eastAsia="宋体"/>
          <w:b w:val="0"/>
          <w:sz w:val="22"/>
        </w:rPr>
        <w:t>各训练种子的结果分别保留，并报告同一架构的种子均值。整体比较先在每个架构、种子内平均可评价条件的差值，再在架构内平均种子，以架构为统计单位。未复现和支持不足的条件均保留，不根据复查结果替换候选清单。具体统计检验及报告实例在实验章节说明。</w:t>
      </w:r>
    </w:p>
    <w:p w14:paraId="32F39C10">
      <w:pPr>
        <w:keepLines/>
        <w:spacing w:after="100" w:line="312" w:lineRule="auto"/>
        <w:ind w:firstLine="425"/>
      </w:pPr>
    </w:p>
    <w:sectPr>
      <w:footerReference r:id="rId5" w:type="default"/>
      <w:pgSz w:w="11906" w:h="16838"/>
      <w:pgMar w:top="1191"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汉仪中黑KW">
    <w:panose1 w:val="00020600040101010101"/>
    <w:charset w:val="86"/>
    <w:family w:val="auto"/>
    <w:pitch w:val="default"/>
    <w:sig w:usb0="A00002BF" w:usb1="18EF7CFA" w:usb2="00000016" w:usb3="00000000" w:csb0="00040000"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Arial Unicode MS">
    <w:panose1 w:val="020B0604020202020204"/>
    <w:charset w:val="86"/>
    <w:family w:val="auto"/>
    <w:pitch w:val="default"/>
    <w:sig w:usb0="FFFFFFFF" w:usb1="E9FFFFFF" w:usb2="0000003F" w:usb3="00000000" w:csb0="603F01FF" w:csb1="FFFF0000"/>
  </w:font>
  <w:font w:name="ＭＳ ゴシック">
    <w:altName w:val="Arial Unicode MS"/>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6BB90">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F8F9415"/>
    <w:rsid w:val="77F7AB19"/>
    <w:rsid w:val="7CEE156C"/>
    <w:rsid w:val="7DAF838E"/>
    <w:rsid w:val="B4FB2942"/>
    <w:rsid w:val="BBEF2BAA"/>
    <w:rsid w:val="BFEFA793"/>
    <w:rsid w:val="DEEA6E60"/>
    <w:rsid w:val="E55F3986"/>
    <w:rsid w:val="E5D4F9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color w:val="000000"/>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000000"/>
      <w:spacing w:val="5"/>
      <w:kern w:val="28"/>
      <w:sz w:val="34"/>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31</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QE项目</dc:creator>
  <dc:description>generated by python-docx</dc:description>
  <cp:lastModifiedBy>忽忽溜~</cp:lastModifiedBy>
  <dcterms:modified xsi:type="dcterms:W3CDTF">2026-10-12T13:09:54Z</dcterms:modified>
  <dc:title>研究方法：视觉状态驱动的模型测试</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1F793E4C496E21E05E4ACC6A9915D82C_42</vt:lpwstr>
  </property>
</Properties>
</file>