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问题定义与信息分工</w:t>
      </w:r>
    </w:p>
    <w:p w14:paraId="3DCD3C22">
      <w:pPr>
        <w:keepLines/>
        <w:spacing w:after="100" w:line="312" w:lineRule="auto"/>
        <w:ind w:firstLine="425"/>
      </w:pPr>
      <w:r>
        <w:rPr>
          <w:rFonts w:ascii="Times New Roman" w:hAnsi="Times New Roman" w:eastAsia="宋体"/>
          <w:b w:val="0"/>
          <w:sz w:val="22"/>
        </w:rPr>
        <w:t>设候选目标集合为</w:t>
      </w:r>
      <m:oMath>
        <m:r>
          <m:rPr/>
          <w:rPr>
            <w:rFonts w:ascii="Cambria Math" w:hAnsi="Cambria Math"/>
            <w:sz w:val="22"/>
          </w:rPr>
          <m:t>P</m:t>
        </m:r>
      </m:oMath>
      <w:r>
        <w:rPr>
          <w:rFonts w:ascii="Times New Roman" w:hAnsi="Times New Roman" w:eastAsia="宋体"/>
          <w:b w:val="0"/>
          <w:sz w:val="22"/>
        </w:rPr>
        <w:t>，每个目标由原始图像</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、官方目标框</w:t>
      </w:r>
      <m:oMath>
        <m:sSub>
          <m:sSubPr/>
          <m:e>
            <m:r>
              <m:rPr/>
              <w:rPr>
                <w:rFonts w:ascii="Cambria Math" w:hAnsi="Cambria Math"/>
                <w:sz w:val="22"/>
              </w:rPr>
              <m:t>b</m:t>
            </m:r>
          </m:e>
          <m:sub>
            <m:r>
              <m:rPr/>
              <w:rPr>
                <w:rFonts w:ascii="Cambria Math" w:hAnsi="Cambria Math"/>
                <w:sz w:val="22"/>
              </w:rPr>
              <m:t>i</m:t>
            </m:r>
          </m:sub>
        </m:sSub>
      </m:oMath>
      <w:r>
        <w:rPr>
          <w:rFonts w:ascii="Times New Roman" w:hAnsi="Times New Roman" w:eastAsia="宋体"/>
          <w:b w:val="0"/>
          <w:sz w:val="22"/>
        </w:rPr>
        <w:t>及类别标签</w:t>
      </w:r>
      <m:oMath>
        <m:sSub>
          <m:sSubPr/>
          <m:e>
            <m:r>
              <m:rPr/>
              <w:rPr>
                <w:rFonts w:ascii="Cambria Math" w:hAnsi="Cambria Math"/>
                <w:sz w:val="22"/>
              </w:rPr>
              <m:t>y</m:t>
            </m:r>
          </m:e>
          <m:sub>
            <m:r>
              <m:rPr/>
              <w:rPr>
                <w:rFonts w:ascii="Cambria Math" w:hAnsi="Cambria Math"/>
                <w:sz w:val="22"/>
              </w:rPr>
              <m:t>i</m:t>
            </m:r>
          </m:sub>
        </m:sSub>
      </m:oMath>
      <w:r>
        <w:rPr>
          <w:rFonts w:ascii="Times New Roman" w:hAnsi="Times New Roman" w:eastAsia="宋体"/>
          <w:b w:val="0"/>
          <w:sz w:val="22"/>
        </w:rPr>
        <w:t>组成。类别集合包含犬、猫、马、羊、人和车，类别数记为</w:t>
      </w:r>
      <m:oMath>
        <m:r>
          <m:rPr/>
          <w:rPr>
            <w:rFonts w:ascii="Cambria Math" w:hAnsi="Cambria Math"/>
            <w:sz w:val="22"/>
          </w:rPr>
          <m:t>K</m:t>
        </m:r>
      </m:oMath>
      <w:r>
        <w:rPr>
          <w:rFonts w:ascii="Times New Roman" w:hAnsi="Times New Roman" w:eastAsia="宋体"/>
          <w:b w:val="0"/>
          <w:sz w:val="22"/>
        </w:rPr>
        <w:t>，当前实现中</w:t>
      </w:r>
      <m:oMath>
        <m:r>
          <m:rPr/>
          <w:rPr>
            <w:rFonts w:ascii="Cambria Math" w:hAnsi="Cambria Math"/>
            <w:sz w:val="22"/>
          </w:rPr>
          <m:t>K</m:t>
        </m:r>
        <m:r>
          <m:rPr>
            <m:sty m:val="p"/>
          </m:rPr>
          <w:rPr>
            <w:rFonts w:ascii="Cambria Math" w:hAnsi="Cambria Math"/>
            <w:sz w:val="22"/>
          </w:rPr>
          <m:t>=</m:t>
        </m:r>
        <m:r>
          <m:rP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sSubPr/>
          <m:e>
            <m:r>
              <m:rPr/>
              <w:rPr>
                <w:rFonts w:ascii="Cambria Math" w:hAnsi="Cambria Math"/>
                <w:sz w:val="22"/>
              </w:rPr>
              <m:t>x</m:t>
            </m:r>
          </m:e>
          <m:sub>
            <m:r>
              <m:rP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sSubPr/>
          <m:e>
            <m:r>
              <m:rPr/>
              <w:rPr>
                <w:rFonts w:ascii="Cambria Math" w:hAnsi="Cambria Math"/>
                <w:sz w:val="22"/>
              </w:rPr>
              <m:t>f</m:t>
            </m:r>
          </m:e>
          <m:sub>
            <m:r>
              <m:rP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14:paraId="6EFB7B4B">
      <w:pPr>
        <w:keepNext w:val="0"/>
        <w:keepLines/>
        <w:spacing w:after="100" w:line="312" w:lineRule="auto"/>
        <w:ind w:firstLine="425"/>
      </w:pPr>
      <w:r>
        <w:rPr>
          <w:rFonts w:ascii="Times New Roman" w:hAnsi="Times New Roman" w:eastAsia="宋体"/>
          <w:b w:val="0"/>
          <w:sz w:val="22"/>
        </w:rPr>
        <w:t>主要符号及含义见表1，后文沿用同一记号。</w:t>
      </w:r>
    </w:p>
    <w:p w14:paraId="19E6ABAA">
      <w:pPr>
        <w:keepNext/>
        <w:keepLines/>
        <w:spacing w:after="100" w:line="312" w:lineRule="auto"/>
        <w:ind w:firstLine="0"/>
      </w:pPr>
      <w:r>
        <w:rPr>
          <w:rFonts w:ascii="Times New Roman" w:hAnsi="Times New Roman" w:eastAsia="宋体"/>
          <w:b w:val="0"/>
          <w:sz w:val="18"/>
        </w:rPr>
        <w:t>表1　主要符号及含义。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6123"/>
      </w:tblGrid>
      <w:tr w14:paraId="3BD15064">
        <w:trPr>
          <w:cantSplit/>
          <w:tblHeader/>
          <w:jc w:val="center"/>
        </w:trPr>
        <w:tc>
          <w:tcPr>
            <w:tcW w:w="4819" w:type="dxa"/>
            <w:vAlign w:val="center"/>
          </w:tcPr>
          <w:p w14:paraId="71F57029">
            <w:pPr>
              <w:spacing w:after="60" w:line="264" w:lineRule="auto"/>
              <w:jc w:val="center"/>
            </w:pPr>
            <w:r>
              <w:rPr>
                <w:rFonts w:ascii="Times New Roman" w:hAnsi="Times New Roman" w:eastAsia="宋体"/>
                <w:b/>
                <w:sz w:val="19"/>
              </w:rPr>
              <w:t>符号</w:t>
            </w:r>
          </w:p>
        </w:tc>
        <w:tc>
          <w:tcPr>
            <w:tcW w:w="4819" w:type="dxa"/>
            <w:vAlign w:val="center"/>
          </w:tcPr>
          <w:p w14:paraId="65B13D11">
            <w:pPr>
              <w:spacing w:after="60" w:line="264" w:lineRule="auto"/>
              <w:jc w:val="center"/>
            </w:pPr>
            <w:r>
              <w:rPr>
                <w:rFonts w:ascii="Times New Roman" w:hAnsi="Times New Roman" w:eastAsia="宋体"/>
                <w:b/>
                <w:sz w:val="19"/>
              </w:rPr>
              <w:t>含义</w:t>
            </w:r>
          </w:p>
        </w:tc>
      </w:tr>
      <w:tr w14:paraId="318E4A01">
        <w:trPr>
          <w:cantSplit/>
          <w:jc w:val="center"/>
        </w:trPr>
        <w:tc>
          <w:tcPr>
            <w:tcW w:w="4819" w:type="dxa"/>
            <w:vAlign w:val="center"/>
          </w:tcPr>
          <w:p w14:paraId="475B8AF1">
            <w:pPr>
              <w:spacing w:after="60" w:line="264" w:lineRule="auto"/>
              <w:jc w:val="center"/>
            </w:pPr>
            <m:oMathPara>
              <m:oMath>
                <m:r>
                  <m:rPr/>
                  <w:rPr>
                    <w:rFonts w:ascii="Cambria Math" w:hAnsi="Cambria Math"/>
                    <w:sz w:val="19"/>
                  </w:rPr>
                  <m:t>P</m:t>
                </m:r>
              </m:oMath>
            </m:oMathPara>
          </w:p>
        </w:tc>
        <w:tc>
          <w:tcPr>
            <w:tcW w:w="4819" w:type="dxa"/>
            <w:vAlign w:val="center"/>
          </w:tcPr>
          <w:p w14:paraId="3671A3F1">
            <w:pPr>
              <w:spacing w:after="60" w:line="264" w:lineRule="auto"/>
              <w:jc w:val="center"/>
            </w:pPr>
            <w:r>
              <w:rPr>
                <w:rFonts w:ascii="Times New Roman" w:hAnsi="Times New Roman" w:eastAsia="宋体"/>
                <w:b w:val="0"/>
                <w:sz w:val="19"/>
              </w:rPr>
              <w:t>候选目标集合。</w:t>
            </w:r>
          </w:p>
        </w:tc>
      </w:tr>
      <w:tr w14:paraId="7311D094">
        <w:trPr>
          <w:cantSplit/>
          <w:jc w:val="center"/>
        </w:trPr>
        <w:tc>
          <w:tcPr>
            <w:tcW w:w="4819" w:type="dxa"/>
            <w:vAlign w:val="center"/>
          </w:tcPr>
          <w:p w14:paraId="0112CB43">
            <w:pPr>
              <w:spacing w:after="60" w:line="264" w:lineRule="auto"/>
              <w:jc w:val="center"/>
            </w:pPr>
            <m:oMath>
              <m:sSub>
                <m:sSubPr/>
                <m:e>
                  <m:r>
                    <m:rPr/>
                    <w:rPr>
                      <w:rFonts w:ascii="Cambria Math" w:hAnsi="Cambria Math"/>
                      <w:sz w:val="19"/>
                    </w:rPr>
                    <m:t>I</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M</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V</m:t>
                  </m:r>
                </m:e>
                <m:sub>
                  <m:r>
                    <m:rPr/>
                    <w:rPr>
                      <w:rFonts w:ascii="Cambria Math" w:hAnsi="Cambria Math"/>
                      <w:sz w:val="19"/>
                    </w:rPr>
                    <m:t>i</m:t>
                  </m:r>
                </m:sub>
              </m:sSub>
            </m:oMath>
          </w:p>
        </w:tc>
        <w:tc>
          <w:tcPr>
            <w:tcW w:w="4819" w:type="dxa"/>
            <w:vAlign w:val="center"/>
          </w:tcPr>
          <w:p w14:paraId="43601956">
            <w:pPr>
              <w:spacing w:after="60" w:line="264" w:lineRule="auto"/>
              <w:jc w:val="center"/>
            </w:pPr>
            <w:r>
              <w:rPr>
                <w:rFonts w:ascii="Times New Roman" w:hAnsi="Times New Roman" w:eastAsia="宋体"/>
                <w:b w:val="0"/>
                <w:sz w:val="19"/>
              </w:rPr>
              <w:t>第</w:t>
            </w:r>
            <m:oMath>
              <m:r>
                <m:rPr/>
                <w:rPr>
                  <w:rFonts w:ascii="Cambria Math" w:hAnsi="Cambria Math"/>
                  <w:sz w:val="19"/>
                </w:rPr>
                <m:t>i</m:t>
              </m:r>
            </m:oMath>
            <w:r>
              <w:rPr>
                <w:rFonts w:ascii="Times New Roman" w:hAnsi="Times New Roman" w:eastAsia="宋体"/>
                <w:b w:val="0"/>
                <w:sz w:val="19"/>
              </w:rPr>
              <w:t>个目标的原图、目标框标记图与放大裁剪图。</w:t>
            </w:r>
          </w:p>
        </w:tc>
      </w:tr>
      <w:tr w14:paraId="169492BA">
        <w:trPr>
          <w:cantSplit/>
          <w:jc w:val="center"/>
        </w:trPr>
        <w:tc>
          <w:tcPr>
            <w:tcW w:w="4819" w:type="dxa"/>
            <w:vAlign w:val="center"/>
          </w:tcPr>
          <w:p w14:paraId="3D5D3A9B">
            <w:pPr>
              <w:spacing w:after="60" w:line="264" w:lineRule="auto"/>
              <w:jc w:val="center"/>
            </w:pPr>
            <m:oMath>
              <m:sSub>
                <m:sSubPr/>
                <m:e>
                  <m:r>
                    <m:rPr/>
                    <w:rPr>
                      <w:rFonts w:ascii="Cambria Math" w:hAnsi="Cambria Math"/>
                      <w:sz w:val="19"/>
                    </w:rPr>
                    <m:t>b</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y</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x</m:t>
                  </m:r>
                </m:e>
                <m:sub>
                  <m:r>
                    <m:rPr/>
                    <w:rPr>
                      <w:rFonts w:ascii="Cambria Math" w:hAnsi="Cambria Math"/>
                      <w:sz w:val="19"/>
                    </w:rPr>
                    <m:t>i</m:t>
                  </m:r>
                </m:sub>
              </m:sSub>
            </m:oMath>
          </w:p>
        </w:tc>
        <w:tc>
          <w:tcPr>
            <w:tcW w:w="4819" w:type="dxa"/>
            <w:vAlign w:val="center"/>
          </w:tcPr>
          <w:p w14:paraId="24C5AC6C">
            <w:pPr>
              <w:spacing w:after="60" w:line="264" w:lineRule="auto"/>
              <w:jc w:val="center"/>
            </w:pPr>
            <w:r>
              <w:rPr>
                <w:rFonts w:ascii="Times New Roman" w:hAnsi="Times New Roman" w:eastAsia="宋体"/>
                <w:b w:val="0"/>
                <w:sz w:val="19"/>
              </w:rPr>
              <w:t>官方目标框、类别真值与分类器预处理后的目标裁剪图。</w:t>
            </w:r>
          </w:p>
        </w:tc>
      </w:tr>
      <w:tr w14:paraId="3AB11B06">
        <w:trPr>
          <w:cantSplit/>
          <w:jc w:val="center"/>
        </w:trPr>
        <w:tc>
          <w:tcPr>
            <w:tcW w:w="4819" w:type="dxa"/>
            <w:vAlign w:val="center"/>
          </w:tcPr>
          <w:p w14:paraId="5A9DCC83">
            <w:pPr>
              <w:spacing w:after="60" w:line="264" w:lineRule="auto"/>
              <w:jc w:val="center"/>
            </w:pPr>
            <m:oMath>
              <m:r>
                <m:rPr/>
                <w:rPr>
                  <w:rFonts w:ascii="Cambria Math" w:hAnsi="Cambria Math"/>
                  <w:sz w:val="19"/>
                </w:rPr>
                <m:t>c</m:t>
              </m:r>
            </m:oMath>
            <w:r>
              <w:rPr>
                <w:rFonts w:ascii="Times New Roman" w:hAnsi="Times New Roman" w:eastAsia="宋体"/>
                <w:b w:val="0"/>
                <w:sz w:val="19"/>
              </w:rPr>
              <w:t>、</w:t>
            </w:r>
            <m:oMath>
              <m:r>
                <m:rPr/>
                <w:rPr>
                  <w:rFonts w:ascii="Cambria Math" w:hAnsi="Cambria Math"/>
                  <w:sz w:val="19"/>
                </w:rPr>
                <m:t>K</m:t>
              </m:r>
            </m:oMath>
          </w:p>
        </w:tc>
        <w:tc>
          <w:tcPr>
            <w:tcW w:w="4819" w:type="dxa"/>
            <w:vAlign w:val="center"/>
          </w:tcPr>
          <w:p w14:paraId="7C79AEA6">
            <w:pPr>
              <w:spacing w:after="60" w:line="264" w:lineRule="auto"/>
              <w:jc w:val="center"/>
            </w:pPr>
            <w:r>
              <w:rPr>
                <w:rFonts w:ascii="Times New Roman" w:hAnsi="Times New Roman" w:eastAsia="宋体"/>
                <w:b w:val="0"/>
                <w:sz w:val="19"/>
              </w:rPr>
              <w:t>真实类别索引与类别数。</w:t>
            </w:r>
          </w:p>
        </w:tc>
      </w:tr>
      <w:tr w14:paraId="2F9F4E83">
        <w:trPr>
          <w:cantSplit/>
          <w:jc w:val="center"/>
        </w:trPr>
        <w:tc>
          <w:tcPr>
            <w:tcW w:w="4819" w:type="dxa"/>
            <w:vAlign w:val="center"/>
          </w:tcPr>
          <w:p w14:paraId="202D6607">
            <w:pPr>
              <w:spacing w:after="60" w:line="264" w:lineRule="auto"/>
              <w:jc w:val="center"/>
            </w:pPr>
            <m:oMath>
              <m:r>
                <m:rPr/>
                <w:rPr>
                  <w:rFonts w:ascii="Cambria Math" w:hAnsi="Cambria Math"/>
                  <w:sz w:val="19"/>
                </w:rPr>
                <m:t>r</m:t>
              </m:r>
            </m:oMath>
            <w:r>
              <w:rPr>
                <w:rFonts w:ascii="Times New Roman" w:hAnsi="Times New Roman" w:eastAsia="宋体"/>
                <w:b w:val="0"/>
                <w:sz w:val="19"/>
              </w:rPr>
              <w:t>、</w:t>
            </w:r>
            <m:oMath>
              <m:sSub>
                <m:sSubPr/>
                <m:e>
                  <m:r>
                    <m:rPr/>
                    <w:rPr>
                      <w:rFonts w:ascii="Cambria Math" w:hAnsi="Cambria Math"/>
                      <w:sz w:val="19"/>
                    </w:rPr>
                    <m:t>ϕ</m:t>
                  </m:r>
                </m:e>
                <m:sub>
                  <m:r>
                    <m:rPr/>
                    <w:rPr>
                      <w:rFonts w:ascii="Cambria Math" w:hAnsi="Cambria Math"/>
                      <w:sz w:val="19"/>
                    </w:rPr>
                    <m:t>r</m:t>
                  </m:r>
                </m:sub>
              </m:sSub>
            </m:oMath>
            <w:r>
              <w:rPr>
                <w:rFonts w:ascii="Times New Roman" w:hAnsi="Times New Roman" w:eastAsia="宋体"/>
                <w:b w:val="0"/>
                <w:sz w:val="19"/>
              </w:rPr>
              <w:t>、</w:t>
            </w:r>
            <m:oMath>
              <m:sSubSup>
                <m:sSubSupPr/>
                <m:e>
                  <m:r>
                    <m:rPr/>
                    <w:rPr>
                      <w:rFonts w:ascii="Cambria Math" w:hAnsi="Cambria Math"/>
                      <w:sz w:val="19"/>
                    </w:rPr>
                    <m:t>z</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03ABDB76">
            <w:pPr>
              <w:spacing w:after="60" w:line="264" w:lineRule="auto"/>
              <w:jc w:val="center"/>
            </w:pPr>
            <w:r>
              <w:rPr>
                <w:rFonts w:ascii="Times New Roman" w:hAnsi="Times New Roman" w:eastAsia="宋体"/>
                <w:b w:val="0"/>
                <w:sz w:val="19"/>
              </w:rPr>
              <w:t>标注来源、对应状态描述器及目标的结构化状态输出。</w:t>
            </w:r>
          </w:p>
        </w:tc>
      </w:tr>
      <w:tr w14:paraId="5B0BD46C">
        <w:trPr>
          <w:cantSplit/>
          <w:jc w:val="center"/>
        </w:trPr>
        <w:tc>
          <w:tcPr>
            <w:tcW w:w="4819" w:type="dxa"/>
            <w:vAlign w:val="center"/>
          </w:tcPr>
          <w:p w14:paraId="7D8FE241">
            <w:pPr>
              <w:spacing w:after="60" w:line="264" w:lineRule="auto"/>
              <w:jc w:val="center"/>
            </w:pPr>
            <m:oMathPara>
              <m:oMath>
                <m:sSubSup>
                  <m:sSubSupPr/>
                  <m:e>
                    <m:r>
                      <m:rPr/>
                      <w:rPr>
                        <w:rFonts w:ascii="Cambria Math" w:hAnsi="Cambria Math"/>
                        <w:sz w:val="19"/>
                      </w:rPr>
                      <m:t>A</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m:oMathPara>
          </w:p>
        </w:tc>
        <w:tc>
          <w:tcPr>
            <w:tcW w:w="4819" w:type="dxa"/>
            <w:vAlign w:val="center"/>
          </w:tcPr>
          <w:p w14:paraId="15B1F8C9">
            <w:pPr>
              <w:spacing w:after="60" w:line="264" w:lineRule="auto"/>
              <w:jc w:val="center"/>
            </w:pPr>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下目标</w:t>
            </w:r>
            <m:oMath>
              <m:r>
                <m:rPr/>
                <w:rPr>
                  <w:rFonts w:ascii="Cambria Math" w:hAnsi="Cambria Math"/>
                  <w:sz w:val="19"/>
                </w:rPr>
                <m:t>i</m:t>
              </m:r>
            </m:oMath>
            <w:r>
              <w:rPr>
                <w:rFonts w:ascii="Times New Roman" w:hAnsi="Times New Roman" w:eastAsia="宋体"/>
                <w:b w:val="0"/>
                <w:sz w:val="19"/>
              </w:rPr>
              <w:t>激活的已知视觉状态集合。</w:t>
            </w:r>
          </w:p>
        </w:tc>
      </w:tr>
      <w:tr w14:paraId="5AEBCA0E">
        <w:trPr>
          <w:cantSplit/>
          <w:jc w:val="center"/>
        </w:trPr>
        <w:tc>
          <w:tcPr>
            <w:tcW w:w="4819" w:type="dxa"/>
            <w:vAlign w:val="center"/>
          </w:tcPr>
          <w:p w14:paraId="0F132063">
            <w:pPr>
              <w:spacing w:after="60" w:line="264" w:lineRule="auto"/>
              <w:jc w:val="center"/>
            </w:pPr>
            <m:oMathPara>
              <m:oMath>
                <m:sSub>
                  <m:sSubPr/>
                  <m:e>
                    <m:r>
                      <m:rPr/>
                      <w:rPr>
                        <w:rFonts w:ascii="Cambria Math" w:hAnsi="Cambria Math"/>
                        <w:sz w:val="19"/>
                      </w:rPr>
                      <m:t>U</m:t>
                    </m:r>
                  </m:e>
                  <m:sub>
                    <m:r>
                      <m:rPr/>
                      <w:rPr>
                        <w:rFonts w:ascii="Cambria Math" w:hAnsi="Cambria Math"/>
                        <w:sz w:val="19"/>
                      </w:rPr>
                      <m:t>c</m:t>
                    </m:r>
                  </m:sub>
                </m:sSub>
              </m:oMath>
            </m:oMathPara>
          </w:p>
        </w:tc>
        <w:tc>
          <w:tcPr>
            <w:tcW w:w="4819" w:type="dxa"/>
            <w:vAlign w:val="center"/>
          </w:tcPr>
          <w:p w14:paraId="59785C5F">
            <w:pPr>
              <w:spacing w:after="60" w:line="264" w:lineRule="auto"/>
              <w:jc w:val="center"/>
            </w:pPr>
            <w:r>
              <w:rPr>
                <w:rFonts w:ascii="Times New Roman" w:hAnsi="Times New Roman" w:eastAsia="宋体"/>
                <w:b w:val="0"/>
                <w:sz w:val="19"/>
              </w:rPr>
              <w:t>类别</w:t>
            </w:r>
            <m:oMath>
              <m:r>
                <m:rPr/>
                <w:rPr>
                  <w:rFonts w:ascii="Cambria Math" w:hAnsi="Cambria Math"/>
                  <w:sz w:val="19"/>
                </w:rPr>
                <m:t>c</m:t>
              </m:r>
            </m:oMath>
            <w:r>
              <w:rPr>
                <w:rFonts w:ascii="Times New Roman" w:hAnsi="Times New Roman" w:eastAsia="宋体"/>
                <w:b w:val="0"/>
                <w:sz w:val="19"/>
              </w:rPr>
              <w:t>内两来源观察到的已知状态并集，用于共同词表与分母。</w:t>
            </w:r>
          </w:p>
        </w:tc>
      </w:tr>
      <w:tr w14:paraId="7450B961">
        <w:trPr>
          <w:cantSplit/>
          <w:jc w:val="center"/>
        </w:trPr>
        <w:tc>
          <w:tcPr>
            <w:tcW w:w="4819" w:type="dxa"/>
            <w:vAlign w:val="center"/>
          </w:tcPr>
          <w:p w14:paraId="7AB534E2">
            <w:pPr>
              <w:spacing w:after="60" w:line="264" w:lineRule="auto"/>
              <w:jc w:val="center"/>
            </w:pPr>
            <m:oMath>
              <m:r>
                <m:rPr/>
                <w:rPr>
                  <w:rFonts w:ascii="Cambria Math" w:hAnsi="Cambria Math"/>
                  <w:sz w:val="19"/>
                </w:rPr>
                <m:t>S</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01FEBA01">
            <w:pPr>
              <w:spacing w:after="60" w:line="264" w:lineRule="auto"/>
              <w:jc w:val="center"/>
            </w:pPr>
            <w:r>
              <w:rPr>
                <w:rFonts w:ascii="Times New Roman" w:hAnsi="Times New Roman" w:eastAsia="宋体"/>
                <w:b w:val="0"/>
                <w:sz w:val="19"/>
              </w:rPr>
              <w:t>已选目标索引集合与用于评价的目标索引集合。</w:t>
            </w:r>
          </w:p>
        </w:tc>
      </w:tr>
      <w:tr w14:paraId="7F960F52">
        <w:trPr>
          <w:cantSplit/>
          <w:jc w:val="center"/>
        </w:trPr>
        <w:tc>
          <w:tcPr>
            <w:tcW w:w="4819" w:type="dxa"/>
            <w:vAlign w:val="center"/>
          </w:tcPr>
          <w:p w14:paraId="01B3014B">
            <w:pPr>
              <w:spacing w:after="60" w:line="264" w:lineRule="auto"/>
              <w:jc w:val="center"/>
            </w:pPr>
            <m:oMathPara>
              <m:oMath>
                <m:sSubSup>
                  <m:sSubSupPr/>
                  <m:e>
                    <m:r>
                      <m:rPr/>
                      <w:rPr>
                        <w:rFonts w:ascii="Cambria Math" w:hAnsi="Cambria Math"/>
                        <w:sz w:val="19"/>
                      </w:rPr>
                      <m:t>n</m:t>
                    </m:r>
                  </m:e>
                  <m:sub>
                    <m:r>
                      <m:rPr/>
                      <w:rPr>
                        <w:rFonts w:ascii="Cambria Math" w:hAnsi="Cambria Math"/>
                        <w:sz w:val="19"/>
                      </w:rPr>
                      <m:t>c</m:t>
                    </m:r>
                    <m:r>
                      <m:rPr>
                        <m:sty m:val="p"/>
                      </m:rPr>
                      <w:rPr>
                        <w:rFonts w:ascii="Cambria Math" w:hAnsi="Cambria Math"/>
                        <w:sz w:val="19"/>
                      </w:rPr>
                      <m:t>,</m:t>
                    </m:r>
                    <m:r>
                      <m:rPr/>
                      <w:rPr>
                        <w:rFonts w:ascii="Cambria Math" w:hAnsi="Cambria Math"/>
                        <w:sz w:val="19"/>
                      </w:rPr>
                      <m:t>s</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m:oMathPara>
          </w:p>
        </w:tc>
        <w:tc>
          <w:tcPr>
            <w:tcW w:w="4819" w:type="dxa"/>
            <w:vAlign w:val="center"/>
          </w:tcPr>
          <w:p w14:paraId="79CBEF62">
            <w:pPr>
              <w:spacing w:after="60" w:line="264" w:lineRule="auto"/>
              <w:jc w:val="center"/>
            </w:pPr>
            <w:r>
              <w:rPr>
                <w:rFonts w:ascii="Times New Roman" w:hAnsi="Times New Roman" w:eastAsia="宋体"/>
                <w:b w:val="0"/>
                <w:sz w:val="19"/>
              </w:rPr>
              <w:t>已选集合中类别</w:t>
            </w:r>
            <m:oMath>
              <m:r>
                <m:rPr/>
                <w:rPr>
                  <w:rFonts w:ascii="Cambria Math" w:hAnsi="Cambria Math"/>
                  <w:sz w:val="19"/>
                </w:rPr>
                <m:t>c</m:t>
              </m:r>
            </m:oMath>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、状态</w:t>
            </w:r>
            <m:oMath>
              <m:r>
                <m:rPr/>
                <w:rPr>
                  <w:rFonts w:ascii="Cambria Math" w:hAnsi="Cambria Math"/>
                  <w:sz w:val="19"/>
                </w:rPr>
                <m:t>s</m:t>
              </m:r>
            </m:oMath>
            <w:r>
              <w:rPr>
                <w:rFonts w:ascii="Times New Roman" w:hAnsi="Times New Roman" w:eastAsia="宋体"/>
                <w:b w:val="0"/>
                <w:sz w:val="19"/>
              </w:rPr>
              <w:t>的支持数。</w:t>
            </w:r>
          </w:p>
        </w:tc>
      </w:tr>
      <w:tr w14:paraId="2ABDEAE1">
        <w:trPr>
          <w:cantSplit/>
          <w:jc w:val="center"/>
        </w:trPr>
        <w:tc>
          <w:tcPr>
            <w:tcW w:w="4819" w:type="dxa"/>
            <w:vAlign w:val="center"/>
          </w:tcPr>
          <w:p w14:paraId="51AE095C">
            <w:pPr>
              <w:spacing w:after="60" w:line="264" w:lineRule="auto"/>
              <w:jc w:val="center"/>
            </w:pPr>
            <m:oMath>
              <m:sSubSup>
                <m:sSubSupPr/>
                <m:e>
                  <m:r>
                    <m:rPr/>
                    <w:rPr>
                      <w:rFonts w:ascii="Cambria Math" w:hAnsi="Cambria Math"/>
                      <w:sz w:val="19"/>
                    </w:rPr>
                    <m:t>C</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sSupPr/>
                <m:e>
                  <m:r>
                    <m:rPr/>
                    <w:rPr>
                      <w:rFonts w:ascii="Cambria Math" w:hAnsi="Cambria Math"/>
                      <w:sz w:val="19"/>
                    </w:rPr>
                    <m:t>C</m:t>
                  </m:r>
                </m:e>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06A17DB6">
            <w:pPr>
              <w:spacing w:after="60" w:line="264" w:lineRule="auto"/>
              <w:jc w:val="center"/>
            </w:pPr>
            <w:r>
              <w:rPr>
                <w:rFonts w:ascii="Times New Roman" w:hAnsi="Times New Roman" w:eastAsia="宋体"/>
                <w:b w:val="0"/>
                <w:sz w:val="19"/>
              </w:rPr>
              <w:t>类别内频次覆盖与类别宏平均覆盖。</w:t>
            </w:r>
          </w:p>
        </w:tc>
      </w:tr>
      <w:tr w14:paraId="4065298E">
        <w:trPr>
          <w:cantSplit/>
          <w:jc w:val="center"/>
        </w:trPr>
        <w:tc>
          <w:tcPr>
            <w:tcW w:w="4819" w:type="dxa"/>
            <w:vAlign w:val="center"/>
          </w:tcPr>
          <w:p w14:paraId="61712925">
            <w:pPr>
              <w:spacing w:after="60" w:line="264" w:lineRule="auto"/>
              <w:jc w:val="center"/>
            </w:pPr>
            <m:oMath>
              <m:r>
                <m:rPr/>
                <w:rPr>
                  <w:rFonts w:ascii="Cambria Math" w:hAnsi="Cambria Math"/>
                  <w:sz w:val="19"/>
                </w:rPr>
                <m:t>τ</m:t>
              </m:r>
            </m:oMath>
            <w:r>
              <w:rPr>
                <w:rFonts w:ascii="Times New Roman" w:hAnsi="Times New Roman" w:eastAsia="宋体"/>
                <w:b w:val="0"/>
                <w:sz w:val="19"/>
              </w:rPr>
              <w:t>、</w:t>
            </w:r>
            <m:oMath>
              <m:sSubSup>
                <m:sSubSupPr/>
                <m:e>
                  <m:r>
                    <m:rPr/>
                    <w:rPr>
                      <w:rFonts w:ascii="Cambria Math" w:hAnsi="Cambria Math"/>
                      <w:sz w:val="19"/>
                    </w:rPr>
                    <m:t>g</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i</m:t>
              </m:r>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199BD39D">
            <w:pPr>
              <w:spacing w:after="60" w:line="264" w:lineRule="auto"/>
              <w:jc w:val="center"/>
            </w:pPr>
            <w:r>
              <w:rPr>
                <w:rFonts w:ascii="Times New Roman" w:hAnsi="Times New Roman" w:eastAsia="宋体"/>
                <w:b w:val="0"/>
                <w:sz w:val="19"/>
              </w:rPr>
              <w:t>覆盖饱和阈值与候选目标的稀缺状态增益。</w:t>
            </w:r>
          </w:p>
        </w:tc>
      </w:tr>
      <w:tr w14:paraId="050AD363">
        <w:trPr>
          <w:cantSplit/>
          <w:jc w:val="center"/>
        </w:trPr>
        <w:tc>
          <w:tcPr>
            <w:tcW w:w="4819" w:type="dxa"/>
            <w:vAlign w:val="center"/>
          </w:tcPr>
          <w:p w14:paraId="55D681A0">
            <w:pPr>
              <w:spacing w:after="60" w:line="264" w:lineRule="auto"/>
              <w:jc w:val="center"/>
            </w:pPr>
            <m:oMath>
              <m:r>
                <m:rPr/>
                <w:rPr>
                  <w:rFonts w:ascii="Cambria Math" w:hAnsi="Cambria Math"/>
                  <w:sz w:val="19"/>
                </w:rPr>
                <m:t>D</m:t>
              </m:r>
            </m:oMath>
            <w:r>
              <w:rPr>
                <w:rFonts w:ascii="Times New Roman" w:hAnsi="Times New Roman" w:eastAsia="宋体"/>
                <w:b w:val="0"/>
                <w:sz w:val="19"/>
              </w:rPr>
              <w:t>、</w:t>
            </w:r>
            <m:oMath>
              <m:sSub>
                <m:sSubPr/>
                <m:e>
                  <m:r>
                    <m:rPr/>
                    <w:rPr>
                      <w:rFonts w:ascii="Cambria Math" w:hAnsi="Cambria Math"/>
                      <w:sz w:val="19"/>
                    </w:rPr>
                    <m:t>h</m:t>
                  </m:r>
                </m:e>
                <m:sub>
                  <m:r>
                    <m:rPr/>
                    <w:rPr>
                      <w:rFonts w:ascii="Cambria Math" w:hAnsi="Cambria Math"/>
                      <w:sz w:val="19"/>
                    </w:rPr>
                    <m:t>d</m:t>
                  </m:r>
                </m:sub>
              </m:sSub>
            </m:oMath>
            <w:r>
              <w:rPr>
                <w:rFonts w:ascii="Times New Roman" w:hAnsi="Times New Roman" w:eastAsia="宋体"/>
                <w:b w:val="0"/>
                <w:sz w:val="19"/>
              </w:rPr>
              <w:t>、</w:t>
            </w:r>
            <m:oMath>
              <m:sSubSup>
                <m:sSubSupPr/>
                <m:e>
                  <m:r>
                    <m:rPr/>
                    <w:rPr>
                      <w:rFonts w:ascii="Cambria Math" w:hAnsi="Cambria Math"/>
                      <w:sz w:val="19"/>
                    </w:rPr>
                    <m:t>H</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318497B4">
            <w:pPr>
              <w:spacing w:after="60" w:line="264" w:lineRule="auto"/>
              <w:jc w:val="center"/>
            </w:pPr>
            <w:r>
              <w:rPr>
                <w:rFonts w:ascii="Times New Roman" w:hAnsi="Times New Roman" w:eastAsia="宋体"/>
                <w:b w:val="0"/>
                <w:sz w:val="19"/>
              </w:rPr>
              <w:t>风险维度集合、维度分值映射与综合风险。</w:t>
            </w:r>
          </w:p>
        </w:tc>
      </w:tr>
      <w:tr w14:paraId="56950711">
        <w:trPr>
          <w:cantSplit/>
          <w:jc w:val="center"/>
        </w:trPr>
        <w:tc>
          <w:tcPr>
            <w:tcW w:w="4819" w:type="dxa"/>
            <w:vAlign w:val="center"/>
          </w:tcPr>
          <w:p w14:paraId="6522808A">
            <w:pPr>
              <w:spacing w:after="60" w:line="264" w:lineRule="auto"/>
              <w:jc w:val="center"/>
            </w:pPr>
            <m:oMath>
              <m:sSubSup>
                <m:sSubSupPr/>
                <m:e>
                  <m:r>
                    <m:rPr/>
                    <w:rPr>
                      <w:rFonts w:ascii="Cambria Math" w:hAnsi="Cambria Math"/>
                      <w:sz w:val="19"/>
                    </w:rPr>
                    <m:t>Q</m:t>
                  </m:r>
                </m:e>
                <m:sub>
                  <m:r>
                    <m:rPr/>
                    <w:rPr>
                      <w:rFonts w:ascii="Cambria Math" w:hAnsi="Cambria Math"/>
                      <w:sz w:val="19"/>
                    </w:rPr>
                    <m:t>c</m:t>
                  </m:r>
                  <m:r>
                    <m:rPr>
                      <m:sty m:val="p"/>
                    </m:rPr>
                    <w:rPr>
                      <w:rFonts w:ascii="Cambria Math" w:hAnsi="Cambria Math"/>
                      <w:sz w:val="19"/>
                    </w:rPr>
                    <m:t>,</m:t>
                  </m:r>
                  <m:r>
                    <m:rPr/>
                    <w:rPr>
                      <w:rFonts w:ascii="Cambria Math" w:hAnsi="Cambria Math"/>
                      <w:sz w:val="19"/>
                    </w:rPr>
                    <m:t>ℓ</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m:rPr/>
                <w:rPr>
                  <w:rFonts w:ascii="Cambria Math" w:hAnsi="Cambria Math"/>
                  <w:sz w:val="19"/>
                </w:rPr>
                <m:t>ρ</m:t>
              </m:r>
            </m:oMath>
            <w:r>
              <w:rPr>
                <w:rFonts w:ascii="Times New Roman" w:hAnsi="Times New Roman" w:eastAsia="宋体"/>
                <w:b w:val="0"/>
                <w:sz w:val="19"/>
              </w:rPr>
              <w:t>、</w:t>
            </w:r>
            <m:oMath>
              <m:r>
                <m:rPr/>
                <w:rPr>
                  <w:rFonts w:ascii="Cambria Math" w:hAnsi="Cambria Math"/>
                  <w:sz w:val="19"/>
                </w:rPr>
                <m:t>m</m:t>
              </m:r>
            </m:oMath>
          </w:p>
        </w:tc>
        <w:tc>
          <w:tcPr>
            <w:tcW w:w="4819" w:type="dxa"/>
            <w:vAlign w:val="center"/>
          </w:tcPr>
          <w:p w14:paraId="513733F9">
            <w:pPr>
              <w:spacing w:after="60" w:line="264" w:lineRule="auto"/>
              <w:jc w:val="center"/>
            </w:pPr>
            <w:r>
              <w:rPr>
                <w:rFonts w:ascii="Times New Roman" w:hAnsi="Times New Roman" w:eastAsia="宋体"/>
                <w:b w:val="0"/>
                <w:sz w:val="19"/>
              </w:rPr>
              <w:t>第</w:t>
            </w:r>
            <m:oMath>
              <m:r>
                <m:rPr/>
                <w:rPr>
                  <w:rFonts w:ascii="Cambria Math" w:hAnsi="Cambria Math"/>
                  <w:sz w:val="19"/>
                </w:rPr>
                <m:t>ℓ</m:t>
              </m:r>
            </m:oMath>
            <w:r>
              <w:rPr>
                <w:rFonts w:ascii="Times New Roman" w:hAnsi="Times New Roman" w:eastAsia="宋体"/>
                <w:b w:val="0"/>
                <w:sz w:val="19"/>
              </w:rPr>
              <w:t>个风险层、高风险占比与混合测试每类目标数。</w:t>
            </w:r>
          </w:p>
        </w:tc>
      </w:tr>
      <w:tr w14:paraId="45E967EB">
        <w:trPr>
          <w:cantSplit/>
          <w:jc w:val="center"/>
        </w:trPr>
        <w:tc>
          <w:tcPr>
            <w:tcW w:w="4819" w:type="dxa"/>
            <w:vAlign w:val="center"/>
          </w:tcPr>
          <w:p w14:paraId="7ACF3EC7">
            <w:pPr>
              <w:spacing w:after="60" w:line="264" w:lineRule="auto"/>
              <w:jc w:val="center"/>
            </w:pPr>
            <m:oMath>
              <m:sSub>
                <m:sSubPr/>
                <m:e>
                  <m:r>
                    <m:rPr/>
                    <w:rPr>
                      <w:rFonts w:ascii="Cambria Math" w:hAnsi="Cambria Math"/>
                      <w:sz w:val="19"/>
                    </w:rPr>
                    <m:t>f</m:t>
                  </m:r>
                </m:e>
                <m:sub>
                  <m:r>
                    <m:rPr/>
                    <w:rPr>
                      <w:rFonts w:ascii="Cambria Math" w:hAnsi="Cambria Math"/>
                      <w:sz w:val="19"/>
                    </w:rPr>
                    <m:t>θ</m:t>
                  </m:r>
                </m:sub>
              </m:sSub>
            </m:oMath>
            <w:r>
              <w:rPr>
                <w:rFonts w:ascii="Times New Roman" w:hAnsi="Times New Roman" w:eastAsia="宋体"/>
                <w:b w:val="0"/>
                <w:sz w:val="19"/>
              </w:rPr>
              <w:t>、</w:t>
            </w:r>
            <m:oMath>
              <m:sSub>
                <m:sSubPr/>
                <m:e>
                  <m:acc>
                    <m:accPr/>
                    <m:e>
                      <m:r>
                        <m:rPr/>
                        <w:rPr>
                          <w:rFonts w:ascii="Cambria Math" w:hAnsi="Cambria Math"/>
                          <w:sz w:val="19"/>
                        </w:rPr>
                        <m:t>y</m:t>
                      </m:r>
                    </m:e>
                  </m:acc>
                </m:e>
                <m:sub>
                  <m:r>
                    <m:rPr/>
                    <w:rPr>
                      <w:rFonts w:ascii="Cambria Math" w:hAnsi="Cambria Math"/>
                      <w:sz w:val="19"/>
                    </w:rPr>
                    <m:t>i</m:t>
                  </m:r>
                </m:sub>
              </m:sSub>
            </m:oMath>
          </w:p>
        </w:tc>
        <w:tc>
          <w:tcPr>
            <w:tcW w:w="4819" w:type="dxa"/>
            <w:vAlign w:val="center"/>
          </w:tcPr>
          <w:p w14:paraId="04A86E33">
            <w:pPr>
              <w:spacing w:after="60" w:line="264" w:lineRule="auto"/>
              <w:jc w:val="center"/>
            </w:pPr>
            <w:r>
              <w:rPr>
                <w:rFonts w:ascii="Times New Roman" w:hAnsi="Times New Roman" w:eastAsia="宋体"/>
                <w:b w:val="0"/>
                <w:sz w:val="19"/>
              </w:rPr>
              <w:t>被测分类器与目标的类别预测。</w:t>
            </w:r>
          </w:p>
        </w:tc>
      </w:tr>
      <w:tr w14:paraId="0E7AA4FE">
        <w:trPr>
          <w:cantSplit/>
          <w:jc w:val="center"/>
        </w:trPr>
        <w:tc>
          <w:tcPr>
            <w:tcW w:w="4819" w:type="dxa"/>
            <w:vAlign w:val="center"/>
          </w:tcPr>
          <w:p w14:paraId="5A6B7AFB">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v</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6D0BB6B2">
            <w:pPr>
              <w:spacing w:after="60" w:line="264" w:lineRule="auto"/>
              <w:jc w:val="center"/>
            </w:pPr>
            <w:r>
              <w:rPr>
                <w:rFonts w:ascii="Times New Roman" w:hAnsi="Times New Roman" w:eastAsia="宋体"/>
                <w:b w:val="0"/>
                <w:sz w:val="19"/>
              </w:rPr>
              <w:t>复杂度分析中的候选数、状态数与选出目标数。</w:t>
            </w:r>
          </w:p>
        </w:tc>
      </w:tr>
      <w:tr w14:paraId="38F99C29">
        <w:trPr>
          <w:cantSplit/>
          <w:jc w:val="center"/>
        </w:trPr>
        <w:tc>
          <w:tcPr>
            <w:tcW w:w="4819" w:type="dxa"/>
            <w:vAlign w:val="center"/>
          </w:tcPr>
          <w:p w14:paraId="2B67442C">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q</m:t>
              </m:r>
            </m:oMath>
            <w:r>
              <w:rPr>
                <w:rFonts w:ascii="Times New Roman" w:hAnsi="Times New Roman" w:eastAsia="宋体"/>
                <w:b w:val="0"/>
                <w:sz w:val="19"/>
              </w:rPr>
              <w:t>、</w:t>
            </w:r>
            <m:oMath>
              <m:r>
                <m:rPr/>
                <w:rPr>
                  <w:rFonts w:ascii="Cambria Math" w:hAnsi="Cambria Math"/>
                  <w:sz w:val="19"/>
                </w:rPr>
                <m:t>e</m:t>
              </m:r>
            </m:oMath>
          </w:p>
        </w:tc>
        <w:tc>
          <w:tcPr>
            <w:tcW w:w="4819" w:type="dxa"/>
            <w:vAlign w:val="center"/>
          </w:tcPr>
          <w:p w14:paraId="4BD27D7E">
            <w:pPr>
              <w:spacing w:after="60" w:line="264" w:lineRule="auto"/>
              <w:jc w:val="center"/>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、目标框标记图</w:t>
      </w:r>
      <m:oMath>
        <m:sSub>
          <m:sSubPr/>
          <m:e>
            <m:r>
              <m:rPr/>
              <w:rPr>
                <w:rFonts w:ascii="Cambria Math" w:hAnsi="Cambria Math"/>
                <w:sz w:val="22"/>
              </w:rPr>
              <m:t>M</m:t>
            </m:r>
          </m:e>
          <m:sub>
            <m:r>
              <m:rPr/>
              <w:rPr>
                <w:rFonts w:ascii="Cambria Math" w:hAnsi="Cambria Math"/>
                <w:sz w:val="22"/>
              </w:rPr>
              <m:t>i</m:t>
            </m:r>
          </m:sub>
        </m:sSub>
      </m:oMath>
      <w:r>
        <w:rPr>
          <w:rFonts w:ascii="Times New Roman" w:hAnsi="Times New Roman" w:eastAsia="宋体"/>
          <w:b w:val="0"/>
          <w:sz w:val="22"/>
        </w:rPr>
        <w:t>及放大裁剪图</w:t>
      </w:r>
      <m:oMath>
        <m:sSub>
          <m:sSubPr/>
          <m:e>
            <m:r>
              <m:rPr/>
              <w:rPr>
                <w:rFonts w:ascii="Cambria Math" w:hAnsi="Cambria Math"/>
                <w:sz w:val="22"/>
              </w:rPr>
              <m:t>V</m:t>
            </m:r>
          </m:e>
          <m:sub>
            <m:r>
              <m:rPr/>
              <w:rPr>
                <w:rFonts w:ascii="Cambria Math" w:hAnsi="Cambria Math"/>
                <w:sz w:val="22"/>
              </w:rPr>
              <m:t>i</m:t>
            </m:r>
          </m:sub>
        </m:sSub>
      </m:oMath>
      <w:r>
        <w:rPr>
          <w:rFonts w:ascii="Times New Roman" w:hAnsi="Times New Roman" w:eastAsia="宋体"/>
          <w:b w:val="0"/>
          <w:sz w:val="22"/>
        </w:rPr>
        <w:t>输入状态描述器。设标注来源为</w:t>
      </w:r>
      <m:oMath>
        <m:r>
          <m:rPr/>
          <w:rPr>
            <w:rFonts w:ascii="Cambria Math" w:hAnsi="Cambria Math"/>
            <w:sz w:val="22"/>
          </w:rPr>
          <m:t>r</m:t>
        </m:r>
        <m:r>
          <m:rPr>
            <m:sty m:val="p"/>
          </m:rPr>
          <w:rPr>
            <w:rFonts w:ascii="Cambria Math" w:hAnsi="Cambria Math"/>
            <w:sz w:val="22"/>
          </w:rPr>
          <m:t>∈{local,online}</m:t>
        </m:r>
      </m:oMath>
      <w:r>
        <w:rPr>
          <w:rFonts w:ascii="Times New Roman" w:hAnsi="Times New Roman" w:eastAsia="宋体"/>
          <w:b w:val="0"/>
          <w:sz w:val="22"/>
        </w:rPr>
        <w:t>，其输出为：</w:t>
      </w:r>
    </w:p>
    <w:p w14:paraId="2F7286E6">
      <w:pPr>
        <w:spacing w:before="80" w:after="140"/>
        <w:jc w:val="center"/>
      </w:pPr>
      <m:oMathPara>
        <m:oMath>
          <m:sSubSup>
            <m:sSubSupPr/>
            <m:e>
              <m:r>
                <m:rPr/>
                <w:rPr>
                  <w:rFonts w:ascii="Cambria Math" w:hAnsi="Cambria Math"/>
                  <w:sz w:val="22"/>
                </w:rPr>
                <m:t>z</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sSubPr/>
            <m:e>
              <m:r>
                <m:rPr/>
                <w:rPr>
                  <w:rFonts w:ascii="Cambria Math" w:hAnsi="Cambria Math"/>
                  <w:sz w:val="22"/>
                </w:rPr>
                <m:t>ϕ</m:t>
              </m:r>
            </m:e>
            <m:sub>
              <m:r>
                <m:rPr/>
                <w:rPr>
                  <w:rFonts w:ascii="Cambria Math" w:hAnsi="Cambria Math"/>
                  <w:sz w:val="22"/>
                </w:rPr>
                <m:t>r</m:t>
              </m:r>
            </m:sub>
          </m:sSub>
          <m:d>
            <m:dPr>
              <m:sepChr m:val=""/>
            </m:dPr>
            <m:e>
              <m:sSub>
                <m:sSubPr/>
                <m:e>
                  <m:r>
                    <m:rPr/>
                    <w:rPr>
                      <w:rFonts w:ascii="Cambria Math" w:hAnsi="Cambria Math"/>
                      <w:sz w:val="22"/>
                    </w:rPr>
                    <m:t>I</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M</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V</m:t>
                  </m:r>
                </m:e>
                <m:sub>
                  <m:r>
                    <m:rP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sSubPr/>
          <m:e>
            <m:r>
              <m:rPr/>
              <w:rPr>
                <w:rFonts w:ascii="Cambria Math" w:hAnsi="Cambria Math"/>
                <w:sz w:val="22"/>
              </w:rPr>
              <m:t>ϕ</m:t>
            </m:r>
          </m:e>
          <m:sub>
            <m:r>
              <m:rP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pPr>
        <w:keepLines/>
        <w:spacing w:after="100" w:line="312" w:lineRule="auto"/>
        <w:ind w:firstLine="425"/>
      </w:pPr>
      <w:r>
        <w:t>视觉特征的层级与类别专用协议。视觉状态应按“特征组—具体字段—枚举状态”三个层次说明。特征组用于组织视觉内容，字段指定实际观察对象，枚举状态记录该字段的可见情况。例如，“头部面部—头部可见性—部分可见”和“毛发—毛发质地—卷曲”分别是两个具体状态。特征组本身不能代替字段定义；头部朝向与身体朝向、口鼻部可见性与嘴部状态也应分别记录。</w:t>
      </w:r>
    </w:p>
    <w:p>
      <w:pPr>
        <w:keepLines/>
        <w:spacing w:after="100" w:line="312" w:lineRule="auto"/>
        <w:ind w:firstLine="425"/>
      </w:pPr>
      <w:r>
        <w:t>项目中的犬类dog_v3.1及猫类cat_v1.0专用协议，均将23个字段组织为毛发、头部面部、身体、遮挡截断、整体环境五组。这五组对应类别专用的细粒度特征表示，与第3.4节的五个风险评分字段是不同层次的概念。下表以dog_v3.1展示五组中实际定义的字段。</w:t>
      </w:r>
    </w:p>
    <w:tbl>
      <w:tblPr>
        <w:tblStyle w:val="33"/>
        <w:tblW w:type="auto" w:w="0"/>
        <w:tblLook w:firstColumn="1" w:firstRow="1" w:lastColumn="0" w:lastRow="0" w:noHBand="0" w:noVBand="1" w:val="04A0"/>
      </w:tblPr>
      <w:tblGrid>
        <w:gridCol w:w="4819"/>
        <w:gridCol w:w="4819"/>
      </w:tblGrid>
      <w:tr>
        <w:trPr>
          <w:tblHeader/>
        </w:trPr>
        <w:tc>
          <w:tcPr>
            <w:tcW w:type="dxa" w:w="4819"/>
          </w:tcPr>
          <w:p>
            <w:r>
              <w:rPr>
                <w:b/>
                <w:sz w:val="18"/>
              </w:rPr>
              <w:t>特征组</w:t>
            </w:r>
          </w:p>
        </w:tc>
        <w:tc>
          <w:tcPr>
            <w:tcW w:type="dxa" w:w="4819"/>
          </w:tcPr>
          <w:p>
            <w:r>
              <w:rPr>
                <w:b/>
                <w:sz w:val="18"/>
              </w:rPr>
              <w:t>组内具体字段</w:t>
            </w:r>
          </w:p>
        </w:tc>
      </w:tr>
      <w:tr>
        <w:tc>
          <w:tcPr>
            <w:tcW w:type="dxa" w:w="4819"/>
          </w:tcPr>
          <w:p>
            <w:r>
              <w:rPr>
                <w:sz w:val="18"/>
              </w:rPr>
              <w:t>毛发</w:t>
            </w:r>
          </w:p>
        </w:tc>
        <w:tc>
          <w:tcPr>
            <w:tcW w:type="dxa" w:w="4819"/>
          </w:tcPr>
          <w:p>
            <w:r>
              <w:rPr>
                <w:sz w:val="18"/>
              </w:rPr>
              <w:t>毛发颜色、毛发图案、毛发质地</w:t>
            </w:r>
          </w:p>
        </w:tc>
      </w:tr>
      <w:tr>
        <w:tc>
          <w:tcPr>
            <w:tcW w:type="dxa" w:w="4819"/>
          </w:tcPr>
          <w:p>
            <w:r>
              <w:rPr>
                <w:sz w:val="18"/>
              </w:rPr>
              <w:t>头部面部</w:t>
            </w:r>
          </w:p>
        </w:tc>
        <w:tc>
          <w:tcPr>
            <w:tcW w:type="dxa" w:w="4819"/>
          </w:tcPr>
          <w:p>
            <w:r>
              <w:rPr>
                <w:sz w:val="18"/>
              </w:rPr>
              <w:t>头部可见性、耳朵形状、口鼻部可见性、嘴部可见性、眼睛状态、嘴部状态、舌头可见性、头部朝向</w:t>
            </w:r>
          </w:p>
        </w:tc>
      </w:tr>
      <w:tr>
        <w:tc>
          <w:tcPr>
            <w:tcW w:type="dxa" w:w="4819"/>
          </w:tcPr>
          <w:p>
            <w:r>
              <w:rPr>
                <w:sz w:val="18"/>
              </w:rPr>
              <w:t>身体</w:t>
            </w:r>
          </w:p>
        </w:tc>
        <w:tc>
          <w:tcPr>
            <w:tcW w:type="dxa" w:w="4819"/>
          </w:tcPr>
          <w:p>
            <w:r>
              <w:rPr>
                <w:sz w:val="18"/>
              </w:rPr>
              <w:t>身体外形、身体朝向、腿部可见数量、尾巴可见性、尾巴姿态、姿态动作状态</w:t>
            </w:r>
          </w:p>
        </w:tc>
      </w:tr>
      <w:tr>
        <w:tc>
          <w:tcPr>
            <w:tcW w:type="dxa" w:w="4819"/>
          </w:tcPr>
          <w:p>
            <w:r>
              <w:rPr>
                <w:sz w:val="18"/>
              </w:rPr>
              <w:t>遮挡截断</w:t>
            </w:r>
          </w:p>
        </w:tc>
        <w:tc>
          <w:tcPr>
            <w:tcW w:type="dxa" w:w="4819"/>
          </w:tcPr>
          <w:p>
            <w:r>
              <w:rPr>
                <w:sz w:val="18"/>
              </w:rPr>
              <w:t>遮挡程度、遮挡部位、画面截断程度、截断部位、犬体可识别性</w:t>
            </w:r>
          </w:p>
        </w:tc>
      </w:tr>
      <w:tr>
        <w:tc>
          <w:tcPr>
            <w:tcW w:type="dxa" w:w="4819"/>
          </w:tcPr>
          <w:p>
            <w:r>
              <w:rPr>
                <w:sz w:val="18"/>
              </w:rPr>
              <w:t>整体环境</w:t>
            </w:r>
          </w:p>
        </w:tc>
        <w:tc>
          <w:tcPr>
            <w:tcW w:type="dxa" w:w="4819"/>
          </w:tcPr>
          <w:p>
            <w:r>
              <w:rPr>
                <w:sz w:val="18"/>
              </w:rPr>
              <w:t>场景</w:t>
            </w:r>
          </w:p>
        </w:tc>
      </w:tr>
    </w:tbl>
    <w:p>
      <w:pPr>
        <w:keepLines/>
        <w:spacing w:after="100" w:line="312" w:lineRule="auto"/>
        <w:ind w:firstLine="425"/>
      </w:pPr>
      <w:r>
        <w:t>犬类专用字段与实际枚举值。下表保留冻结协议中的原始值；unknown表示无法判断，not_visible表示明确不可见，两者依各字段定义分别使用。此表说明专用协议的内容，不将这些字段追加为当前六分类实验已经使用的状态。</w:t>
      </w:r>
    </w:p>
    <w:tbl>
      <w:tblPr>
        <w:tblStyle w:val="33"/>
        <w:tblW w:type="auto" w:w="0"/>
        <w:tblLook w:firstColumn="1" w:firstRow="1" w:lastColumn="0" w:lastRow="0" w:noHBand="0" w:noVBand="1" w:val="04A0"/>
      </w:tblPr>
      <w:tblGrid>
        <w:gridCol w:w="3213"/>
        <w:gridCol w:w="3213"/>
        <w:gridCol w:w="3213"/>
      </w:tblGrid>
      <w:tr>
        <w:trPr>
          <w:tblHeader/>
        </w:trPr>
        <w:tc>
          <w:tcPr>
            <w:tcW w:type="dxa" w:w="3213"/>
          </w:tcPr>
          <w:p>
            <w:r>
              <w:rPr>
                <w:b/>
                <w:sz w:val="18"/>
              </w:rPr>
              <w:t>特征组</w:t>
            </w:r>
          </w:p>
        </w:tc>
        <w:tc>
          <w:tcPr>
            <w:tcW w:type="dxa" w:w="3213"/>
          </w:tcPr>
          <w:p>
            <w:r>
              <w:rPr>
                <w:b/>
                <w:sz w:val="18"/>
              </w:rPr>
              <w:t>字段名称及标识</w:t>
            </w:r>
          </w:p>
        </w:tc>
        <w:tc>
          <w:tcPr>
            <w:tcW w:type="dxa" w:w="3213"/>
          </w:tcPr>
          <w:p>
            <w:r>
              <w:rPr>
                <w:b/>
                <w:sz w:val="18"/>
              </w:rPr>
              <w:t>协议中的全部枚举值</w:t>
            </w:r>
          </w:p>
        </w:tc>
      </w:tr>
      <w:tr>
        <w:tc>
          <w:tcPr>
            <w:tcW w:type="dxa" w:w="3213"/>
          </w:tcPr>
          <w:p>
            <w:r>
              <w:rPr>
                <w:sz w:val="18"/>
              </w:rPr>
              <w:t>毛发</w:t>
            </w:r>
          </w:p>
        </w:tc>
        <w:tc>
          <w:tcPr>
            <w:tcW w:type="dxa" w:w="3213"/>
          </w:tcPr>
          <w:p>
            <w:r>
              <w:rPr>
                <w:sz w:val="18"/>
              </w:rPr>
              <w:t>毛发颜色（coat_primary_color）</w:t>
            </w:r>
          </w:p>
        </w:tc>
        <w:tc>
          <w:tcPr>
            <w:tcW w:type="dxa" w:w="3213"/>
          </w:tcPr>
          <w:p>
            <w:r>
              <w:rPr>
                <w:sz w:val="18"/>
              </w:rPr>
              <w:t>black / white / brown / gray / tan / golden / cream / red / mixed / other / unknown</w:t>
            </w:r>
          </w:p>
        </w:tc>
      </w:tr>
      <w:tr>
        <w:tc>
          <w:tcPr>
            <w:tcW w:type="dxa" w:w="3213"/>
          </w:tcPr>
          <w:p>
            <w:r>
              <w:rPr>
                <w:sz w:val="18"/>
              </w:rPr>
              <w:t>毛发</w:t>
            </w:r>
          </w:p>
        </w:tc>
        <w:tc>
          <w:tcPr>
            <w:tcW w:type="dxa" w:w="3213"/>
          </w:tcPr>
          <w:p>
            <w:r>
              <w:rPr>
                <w:sz w:val="18"/>
              </w:rPr>
              <w:t>毛发图案（coat_pattern）</w:t>
            </w:r>
          </w:p>
        </w:tc>
        <w:tc>
          <w:tcPr>
            <w:tcW w:type="dxa" w:w="3213"/>
          </w:tcPr>
          <w:p>
            <w:r>
              <w:rPr>
                <w:sz w:val="18"/>
              </w:rPr>
              <w:t>solid / bicolor / tricolor / spotted / striped / patchy / roan / other / unknown</w:t>
            </w:r>
          </w:p>
        </w:tc>
      </w:tr>
      <w:tr>
        <w:tc>
          <w:tcPr>
            <w:tcW w:type="dxa" w:w="3213"/>
          </w:tcPr>
          <w:p>
            <w:r>
              <w:rPr>
                <w:sz w:val="18"/>
              </w:rPr>
              <w:t>毛发</w:t>
            </w:r>
          </w:p>
        </w:tc>
        <w:tc>
          <w:tcPr>
            <w:tcW w:type="dxa" w:w="3213"/>
          </w:tcPr>
          <w:p>
            <w:r>
              <w:rPr>
                <w:sz w:val="18"/>
              </w:rPr>
              <w:t>毛发质地（coat_texture）</w:t>
            </w:r>
          </w:p>
        </w:tc>
        <w:tc>
          <w:tcPr>
            <w:tcW w:type="dxa" w:w="3213"/>
          </w:tcPr>
          <w:p>
            <w:r>
              <w:rPr>
                <w:sz w:val="18"/>
              </w:rPr>
              <w:t>smooth / wavy / curly / wiry / fluffy / unknown</w:t>
            </w:r>
          </w:p>
        </w:tc>
      </w:tr>
      <w:tr>
        <w:tc>
          <w:tcPr>
            <w:tcW w:type="dxa" w:w="3213"/>
          </w:tcPr>
          <w:p>
            <w:r>
              <w:rPr>
                <w:sz w:val="18"/>
              </w:rPr>
              <w:t>头部面部</w:t>
            </w:r>
          </w:p>
        </w:tc>
        <w:tc>
          <w:tcPr>
            <w:tcW w:type="dxa" w:w="3213"/>
          </w:tcPr>
          <w:p>
            <w:r>
              <w:rPr>
                <w:sz w:val="18"/>
              </w:rPr>
              <w:t>头部可见性（head_visibility）</w:t>
            </w:r>
          </w:p>
        </w:tc>
        <w:tc>
          <w:tcPr>
            <w:tcW w:type="dxa" w:w="3213"/>
          </w:tcPr>
          <w:p>
            <w:r>
              <w:rPr>
                <w:sz w:val="18"/>
              </w:rPr>
              <w:t>clear / partial / not_visible / unknown</w:t>
            </w:r>
          </w:p>
        </w:tc>
      </w:tr>
      <w:tr>
        <w:tc>
          <w:tcPr>
            <w:tcW w:type="dxa" w:w="3213"/>
          </w:tcPr>
          <w:p>
            <w:r>
              <w:rPr>
                <w:sz w:val="18"/>
              </w:rPr>
              <w:t>头部面部</w:t>
            </w:r>
          </w:p>
        </w:tc>
        <w:tc>
          <w:tcPr>
            <w:tcW w:type="dxa" w:w="3213"/>
          </w:tcPr>
          <w:p>
            <w:r>
              <w:rPr>
                <w:sz w:val="18"/>
              </w:rPr>
              <w:t>耳朵形状（ear_shape）</w:t>
            </w:r>
          </w:p>
        </w:tc>
        <w:tc>
          <w:tcPr>
            <w:tcW w:type="dxa" w:w="3213"/>
          </w:tcPr>
          <w:p>
            <w:r>
              <w:rPr>
                <w:sz w:val="18"/>
              </w:rPr>
              <w:t>upright / floppy / semi_upright / folded / other / not_visible / unknown</w:t>
            </w:r>
          </w:p>
        </w:tc>
      </w:tr>
      <w:tr>
        <w:tc>
          <w:tcPr>
            <w:tcW w:type="dxa" w:w="3213"/>
          </w:tcPr>
          <w:p>
            <w:r>
              <w:rPr>
                <w:sz w:val="18"/>
              </w:rPr>
              <w:t>头部面部</w:t>
            </w:r>
          </w:p>
        </w:tc>
        <w:tc>
          <w:tcPr>
            <w:tcW w:type="dxa" w:w="3213"/>
          </w:tcPr>
          <w:p>
            <w:r>
              <w:rPr>
                <w:sz w:val="18"/>
              </w:rPr>
              <w:t>口鼻部可见性（muzzle_visibility）</w:t>
            </w:r>
          </w:p>
        </w:tc>
        <w:tc>
          <w:tcPr>
            <w:tcW w:type="dxa" w:w="3213"/>
          </w:tcPr>
          <w:p>
            <w:r>
              <w:rPr>
                <w:sz w:val="18"/>
              </w:rPr>
              <w:t>clear / partial / not_visible / unknown</w:t>
            </w:r>
          </w:p>
        </w:tc>
      </w:tr>
      <w:tr>
        <w:tc>
          <w:tcPr>
            <w:tcW w:type="dxa" w:w="3213"/>
          </w:tcPr>
          <w:p>
            <w:r>
              <w:rPr>
                <w:sz w:val="18"/>
              </w:rPr>
              <w:t>头部面部</w:t>
            </w:r>
          </w:p>
        </w:tc>
        <w:tc>
          <w:tcPr>
            <w:tcW w:type="dxa" w:w="3213"/>
          </w:tcPr>
          <w:p>
            <w:r>
              <w:rPr>
                <w:sz w:val="18"/>
              </w:rPr>
              <w:t>嘴部可见性（mouth_visibility）</w:t>
            </w:r>
          </w:p>
        </w:tc>
        <w:tc>
          <w:tcPr>
            <w:tcW w:type="dxa" w:w="3213"/>
          </w:tcPr>
          <w:p>
            <w:r>
              <w:rPr>
                <w:sz w:val="18"/>
              </w:rPr>
              <w:t>clear / partial / not_visible / unknown</w:t>
            </w:r>
          </w:p>
        </w:tc>
      </w:tr>
      <w:tr>
        <w:tc>
          <w:tcPr>
            <w:tcW w:type="dxa" w:w="3213"/>
          </w:tcPr>
          <w:p>
            <w:r>
              <w:rPr>
                <w:sz w:val="18"/>
              </w:rPr>
              <w:t>头部面部</w:t>
            </w:r>
          </w:p>
        </w:tc>
        <w:tc>
          <w:tcPr>
            <w:tcW w:type="dxa" w:w="3213"/>
          </w:tcPr>
          <w:p>
            <w:r>
              <w:rPr>
                <w:sz w:val="18"/>
              </w:rPr>
              <w:t>眼睛状态（eye_state）</w:t>
            </w:r>
          </w:p>
        </w:tc>
        <w:tc>
          <w:tcPr>
            <w:tcW w:type="dxa" w:w="3213"/>
          </w:tcPr>
          <w:p>
            <w:r>
              <w:rPr>
                <w:sz w:val="18"/>
              </w:rPr>
              <w:t>both_open / both_closed / one_open / one_closed / mixed / not_visible / unknown</w:t>
            </w:r>
          </w:p>
        </w:tc>
      </w:tr>
      <w:tr>
        <w:tc>
          <w:tcPr>
            <w:tcW w:type="dxa" w:w="3213"/>
          </w:tcPr>
          <w:p>
            <w:r>
              <w:rPr>
                <w:sz w:val="18"/>
              </w:rPr>
              <w:t>头部面部</w:t>
            </w:r>
          </w:p>
        </w:tc>
        <w:tc>
          <w:tcPr>
            <w:tcW w:type="dxa" w:w="3213"/>
          </w:tcPr>
          <w:p>
            <w:r>
              <w:rPr>
                <w:sz w:val="18"/>
              </w:rPr>
              <w:t>嘴部状态（mouth_state）</w:t>
            </w:r>
          </w:p>
        </w:tc>
        <w:tc>
          <w:tcPr>
            <w:tcW w:type="dxa" w:w="3213"/>
          </w:tcPr>
          <w:p>
            <w:r>
              <w:rPr>
                <w:sz w:val="18"/>
              </w:rPr>
              <w:t>closed / open / panting / yawning / unknown</w:t>
            </w:r>
          </w:p>
        </w:tc>
      </w:tr>
      <w:tr>
        <w:tc>
          <w:tcPr>
            <w:tcW w:type="dxa" w:w="3213"/>
          </w:tcPr>
          <w:p>
            <w:r>
              <w:rPr>
                <w:sz w:val="18"/>
              </w:rPr>
              <w:t>头部面部</w:t>
            </w:r>
          </w:p>
        </w:tc>
        <w:tc>
          <w:tcPr>
            <w:tcW w:type="dxa" w:w="3213"/>
          </w:tcPr>
          <w:p>
            <w:r>
              <w:rPr>
                <w:sz w:val="18"/>
              </w:rPr>
              <w:t>舌头可见性（tongue_visibility）</w:t>
            </w:r>
          </w:p>
        </w:tc>
        <w:tc>
          <w:tcPr>
            <w:tcW w:type="dxa" w:w="3213"/>
          </w:tcPr>
          <w:p>
            <w:r>
              <w:rPr>
                <w:sz w:val="18"/>
              </w:rPr>
              <w:t>visible / not_visible / unknown</w:t>
            </w:r>
          </w:p>
        </w:tc>
      </w:tr>
      <w:tr>
        <w:tc>
          <w:tcPr>
            <w:tcW w:type="dxa" w:w="3213"/>
          </w:tcPr>
          <w:p>
            <w:r>
              <w:rPr>
                <w:sz w:val="18"/>
              </w:rPr>
              <w:t>头部面部</w:t>
            </w:r>
          </w:p>
        </w:tc>
        <w:tc>
          <w:tcPr>
            <w:tcW w:type="dxa" w:w="3213"/>
          </w:tcPr>
          <w:p>
            <w:r>
              <w:rPr>
                <w:sz w:val="18"/>
              </w:rPr>
              <w:t>头部朝向（head_orientation）</w:t>
            </w:r>
          </w:p>
        </w:tc>
        <w:tc>
          <w:tcPr>
            <w:tcW w:type="dxa" w:w="3213"/>
          </w:tcPr>
          <w:p>
            <w:r>
              <w:rPr>
                <w:sz w:val="18"/>
              </w:rPr>
              <w:t>front / left / right / back / upward / downward / unknown</w:t>
            </w:r>
          </w:p>
        </w:tc>
      </w:tr>
      <w:tr>
        <w:tc>
          <w:tcPr>
            <w:tcW w:type="dxa" w:w="3213"/>
          </w:tcPr>
          <w:p>
            <w:r>
              <w:rPr>
                <w:sz w:val="18"/>
              </w:rPr>
              <w:t>身体</w:t>
            </w:r>
          </w:p>
        </w:tc>
        <w:tc>
          <w:tcPr>
            <w:tcW w:type="dxa" w:w="3213"/>
          </w:tcPr>
          <w:p>
            <w:r>
              <w:rPr>
                <w:sz w:val="18"/>
              </w:rPr>
              <w:t>身体外形（body_shape）</w:t>
            </w:r>
          </w:p>
        </w:tc>
        <w:tc>
          <w:tcPr>
            <w:tcW w:type="dxa" w:w="3213"/>
          </w:tcPr>
          <w:p>
            <w:r>
              <w:rPr>
                <w:sz w:val="18"/>
              </w:rPr>
              <w:t>slender / average / broad / rounded / puppy_like / unknown</w:t>
            </w:r>
          </w:p>
        </w:tc>
      </w:tr>
      <w:tr>
        <w:tc>
          <w:tcPr>
            <w:tcW w:type="dxa" w:w="3213"/>
          </w:tcPr>
          <w:p>
            <w:r>
              <w:rPr>
                <w:sz w:val="18"/>
              </w:rPr>
              <w:t>身体</w:t>
            </w:r>
          </w:p>
        </w:tc>
        <w:tc>
          <w:tcPr>
            <w:tcW w:type="dxa" w:w="3213"/>
          </w:tcPr>
          <w:p>
            <w:r>
              <w:rPr>
                <w:sz w:val="18"/>
              </w:rPr>
              <w:t>身体朝向（body_orientation）</w:t>
            </w:r>
          </w:p>
        </w:tc>
        <w:tc>
          <w:tcPr>
            <w:tcW w:type="dxa" w:w="3213"/>
          </w:tcPr>
          <w:p>
            <w:r>
              <w:rPr>
                <w:sz w:val="18"/>
              </w:rPr>
              <w:t>front / back / left_side / right_side / left_front_three_quarter / right_front_three_quarter / left_back_three_quarter / right_back_three_quarter / unknown</w:t>
            </w:r>
          </w:p>
        </w:tc>
      </w:tr>
      <w:tr>
        <w:tc>
          <w:tcPr>
            <w:tcW w:type="dxa" w:w="3213"/>
          </w:tcPr>
          <w:p>
            <w:r>
              <w:rPr>
                <w:sz w:val="18"/>
              </w:rPr>
              <w:t>身体</w:t>
            </w:r>
          </w:p>
        </w:tc>
        <w:tc>
          <w:tcPr>
            <w:tcW w:type="dxa" w:w="3213"/>
          </w:tcPr>
          <w:p>
            <w:r>
              <w:rPr>
                <w:sz w:val="18"/>
              </w:rPr>
              <w:t>腿部可见数量（leg_visibility_count）</w:t>
            </w:r>
          </w:p>
        </w:tc>
        <w:tc>
          <w:tcPr>
            <w:tcW w:type="dxa" w:w="3213"/>
          </w:tcPr>
          <w:p>
            <w:r>
              <w:rPr>
                <w:sz w:val="18"/>
              </w:rPr>
              <w:t>four_or_more / two_or_three / one / none / unknown</w:t>
            </w:r>
          </w:p>
        </w:tc>
      </w:tr>
      <w:tr>
        <w:tc>
          <w:tcPr>
            <w:tcW w:type="dxa" w:w="3213"/>
          </w:tcPr>
          <w:p>
            <w:r>
              <w:rPr>
                <w:sz w:val="18"/>
              </w:rPr>
              <w:t>身体</w:t>
            </w:r>
          </w:p>
        </w:tc>
        <w:tc>
          <w:tcPr>
            <w:tcW w:type="dxa" w:w="3213"/>
          </w:tcPr>
          <w:p>
            <w:r>
              <w:rPr>
                <w:sz w:val="18"/>
              </w:rPr>
              <w:t>尾巴可见性（tail_visibility）</w:t>
            </w:r>
          </w:p>
        </w:tc>
        <w:tc>
          <w:tcPr>
            <w:tcW w:type="dxa" w:w="3213"/>
          </w:tcPr>
          <w:p>
            <w:r>
              <w:rPr>
                <w:sz w:val="18"/>
              </w:rPr>
              <w:t>clear / partial / not_observable / unknown</w:t>
            </w:r>
          </w:p>
        </w:tc>
      </w:tr>
      <w:tr>
        <w:tc>
          <w:tcPr>
            <w:tcW w:type="dxa" w:w="3213"/>
          </w:tcPr>
          <w:p>
            <w:r>
              <w:rPr>
                <w:sz w:val="18"/>
              </w:rPr>
              <w:t>身体</w:t>
            </w:r>
          </w:p>
        </w:tc>
        <w:tc>
          <w:tcPr>
            <w:tcW w:type="dxa" w:w="3213"/>
          </w:tcPr>
          <w:p>
            <w:r>
              <w:rPr>
                <w:sz w:val="18"/>
              </w:rPr>
              <w:t>尾巴姿态（tail_posture）</w:t>
            </w:r>
          </w:p>
        </w:tc>
        <w:tc>
          <w:tcPr>
            <w:tcW w:type="dxa" w:w="3213"/>
          </w:tcPr>
          <w:p>
            <w:r>
              <w:rPr>
                <w:sz w:val="18"/>
              </w:rPr>
              <w:t>tucked / curved / straight / wagging / unknown</w:t>
            </w:r>
          </w:p>
        </w:tc>
      </w:tr>
      <w:tr>
        <w:tc>
          <w:tcPr>
            <w:tcW w:type="dxa" w:w="3213"/>
          </w:tcPr>
          <w:p>
            <w:r>
              <w:rPr>
                <w:sz w:val="18"/>
              </w:rPr>
              <w:t>身体</w:t>
            </w:r>
          </w:p>
        </w:tc>
        <w:tc>
          <w:tcPr>
            <w:tcW w:type="dxa" w:w="3213"/>
          </w:tcPr>
          <w:p>
            <w:r>
              <w:rPr>
                <w:sz w:val="18"/>
              </w:rPr>
              <w:t>姿态动作状态（posture_action_state）</w:t>
            </w:r>
          </w:p>
        </w:tc>
        <w:tc>
          <w:tcPr>
            <w:tcW w:type="dxa" w:w="3213"/>
          </w:tcPr>
          <w:p>
            <w:r>
              <w:rPr>
                <w:sz w:val="18"/>
              </w:rPr>
              <w:t>standing / sitting / lying / prone / walking / running / jumping / playing / eating / drinking / interacting / sniffing / barking / sleeping / unknown</w:t>
            </w:r>
          </w:p>
        </w:tc>
      </w:tr>
      <w:tr>
        <w:tc>
          <w:tcPr>
            <w:tcW w:type="dxa" w:w="3213"/>
          </w:tcPr>
          <w:p>
            <w:r>
              <w:rPr>
                <w:sz w:val="18"/>
              </w:rPr>
              <w:t>遮挡截断</w:t>
            </w:r>
          </w:p>
        </w:tc>
        <w:tc>
          <w:tcPr>
            <w:tcW w:type="dxa" w:w="3213"/>
          </w:tcPr>
          <w:p>
            <w:r>
              <w:rPr>
                <w:sz w:val="18"/>
              </w:rPr>
              <w:t>遮挡程度（occlusion_level）</w:t>
            </w:r>
          </w:p>
        </w:tc>
        <w:tc>
          <w:tcPr>
            <w:tcW w:type="dxa" w:w="3213"/>
          </w:tcPr>
          <w:p>
            <w:r>
              <w:rPr>
                <w:sz w:val="18"/>
              </w:rPr>
              <w:t>none / partial / heavy / unknown</w:t>
            </w:r>
          </w:p>
        </w:tc>
      </w:tr>
      <w:tr>
        <w:tc>
          <w:tcPr>
            <w:tcW w:type="dxa" w:w="3213"/>
          </w:tcPr>
          <w:p>
            <w:r>
              <w:rPr>
                <w:sz w:val="18"/>
              </w:rPr>
              <w:t>遮挡截断</w:t>
            </w:r>
          </w:p>
        </w:tc>
        <w:tc>
          <w:tcPr>
            <w:tcW w:type="dxa" w:w="3213"/>
          </w:tcPr>
          <w:p>
            <w:r>
              <w:rPr>
                <w:sz w:val="18"/>
              </w:rPr>
              <w:t>遮挡部位（occlusion_parts）</w:t>
            </w:r>
          </w:p>
        </w:tc>
        <w:tc>
          <w:tcPr>
            <w:tcW w:type="dxa" w:w="3213"/>
          </w:tcPr>
          <w:p>
            <w:r>
              <w:rPr>
                <w:sz w:val="18"/>
              </w:rPr>
              <w:t>head / torso / legs / tail / none / unknown</w:t>
            </w:r>
          </w:p>
        </w:tc>
      </w:tr>
      <w:tr>
        <w:tc>
          <w:tcPr>
            <w:tcW w:type="dxa" w:w="3213"/>
          </w:tcPr>
          <w:p>
            <w:r>
              <w:rPr>
                <w:sz w:val="18"/>
              </w:rPr>
              <w:t>遮挡截断</w:t>
            </w:r>
          </w:p>
        </w:tc>
        <w:tc>
          <w:tcPr>
            <w:tcW w:type="dxa" w:w="3213"/>
          </w:tcPr>
          <w:p>
            <w:r>
              <w:rPr>
                <w:sz w:val="18"/>
              </w:rPr>
              <w:t>画面截断程度（truncation_level）</w:t>
            </w:r>
          </w:p>
        </w:tc>
        <w:tc>
          <w:tcPr>
            <w:tcW w:type="dxa" w:w="3213"/>
          </w:tcPr>
          <w:p>
            <w:r>
              <w:rPr>
                <w:sz w:val="18"/>
              </w:rPr>
              <w:t>none / partial / heavy / unknown</w:t>
            </w:r>
          </w:p>
        </w:tc>
      </w:tr>
      <w:tr>
        <w:tc>
          <w:tcPr>
            <w:tcW w:type="dxa" w:w="3213"/>
          </w:tcPr>
          <w:p>
            <w:r>
              <w:rPr>
                <w:sz w:val="18"/>
              </w:rPr>
              <w:t>遮挡截断</w:t>
            </w:r>
          </w:p>
        </w:tc>
        <w:tc>
          <w:tcPr>
            <w:tcW w:type="dxa" w:w="3213"/>
          </w:tcPr>
          <w:p>
            <w:r>
              <w:rPr>
                <w:sz w:val="18"/>
              </w:rPr>
              <w:t>截断部位（truncation_parts）</w:t>
            </w:r>
          </w:p>
        </w:tc>
        <w:tc>
          <w:tcPr>
            <w:tcW w:type="dxa" w:w="3213"/>
          </w:tcPr>
          <w:p>
            <w:r>
              <w:rPr>
                <w:sz w:val="18"/>
              </w:rPr>
              <w:t>head / torso / legs / tail / none / unknown</w:t>
            </w:r>
          </w:p>
        </w:tc>
      </w:tr>
      <w:tr>
        <w:tc>
          <w:tcPr>
            <w:tcW w:type="dxa" w:w="3213"/>
          </w:tcPr>
          <w:p>
            <w:r>
              <w:rPr>
                <w:sz w:val="18"/>
              </w:rPr>
              <w:t>遮挡截断</w:t>
            </w:r>
          </w:p>
        </w:tc>
        <w:tc>
          <w:tcPr>
            <w:tcW w:type="dxa" w:w="3213"/>
          </w:tcPr>
          <w:p>
            <w:r>
              <w:rPr>
                <w:sz w:val="18"/>
              </w:rPr>
              <w:t>犬体可识别性（dog_recognizability）</w:t>
            </w:r>
          </w:p>
        </w:tc>
        <w:tc>
          <w:tcPr>
            <w:tcW w:type="dxa" w:w="3213"/>
          </w:tcPr>
          <w:p>
            <w:r>
              <w:rPr>
                <w:sz w:val="18"/>
              </w:rPr>
              <w:t>reliably_identifiable / partially_identifiable / not_identifiable / unknown</w:t>
            </w:r>
          </w:p>
        </w:tc>
      </w:tr>
      <w:tr>
        <w:tc>
          <w:tcPr>
            <w:tcW w:type="dxa" w:w="3213"/>
          </w:tcPr>
          <w:p>
            <w:r>
              <w:rPr>
                <w:sz w:val="18"/>
              </w:rPr>
              <w:t>整体环境</w:t>
            </w:r>
          </w:p>
        </w:tc>
        <w:tc>
          <w:tcPr>
            <w:tcW w:type="dxa" w:w="3213"/>
          </w:tcPr>
          <w:p>
            <w:r>
              <w:rPr>
                <w:sz w:val="18"/>
              </w:rPr>
              <w:t>场景（scene）</w:t>
            </w:r>
          </w:p>
        </w:tc>
        <w:tc>
          <w:tcPr>
            <w:tcW w:type="dxa" w:w="3213"/>
          </w:tcPr>
          <w:p>
            <w:r>
              <w:rPr>
                <w:sz w:val="18"/>
              </w:rPr>
              <w:t>indoor_home / indoor_pet_store_or_clinic / indoor_other / outdoor_grass / outdoor_street / outdoor_park / outdoor_forest_or_wild / outdoor_beach / outdoor_snow / outdoor_water / outdoor_other / vehicle / multiple_scenes / unknown</w:t>
            </w:r>
          </w:p>
        </w:tc>
      </w:tr>
    </w:tbl>
    <w:p>
      <w:pPr>
        <w:keepLines/>
        <w:spacing w:after="100" w:line="312" w:lineRule="auto"/>
        <w:ind w:firstLine="425"/>
      </w:pPr>
      <w:r>
        <w:t>头部细项示例。head_visibility描述整个头部是否可见，head_orientation描述头部朝向，ear_shape描述耳朵形状；muzzle_visibility描述鼻子、吻部及口鼻区域整体，mouth_visibility仅描述上下颌、嘴角或嘴缝，mouth_state进一步记录闭嘴、张嘴、喘气或打哈欠等状态。字段存在依赖关系：嘴部不可见时，嘴部状态和舌头可见性应设为unknown；尾巴不可观察时，尾巴姿态也应设为unknown。因而仅用“身体可见性”概括这些字段，会丢失局部信息及其约束。</w:t>
      </w:r>
    </w:p>
    <w:p>
      <w:pPr>
        <w:keepLines/>
        <w:spacing w:after="100" w:line="312" w:lineRule="auto"/>
        <w:ind w:firstLine="425"/>
      </w:pPr>
      <w:r>
        <w:t>毛发细项及类别差异。犬类协议分别记录毛发颜色、图案和质地；猫类对应毛发主色、图案和质地，并使用tabby、colorpoint、tortoiseshell等猫类枚举值，以及short_smooth、long_fluffy、curly、hairless等质地值。人物头发采用独立字段，不能直接套用犬猫被毛的全部枚举。</w:t>
      </w:r>
    </w:p>
    <w:p>
      <w:pPr>
        <w:keepLines/>
        <w:spacing w:after="100" w:line="312" w:lineRule="auto"/>
        <w:ind w:firstLine="425"/>
      </w:pPr>
      <w:r>
        <w:t>人物与头部协议中的头发字段。person_surface_v2配置要求hair_color、hair_length、hair_texture，并包含面部可见性、面部朝向、头饰、眼镜和胡须等字段。这是该协议的设计要求；其生成提示中的建议枚举不能直接当作当前六分类的冻结字段。独立的head_face_v1.0配置定义了头发可见性、头发存在状态、头发颜色与质地，以及面部、眼睛、鼻子、嘴部的可见性。下表列出其中与头部、头发直接相关的实际字段。</w:t>
      </w:r>
    </w:p>
    <w:tbl>
      <w:tblPr>
        <w:tblStyle w:val="33"/>
        <w:tblW w:type="auto" w:w="0"/>
        <w:tblLook w:firstColumn="1" w:firstRow="1" w:lastColumn="0" w:lastRow="0" w:noHBand="0" w:noVBand="1" w:val="04A0"/>
      </w:tblPr>
      <w:tblGrid>
        <w:gridCol w:w="4819"/>
        <w:gridCol w:w="4819"/>
      </w:tblGrid>
      <w:tr>
        <w:trPr>
          <w:tblHeader/>
        </w:trPr>
        <w:tc>
          <w:tcPr>
            <w:tcW w:type="dxa" w:w="4819"/>
          </w:tcPr>
          <w:p>
            <w:r>
              <w:rPr>
                <w:b/>
                <w:sz w:val="18"/>
              </w:rPr>
              <w:t>头部协议字段</w:t>
            </w:r>
          </w:p>
        </w:tc>
        <w:tc>
          <w:tcPr>
            <w:tcW w:type="dxa" w:w="4819"/>
          </w:tcPr>
          <w:p>
            <w:r>
              <w:rPr>
                <w:b/>
                <w:sz w:val="18"/>
              </w:rPr>
              <w:t>全部枚举值</w:t>
            </w:r>
          </w:p>
        </w:tc>
      </w:tr>
      <w:tr>
        <w:tc>
          <w:tcPr>
            <w:tcW w:type="dxa" w:w="4819"/>
          </w:tcPr>
          <w:p>
            <w:r>
              <w:rPr>
                <w:sz w:val="18"/>
              </w:rPr>
              <w:t>头部完整性（head_completeness）</w:t>
            </w:r>
          </w:p>
        </w:tc>
        <w:tc>
          <w:tcPr>
            <w:tcW w:type="dxa" w:w="4819"/>
          </w:tcPr>
          <w:p>
            <w:r>
              <w:rPr>
                <w:sz w:val="18"/>
              </w:rPr>
              <w:t>complete / lightly_truncated / severely_truncated / unknown</w:t>
            </w:r>
          </w:p>
        </w:tc>
      </w:tr>
      <w:tr>
        <w:tc>
          <w:tcPr>
            <w:tcW w:type="dxa" w:w="4819"/>
          </w:tcPr>
          <w:p>
            <w:r>
              <w:rPr>
                <w:sz w:val="18"/>
              </w:rPr>
              <w:t>头部截断部位（head_truncation_parts）</w:t>
            </w:r>
          </w:p>
        </w:tc>
        <w:tc>
          <w:tcPr>
            <w:tcW w:type="dxa" w:w="4819"/>
          </w:tcPr>
          <w:p>
            <w:r>
              <w:rPr>
                <w:sz w:val="18"/>
              </w:rPr>
              <w:t>none / top / left / right / bottom / multiple / unknown</w:t>
            </w:r>
          </w:p>
        </w:tc>
      </w:tr>
      <w:tr>
        <w:tc>
          <w:tcPr>
            <w:tcW w:type="dxa" w:w="4819"/>
          </w:tcPr>
          <w:p>
            <w:r>
              <w:rPr>
                <w:sz w:val="18"/>
              </w:rPr>
              <w:t>头部水平转向（yaw）</w:t>
            </w:r>
          </w:p>
        </w:tc>
        <w:tc>
          <w:tcPr>
            <w:tcW w:type="dxa" w:w="4819"/>
          </w:tcPr>
          <w:p>
            <w:r>
              <w:rPr>
                <w:sz w:val="18"/>
              </w:rPr>
              <w:t>frontal / left_three_quarter / right_three_quarter / left_profile / right_profile / rear_or_face_absent / unknown</w:t>
            </w:r>
          </w:p>
        </w:tc>
      </w:tr>
      <w:tr>
        <w:tc>
          <w:tcPr>
            <w:tcW w:type="dxa" w:w="4819"/>
          </w:tcPr>
          <w:p>
            <w:r>
              <w:rPr>
                <w:sz w:val="18"/>
              </w:rPr>
              <w:t>头部俯仰（pitch）</w:t>
            </w:r>
          </w:p>
        </w:tc>
        <w:tc>
          <w:tcPr>
            <w:tcW w:type="dxa" w:w="4819"/>
          </w:tcPr>
          <w:p>
            <w:r>
              <w:rPr>
                <w:sz w:val="18"/>
              </w:rPr>
              <w:t>up / level / down / unknown</w:t>
            </w:r>
          </w:p>
        </w:tc>
      </w:tr>
      <w:tr>
        <w:tc>
          <w:tcPr>
            <w:tcW w:type="dxa" w:w="4819"/>
          </w:tcPr>
          <w:p>
            <w:r>
              <w:rPr>
                <w:sz w:val="18"/>
              </w:rPr>
              <w:t>头部倾斜（roll）</w:t>
            </w:r>
          </w:p>
        </w:tc>
        <w:tc>
          <w:tcPr>
            <w:tcW w:type="dxa" w:w="4819"/>
          </w:tcPr>
          <w:p>
            <w:r>
              <w:rPr>
                <w:sz w:val="18"/>
              </w:rPr>
              <w:t>upright / slight / large / unknown</w:t>
            </w:r>
          </w:p>
        </w:tc>
      </w:tr>
      <w:tr>
        <w:tc>
          <w:tcPr>
            <w:tcW w:type="dxa" w:w="4819"/>
          </w:tcPr>
          <w:p>
            <w:r>
              <w:rPr>
                <w:sz w:val="18"/>
              </w:rPr>
              <w:t>面部可见性（face_visibility）</w:t>
            </w:r>
          </w:p>
        </w:tc>
        <w:tc>
          <w:tcPr>
            <w:tcW w:type="dxa" w:w="4819"/>
          </w:tcPr>
          <w:p>
            <w:r>
              <w:rPr>
                <w:sz w:val="18"/>
              </w:rPr>
              <w:t>clear / partial / minimal / not_visible / unknown</w:t>
            </w:r>
          </w:p>
        </w:tc>
      </w:tr>
      <w:tr>
        <w:tc>
          <w:tcPr>
            <w:tcW w:type="dxa" w:w="4819"/>
          </w:tcPr>
          <w:p>
            <w:r>
              <w:rPr>
                <w:sz w:val="18"/>
              </w:rPr>
              <w:t>眼睛可见性（eye_visibility）</w:t>
            </w:r>
          </w:p>
        </w:tc>
        <w:tc>
          <w:tcPr>
            <w:tcW w:type="dxa" w:w="4819"/>
          </w:tcPr>
          <w:p>
            <w:r>
              <w:rPr>
                <w:sz w:val="18"/>
              </w:rPr>
              <w:t>both / left_only / right_only / none / unknown</w:t>
            </w:r>
          </w:p>
        </w:tc>
      </w:tr>
      <w:tr>
        <w:tc>
          <w:tcPr>
            <w:tcW w:type="dxa" w:w="4819"/>
          </w:tcPr>
          <w:p>
            <w:r>
              <w:rPr>
                <w:sz w:val="18"/>
              </w:rPr>
              <w:t>鼻部可见性（nose_visibility）</w:t>
            </w:r>
          </w:p>
        </w:tc>
        <w:tc>
          <w:tcPr>
            <w:tcW w:type="dxa" w:w="4819"/>
          </w:tcPr>
          <w:p>
            <w:r>
              <w:rPr>
                <w:sz w:val="18"/>
              </w:rPr>
              <w:t>clear / partial / not_visible / unknown</w:t>
            </w:r>
          </w:p>
        </w:tc>
      </w:tr>
      <w:tr>
        <w:tc>
          <w:tcPr>
            <w:tcW w:type="dxa" w:w="4819"/>
          </w:tcPr>
          <w:p>
            <w:r>
              <w:rPr>
                <w:sz w:val="18"/>
              </w:rPr>
              <w:t>嘴部可见性（mouth_visibility）</w:t>
            </w:r>
          </w:p>
        </w:tc>
        <w:tc>
          <w:tcPr>
            <w:tcW w:type="dxa" w:w="4819"/>
          </w:tcPr>
          <w:p>
            <w:r>
              <w:rPr>
                <w:sz w:val="18"/>
              </w:rPr>
              <w:t>clear / partial / not_visible / unknown</w:t>
            </w:r>
          </w:p>
        </w:tc>
      </w:tr>
      <w:tr>
        <w:tc>
          <w:tcPr>
            <w:tcW w:type="dxa" w:w="4819"/>
          </w:tcPr>
          <w:p>
            <w:r>
              <w:rPr>
                <w:sz w:val="18"/>
              </w:rPr>
              <w:t>头部覆盖物（head_covering）</w:t>
            </w:r>
          </w:p>
        </w:tc>
        <w:tc>
          <w:tcPr>
            <w:tcW w:type="dxa" w:w="4819"/>
          </w:tcPr>
          <w:p>
            <w:r>
              <w:rPr>
                <w:sz w:val="18"/>
              </w:rPr>
              <w:t>none / hat / hood / headscarf / helmet / other / unknown</w:t>
            </w:r>
          </w:p>
        </w:tc>
      </w:tr>
      <w:tr>
        <w:tc>
          <w:tcPr>
            <w:tcW w:type="dxa" w:w="4819"/>
          </w:tcPr>
          <w:p>
            <w:r>
              <w:rPr>
                <w:sz w:val="18"/>
              </w:rPr>
              <w:t>头发可见性（hair_visibility）</w:t>
            </w:r>
          </w:p>
        </w:tc>
        <w:tc>
          <w:tcPr>
            <w:tcW w:type="dxa" w:w="4819"/>
          </w:tcPr>
          <w:p>
            <w:r>
              <w:rPr>
                <w:sz w:val="18"/>
              </w:rPr>
              <w:t>clear / partial / not_visible / unknown</w:t>
            </w:r>
          </w:p>
        </w:tc>
      </w:tr>
      <w:tr>
        <w:tc>
          <w:tcPr>
            <w:tcW w:type="dxa" w:w="4819"/>
          </w:tcPr>
          <w:p>
            <w:r>
              <w:rPr>
                <w:sz w:val="18"/>
              </w:rPr>
              <w:t>头发存在状态（hair_presence）</w:t>
            </w:r>
          </w:p>
        </w:tc>
        <w:tc>
          <w:tcPr>
            <w:tcW w:type="dxa" w:w="4819"/>
          </w:tcPr>
          <w:p>
            <w:r>
              <w:rPr>
                <w:sz w:val="18"/>
              </w:rPr>
              <w:t>present / bald_or_shaved / covered / unknown</w:t>
            </w:r>
          </w:p>
        </w:tc>
      </w:tr>
      <w:tr>
        <w:tc>
          <w:tcPr>
            <w:tcW w:type="dxa" w:w="4819"/>
          </w:tcPr>
          <w:p>
            <w:r>
              <w:rPr>
                <w:sz w:val="18"/>
              </w:rPr>
              <w:t>头发颜色（hair_color）</w:t>
            </w:r>
          </w:p>
        </w:tc>
        <w:tc>
          <w:tcPr>
            <w:tcW w:type="dxa" w:w="4819"/>
          </w:tcPr>
          <w:p>
            <w:r>
              <w:rPr>
                <w:sz w:val="18"/>
              </w:rPr>
              <w:t>black / dark_brown / light_brown / blond / red / gray_or_white / dyed_or_multicolor / not_visible / unknown</w:t>
            </w:r>
          </w:p>
        </w:tc>
      </w:tr>
      <w:tr>
        <w:tc>
          <w:tcPr>
            <w:tcW w:type="dxa" w:w="4819"/>
          </w:tcPr>
          <w:p>
            <w:r>
              <w:rPr>
                <w:sz w:val="18"/>
              </w:rPr>
              <w:t>头发质地（hair_texture）</w:t>
            </w:r>
          </w:p>
        </w:tc>
        <w:tc>
          <w:tcPr>
            <w:tcW w:type="dxa" w:w="4819"/>
          </w:tcPr>
          <w:p>
            <w:r>
              <w:rPr>
                <w:sz w:val="18"/>
              </w:rPr>
              <w:t>straight / wavy / curly / coily / not_visible / unknown</w:t>
            </w:r>
          </w:p>
        </w:tc>
      </w:tr>
    </w:tbl>
    <w:p>
      <w:pPr>
        <w:keepLines/>
        <w:spacing w:after="100" w:line="312" w:lineRule="auto"/>
        <w:ind w:firstLine="425"/>
      </w:pPr>
      <w:r>
        <w:t>当前六分类分析的实际取舍。当前共享状态矩阵只使用14项共享字段与程序计算的目标尺度，共15项；犬猫毛发颜色、耳朵形状、口鼻部细项、人物头发等没有进入这套矩阵。当前通用对象标注协议虽另有头部可见性、头部朝向、腿部可见性及截断部位字段，共享分析也未保留这些字段。因此，完整专用协议、当前标注输出和实际分析子集应分别说明；不能用共享字段表暗示所有细项均被分析，也不能把细项从方法说明中完全省略。下面的表2专门给出当前六分类分析所使用的共享子集。</w:t>
      </w:r>
    </w:p>
    <w:p>
      <w:pPr>
        <w:keepLines/>
        <w:spacing w:after="100" w:line="312" w:lineRule="auto"/>
        <w:ind w:firstLine="425"/>
      </w:pPr>
      <w:r>
        <w:t>为说明各字段的含义，按测试所描述的视觉内容将15项分析字段组织为五组：尺度与可见性、朝向、遮挡与截断、场景与交互、图像质量与呈现。该分组用于解释完整状态表示，与第3.4节用于风险评分的五个字段分别定义。完整状态表示用于覆盖度量、覆盖引导选样和状态条件评价；风险评分只读取目标尺度、身体可见性、遮挡程度、截断程度和身体朝向。</w:t>
      </w:r>
    </w:p>
    <w:p>
      <w:pPr>
        <w:keepLines/>
        <w:spacing w:after="100" w:line="312" w:lineRule="auto"/>
        <w:ind w:firstLine="425"/>
      </w:pPr>
      <w:r>
        <w:t>表2　共享视觉状态字段、含义及枚举值。除程序计算的目标尺度外，各字段均允许unknown，表示依据当前图像无法可靠判断。表中保留实际协议的枚举名称，并给出中文含义；遮挡物类型为多值字段，其余字段为单值字段。</w:t>
      </w:r>
    </w:p>
    <w:tbl>
      <w:tblPr>
        <w:tblStyle w:val="33"/>
        <w:tblW w:type="auto" w:w="0"/>
        <w:tblLook w:firstColumn="1" w:firstRow="1" w:lastColumn="0" w:lastRow="0" w:noHBand="0" w:noVBand="1" w:val="04A0"/>
      </w:tblPr>
      <w:tblGrid>
        <w:gridCol w:w="2409"/>
        <w:gridCol w:w="2409"/>
        <w:gridCol w:w="2409"/>
        <w:gridCol w:w="2409"/>
      </w:tblGrid>
      <w:tr>
        <w:trPr>
          <w:tblHeader/>
        </w:trPr>
        <w:tc>
          <w:tcPr>
            <w:tcW w:type="dxa" w:w="2409"/>
          </w:tcPr>
          <w:p>
            <w:r>
              <w:rPr>
                <w:b/>
                <w:sz w:val="18"/>
              </w:rPr>
              <w:t>状态组</w:t>
            </w:r>
          </w:p>
        </w:tc>
        <w:tc>
          <w:tcPr>
            <w:tcW w:type="dxa" w:w="2409"/>
          </w:tcPr>
          <w:p>
            <w:r>
              <w:rPr>
                <w:b/>
                <w:sz w:val="18"/>
              </w:rPr>
              <w:t>字段</w:t>
            </w:r>
          </w:p>
        </w:tc>
        <w:tc>
          <w:tcPr>
            <w:tcW w:type="dxa" w:w="2409"/>
          </w:tcPr>
          <w:p>
            <w:r>
              <w:rPr>
                <w:b/>
                <w:sz w:val="18"/>
              </w:rPr>
              <w:t>描述内容与来源</w:t>
            </w:r>
          </w:p>
        </w:tc>
        <w:tc>
          <w:tcPr>
            <w:tcW w:type="dxa" w:w="2409"/>
          </w:tcPr>
          <w:p>
            <w:r>
              <w:rPr>
                <w:b/>
                <w:sz w:val="18"/>
              </w:rPr>
              <w:t>已知状态及含义</w:t>
            </w:r>
          </w:p>
        </w:tc>
      </w:tr>
      <w:tr>
        <w:tc>
          <w:tcPr>
            <w:tcW w:type="dxa" w:w="2409"/>
          </w:tcPr>
          <w:p>
            <w:r>
              <w:rPr>
                <w:sz w:val="18"/>
              </w:rPr>
              <w:t>尺度与可见性</w:t>
            </w:r>
          </w:p>
        </w:tc>
        <w:tc>
          <w:tcPr>
            <w:tcW w:type="dxa" w:w="2409"/>
          </w:tcPr>
          <w:p>
            <w:r>
              <w:rPr>
                <w:sz w:val="18"/>
              </w:rPr>
              <w:t>目标尺度（target_scale）</w:t>
            </w:r>
          </w:p>
        </w:tc>
        <w:tc>
          <w:tcPr>
            <w:tcW w:type="dxa" w:w="2409"/>
          </w:tcPr>
          <w:p>
            <w:r>
              <w:rPr>
                <w:sz w:val="18"/>
              </w:rPr>
              <w:t>官方目标框面积占原图面积的比例aᵢ，由程序计算。</w:t>
            </w:r>
          </w:p>
        </w:tc>
        <w:tc>
          <w:tcPr>
            <w:tcW w:type="dxa" w:w="2409"/>
          </w:tcPr>
          <w:p>
            <w:r>
              <w:rPr>
                <w:sz w:val="18"/>
              </w:rPr>
              <w:t>tiny：aᵢ&lt;0.01；small：0.01≤aᵢ&lt;0.03；medium：0.03≤aᵢ&lt;0.10；large：aᵢ≥0.10。</w:t>
            </w:r>
          </w:p>
        </w:tc>
      </w:tr>
      <w:tr>
        <w:tc>
          <w:tcPr>
            <w:tcW w:type="dxa" w:w="2409"/>
          </w:tcPr>
          <w:p>
            <w:r>
              <w:rPr>
                <w:sz w:val="18"/>
              </w:rPr>
              <w:t>尺度与可见性</w:t>
            </w:r>
          </w:p>
        </w:tc>
        <w:tc>
          <w:tcPr>
            <w:tcW w:type="dxa" w:w="2409"/>
          </w:tcPr>
          <w:p>
            <w:r>
              <w:rPr>
                <w:sz w:val="18"/>
              </w:rPr>
              <w:t>身体可见性（body_visibility）</w:t>
            </w:r>
          </w:p>
        </w:tc>
        <w:tc>
          <w:tcPr>
            <w:tcW w:type="dxa" w:w="2409"/>
          </w:tcPr>
          <w:p>
            <w:r>
              <w:rPr>
                <w:sz w:val="18"/>
              </w:rPr>
              <w:t>目标整体在图像中的可见完整程度；车类对应整辆车。</w:t>
            </w:r>
          </w:p>
        </w:tc>
        <w:tc>
          <w:tcPr>
            <w:tcW w:type="dxa" w:w="2409"/>
          </w:tcPr>
          <w:p>
            <w:r>
              <w:rPr>
                <w:sz w:val="18"/>
              </w:rPr>
              <w:t>full：完整可见；most：大部分可见；partial：部分可见；minimal：仅少量可见。</w:t>
            </w:r>
          </w:p>
        </w:tc>
      </w:tr>
      <w:tr>
        <w:tc>
          <w:tcPr>
            <w:tcW w:type="dxa" w:w="2409"/>
          </w:tcPr>
          <w:p>
            <w:r>
              <w:rPr>
                <w:sz w:val="18"/>
              </w:rPr>
              <w:t>朝向</w:t>
            </w:r>
          </w:p>
        </w:tc>
        <w:tc>
          <w:tcPr>
            <w:tcW w:type="dxa" w:w="2409"/>
          </w:tcPr>
          <w:p>
            <w:r>
              <w:rPr>
                <w:sz w:val="18"/>
              </w:rPr>
              <w:t>身体朝向（body_orientation）</w:t>
            </w:r>
          </w:p>
        </w:tc>
        <w:tc>
          <w:tcPr>
            <w:tcW w:type="dxa" w:w="2409"/>
          </w:tcPr>
          <w:p>
            <w:r>
              <w:rPr>
                <w:sz w:val="18"/>
              </w:rPr>
              <w:t>目标整体相对于观察视角的朝向。</w:t>
            </w:r>
          </w:p>
        </w:tc>
        <w:tc>
          <w:tcPr>
            <w:tcW w:type="dxa" w:w="2409"/>
          </w:tcPr>
          <w:p>
            <w:r>
              <w:rPr>
                <w:sz w:val="18"/>
              </w:rPr>
              <w:t>front：正向；back：背向；left_side／right_side：目标自身左侧／右侧；three_quarter：斜向；overhead_or_unusual：俯视或非常规视角。</w:t>
            </w:r>
          </w:p>
        </w:tc>
      </w:tr>
      <w:tr>
        <w:tc>
          <w:tcPr>
            <w:tcW w:type="dxa" w:w="2409"/>
          </w:tcPr>
          <w:p>
            <w:r>
              <w:rPr>
                <w:sz w:val="18"/>
              </w:rPr>
              <w:t>遮挡与截断</w:t>
            </w:r>
          </w:p>
        </w:tc>
        <w:tc>
          <w:tcPr>
            <w:tcW w:type="dxa" w:w="2409"/>
          </w:tcPr>
          <w:p>
            <w:r>
              <w:rPr>
                <w:sz w:val="18"/>
              </w:rPr>
              <w:t>遮挡程度（occlusion_level）</w:t>
            </w:r>
          </w:p>
        </w:tc>
        <w:tc>
          <w:tcPr>
            <w:tcW w:type="dxa" w:w="2409"/>
          </w:tcPr>
          <w:p>
            <w:r>
              <w:rPr>
                <w:sz w:val="18"/>
              </w:rPr>
              <w:t>目标被其他可见物体挡住的程度。</w:t>
            </w:r>
          </w:p>
        </w:tc>
        <w:tc>
          <w:tcPr>
            <w:tcW w:type="dxa" w:w="2409"/>
          </w:tcPr>
          <w:p>
            <w:r>
              <w:rPr>
                <w:sz w:val="18"/>
              </w:rPr>
              <w:t>none：无遮挡；light：轻度；moderate：中度；heavy：重度。</w:t>
            </w:r>
          </w:p>
        </w:tc>
      </w:tr>
      <w:tr>
        <w:tc>
          <w:tcPr>
            <w:tcW w:type="dxa" w:w="2409"/>
          </w:tcPr>
          <w:p>
            <w:r>
              <w:rPr>
                <w:sz w:val="18"/>
              </w:rPr>
              <w:t>遮挡与截断</w:t>
            </w:r>
          </w:p>
        </w:tc>
        <w:tc>
          <w:tcPr>
            <w:tcW w:type="dxa" w:w="2409"/>
          </w:tcPr>
          <w:p>
            <w:r>
              <w:rPr>
                <w:sz w:val="18"/>
              </w:rPr>
              <w:t>遮挡物类型（occluder_type）</w:t>
            </w:r>
          </w:p>
        </w:tc>
        <w:tc>
          <w:tcPr>
            <w:tcW w:type="dxa" w:w="2409"/>
          </w:tcPr>
          <w:p>
            <w:r>
              <w:rPr>
                <w:sz w:val="18"/>
              </w:rPr>
              <w:t>遮挡来源，可记录多个类型。</w:t>
            </w:r>
          </w:p>
        </w:tc>
        <w:tc>
          <w:tcPr>
            <w:tcW w:type="dxa" w:w="2409"/>
          </w:tcPr>
          <w:p>
            <w:r>
              <w:rPr>
                <w:sz w:val="18"/>
              </w:rPr>
              <w:t>none：无；person：人；same_class_object：同类目标；other_object：其他物体；vegetation：植被；frame_or_structure：框架或结构；image_boundary：图像边界；multiple：多种来源。image_boundary为现有协议保留值，边界造成的目标缺失在风险评分中由截断程度描述，不将其直接转为遮挡分值。</w:t>
            </w:r>
          </w:p>
        </w:tc>
      </w:tr>
      <w:tr>
        <w:tc>
          <w:tcPr>
            <w:tcW w:type="dxa" w:w="2409"/>
          </w:tcPr>
          <w:p>
            <w:r>
              <w:rPr>
                <w:sz w:val="18"/>
              </w:rPr>
              <w:t>遮挡与截断</w:t>
            </w:r>
          </w:p>
        </w:tc>
        <w:tc>
          <w:tcPr>
            <w:tcW w:type="dxa" w:w="2409"/>
          </w:tcPr>
          <w:p>
            <w:r>
              <w:rPr>
                <w:sz w:val="18"/>
              </w:rPr>
              <w:t>截断程度（truncation_level）</w:t>
            </w:r>
          </w:p>
        </w:tc>
        <w:tc>
          <w:tcPr>
            <w:tcW w:type="dxa" w:w="2409"/>
          </w:tcPr>
          <w:p>
            <w:r>
              <w:rPr>
                <w:sz w:val="18"/>
              </w:rPr>
              <w:t>目标超出图像边界或裁剪边界而未被完整呈现的程度。</w:t>
            </w:r>
          </w:p>
        </w:tc>
        <w:tc>
          <w:tcPr>
            <w:tcW w:type="dxa" w:w="2409"/>
          </w:tcPr>
          <w:p>
            <w:r>
              <w:rPr>
                <w:sz w:val="18"/>
              </w:rPr>
              <w:t>none：无截断；light：轻度；moderate：中度；heavy：重度。</w:t>
            </w:r>
          </w:p>
        </w:tc>
      </w:tr>
      <w:tr>
        <w:tc>
          <w:tcPr>
            <w:tcW w:type="dxa" w:w="2409"/>
          </w:tcPr>
          <w:p>
            <w:r>
              <w:rPr>
                <w:sz w:val="18"/>
              </w:rPr>
              <w:t>场景与交互</w:t>
            </w:r>
          </w:p>
        </w:tc>
        <w:tc>
          <w:tcPr>
            <w:tcW w:type="dxa" w:w="2409"/>
          </w:tcPr>
          <w:p>
            <w:r>
              <w:rPr>
                <w:sz w:val="18"/>
              </w:rPr>
              <w:t>群体关系（group_context）</w:t>
            </w:r>
          </w:p>
        </w:tc>
        <w:tc>
          <w:tcPr>
            <w:tcW w:type="dxa" w:w="2409"/>
          </w:tcPr>
          <w:p>
            <w:r>
              <w:rPr>
                <w:sz w:val="18"/>
              </w:rPr>
              <w:t>目标与周围同类目标的数量和空间关系。</w:t>
            </w:r>
          </w:p>
        </w:tc>
        <w:tc>
          <w:tcPr>
            <w:tcW w:type="dxa" w:w="2409"/>
          </w:tcPr>
          <w:p>
            <w:r>
              <w:rPr>
                <w:sz w:val="18"/>
              </w:rPr>
              <w:t>single：单个；multiple_separated：多个但分离；multiple_overlapping：多个且重叠；crowd_or_group：群体。</w:t>
            </w:r>
          </w:p>
        </w:tc>
      </w:tr>
      <w:tr>
        <w:tc>
          <w:tcPr>
            <w:tcW w:type="dxa" w:w="2409"/>
          </w:tcPr>
          <w:p>
            <w:r>
              <w:rPr>
                <w:sz w:val="18"/>
              </w:rPr>
              <w:t>场景与交互</w:t>
            </w:r>
          </w:p>
        </w:tc>
        <w:tc>
          <w:tcPr>
            <w:tcW w:type="dxa" w:w="2409"/>
          </w:tcPr>
          <w:p>
            <w:r>
              <w:rPr>
                <w:sz w:val="18"/>
              </w:rPr>
              <w:t>交互关系（interaction_context）</w:t>
            </w:r>
          </w:p>
        </w:tc>
        <w:tc>
          <w:tcPr>
            <w:tcW w:type="dxa" w:w="2409"/>
          </w:tcPr>
          <w:p>
            <w:r>
              <w:rPr>
                <w:sz w:val="18"/>
              </w:rPr>
              <w:t>图像中可直接观察到的目标交互对象。</w:t>
            </w:r>
          </w:p>
        </w:tc>
        <w:tc>
          <w:tcPr>
            <w:tcW w:type="dxa" w:w="2409"/>
          </w:tcPr>
          <w:p>
            <w:r>
              <w:rPr>
                <w:sz w:val="18"/>
              </w:rPr>
              <w:t>none：无；with_person：与人；with_same_class：与同类；with_other_animal：与其他动物；with_object：与物体；multiple：多种交互。</w:t>
            </w:r>
          </w:p>
        </w:tc>
      </w:tr>
      <w:tr>
        <w:tc>
          <w:tcPr>
            <w:tcW w:type="dxa" w:w="2409"/>
          </w:tcPr>
          <w:p>
            <w:r>
              <w:rPr>
                <w:sz w:val="18"/>
              </w:rPr>
              <w:t>场景与交互</w:t>
            </w:r>
          </w:p>
        </w:tc>
        <w:tc>
          <w:tcPr>
            <w:tcW w:type="dxa" w:w="2409"/>
          </w:tcPr>
          <w:p>
            <w:r>
              <w:rPr>
                <w:sz w:val="18"/>
              </w:rPr>
              <w:t>场景（scene_environment）</w:t>
            </w:r>
          </w:p>
        </w:tc>
        <w:tc>
          <w:tcPr>
            <w:tcW w:type="dxa" w:w="2409"/>
          </w:tcPr>
          <w:p>
            <w:r>
              <w:rPr>
                <w:sz w:val="18"/>
              </w:rPr>
              <w:t>目标所处环境。</w:t>
            </w:r>
          </w:p>
        </w:tc>
        <w:tc>
          <w:tcPr>
            <w:tcW w:type="dxa" w:w="2409"/>
          </w:tcPr>
          <w:p>
            <w:r>
              <w:rPr>
                <w:sz w:val="18"/>
              </w:rPr>
              <w:t>indoor：室内；outdoor_urban：城市户外；outdoor_natural：自然户外；farm_or_field：农场或田野；road_or_vehicle：道路或车辆环境；water_or_beach：水域或海滩；snow：雪地；other：其他。</w:t>
            </w:r>
          </w:p>
        </w:tc>
      </w:tr>
      <w:tr>
        <w:tc>
          <w:tcPr>
            <w:tcW w:type="dxa" w:w="2409"/>
          </w:tcPr>
          <w:p>
            <w:r>
              <w:rPr>
                <w:sz w:val="18"/>
              </w:rPr>
              <w:t>场景与交互</w:t>
            </w:r>
          </w:p>
        </w:tc>
        <w:tc>
          <w:tcPr>
            <w:tcW w:type="dxa" w:w="2409"/>
          </w:tcPr>
          <w:p>
            <w:r>
              <w:rPr>
                <w:sz w:val="18"/>
              </w:rPr>
              <w:t>背景复杂度（background_complexity）</w:t>
            </w:r>
          </w:p>
        </w:tc>
        <w:tc>
          <w:tcPr>
            <w:tcW w:type="dxa" w:w="2409"/>
          </w:tcPr>
          <w:p>
            <w:r>
              <w:rPr>
                <w:sz w:val="18"/>
              </w:rPr>
              <w:t>目标周围背景的视觉复杂程度。</w:t>
            </w:r>
          </w:p>
        </w:tc>
        <w:tc>
          <w:tcPr>
            <w:tcW w:type="dxa" w:w="2409"/>
          </w:tcPr>
          <w:p>
            <w:r>
              <w:rPr>
                <w:sz w:val="18"/>
              </w:rPr>
              <w:t>simple：简单；moderate：中等；complex：复杂。</w:t>
            </w:r>
          </w:p>
        </w:tc>
      </w:tr>
      <w:tr>
        <w:tc>
          <w:tcPr>
            <w:tcW w:type="dxa" w:w="2409"/>
          </w:tcPr>
          <w:p>
            <w:r>
              <w:rPr>
                <w:sz w:val="18"/>
              </w:rPr>
              <w:t>图像质量与呈现</w:t>
            </w:r>
          </w:p>
        </w:tc>
        <w:tc>
          <w:tcPr>
            <w:tcW w:type="dxa" w:w="2409"/>
          </w:tcPr>
          <w:p>
            <w:r>
              <w:rPr>
                <w:sz w:val="18"/>
              </w:rPr>
              <w:t>模糊（blur_level）</w:t>
            </w:r>
          </w:p>
        </w:tc>
        <w:tc>
          <w:tcPr>
            <w:tcW w:type="dxa" w:w="2409"/>
          </w:tcPr>
          <w:p>
            <w:r>
              <w:rPr>
                <w:sz w:val="18"/>
              </w:rPr>
              <w:t>目标图像的清晰程度。</w:t>
            </w:r>
          </w:p>
        </w:tc>
        <w:tc>
          <w:tcPr>
            <w:tcW w:type="dxa" w:w="2409"/>
          </w:tcPr>
          <w:p>
            <w:r>
              <w:rPr>
                <w:sz w:val="18"/>
              </w:rPr>
              <w:t>clear：清晰；mild：轻度模糊；severe：严重模糊。</w:t>
            </w:r>
          </w:p>
        </w:tc>
      </w:tr>
      <w:tr>
        <w:tc>
          <w:tcPr>
            <w:tcW w:type="dxa" w:w="2409"/>
          </w:tcPr>
          <w:p>
            <w:r>
              <w:rPr>
                <w:sz w:val="18"/>
              </w:rPr>
              <w:t>图像质量与呈现</w:t>
            </w:r>
          </w:p>
        </w:tc>
        <w:tc>
          <w:tcPr>
            <w:tcW w:type="dxa" w:w="2409"/>
          </w:tcPr>
          <w:p>
            <w:r>
              <w:rPr>
                <w:sz w:val="18"/>
              </w:rPr>
              <w:t>照明（illumination）</w:t>
            </w:r>
          </w:p>
        </w:tc>
        <w:tc>
          <w:tcPr>
            <w:tcW w:type="dxa" w:w="2409"/>
          </w:tcPr>
          <w:p>
            <w:r>
              <w:rPr>
                <w:sz w:val="18"/>
              </w:rPr>
              <w:t>目标所在图像的照明状态。</w:t>
            </w:r>
          </w:p>
        </w:tc>
        <w:tc>
          <w:tcPr>
            <w:tcW w:type="dxa" w:w="2409"/>
          </w:tcPr>
          <w:p>
            <w:r>
              <w:rPr>
                <w:sz w:val="18"/>
              </w:rPr>
              <w:t>normal：正常；low_light：低照度；backlit：逆光；strong_shadow：强阴影；overexposed：过曝；mixed_or_colored：混合或彩色照明。</w:t>
            </w:r>
          </w:p>
        </w:tc>
      </w:tr>
      <w:tr>
        <w:tc>
          <w:tcPr>
            <w:tcW w:type="dxa" w:w="2409"/>
          </w:tcPr>
          <w:p>
            <w:r>
              <w:rPr>
                <w:sz w:val="18"/>
              </w:rPr>
              <w:t>图像质量与呈现</w:t>
            </w:r>
          </w:p>
        </w:tc>
        <w:tc>
          <w:tcPr>
            <w:tcW w:type="dxa" w:w="2409"/>
          </w:tcPr>
          <w:p>
            <w:r>
              <w:rPr>
                <w:sz w:val="18"/>
              </w:rPr>
              <w:t>目标背景对比（target_background_contrast）</w:t>
            </w:r>
          </w:p>
        </w:tc>
        <w:tc>
          <w:tcPr>
            <w:tcW w:type="dxa" w:w="2409"/>
          </w:tcPr>
          <w:p>
            <w:r>
              <w:rPr>
                <w:sz w:val="18"/>
              </w:rPr>
              <w:t>目标相对于背景的视觉对比程度。</w:t>
            </w:r>
          </w:p>
        </w:tc>
        <w:tc>
          <w:tcPr>
            <w:tcW w:type="dxa" w:w="2409"/>
          </w:tcPr>
          <w:p>
            <w:r>
              <w:rPr>
                <w:sz w:val="18"/>
              </w:rPr>
              <w:t>high：高；medium：中；low：低。</w:t>
            </w:r>
          </w:p>
        </w:tc>
      </w:tr>
      <w:tr>
        <w:tc>
          <w:tcPr>
            <w:tcW w:type="dxa" w:w="2409"/>
          </w:tcPr>
          <w:p>
            <w:r>
              <w:rPr>
                <w:sz w:val="18"/>
              </w:rPr>
              <w:t>图像质量与呈现</w:t>
            </w:r>
          </w:p>
        </w:tc>
        <w:tc>
          <w:tcPr>
            <w:tcW w:type="dxa" w:w="2409"/>
          </w:tcPr>
          <w:p>
            <w:r>
              <w:rPr>
                <w:sz w:val="18"/>
              </w:rPr>
              <w:t>可识别性（target_recognizability）</w:t>
            </w:r>
          </w:p>
        </w:tc>
        <w:tc>
          <w:tcPr>
            <w:tcW w:type="dxa" w:w="2409"/>
          </w:tcPr>
          <w:p>
            <w:r>
              <w:rPr>
                <w:sz w:val="18"/>
              </w:rPr>
              <w:t>VLM对当前目标可辨识程度的描述，保留为状态字段。</w:t>
            </w:r>
          </w:p>
        </w:tc>
        <w:tc>
          <w:tcPr>
            <w:tcW w:type="dxa" w:w="2409"/>
          </w:tcPr>
          <w:p>
            <w:r>
              <w:rPr>
                <w:sz w:val="18"/>
              </w:rPr>
              <w:t>high：高；medium：中；low：低；unrecognizable：无法辨识。该字段不用于风险评分，也不作为分类真值。</w:t>
            </w:r>
          </w:p>
        </w:tc>
      </w:tr>
      <w:tr>
        <w:tc>
          <w:tcPr>
            <w:tcW w:type="dxa" w:w="2409"/>
          </w:tcPr>
          <w:p>
            <w:r>
              <w:rPr>
                <w:sz w:val="18"/>
              </w:rPr>
              <w:t>图像质量与呈现</w:t>
            </w:r>
          </w:p>
        </w:tc>
        <w:tc>
          <w:tcPr>
            <w:tcW w:type="dxa" w:w="2409"/>
          </w:tcPr>
          <w:p>
            <w:r>
              <w:rPr>
                <w:sz w:val="18"/>
              </w:rPr>
              <w:t>呈现形式（visual_representation）</w:t>
            </w:r>
          </w:p>
        </w:tc>
        <w:tc>
          <w:tcPr>
            <w:tcW w:type="dxa" w:w="2409"/>
          </w:tcPr>
          <w:p>
            <w:r>
              <w:rPr>
                <w:sz w:val="18"/>
              </w:rPr>
              <w:t>目标在图像中的呈现载体或形式。</w:t>
            </w:r>
          </w:p>
        </w:tc>
        <w:tc>
          <w:tcPr>
            <w:tcW w:type="dxa" w:w="2409"/>
          </w:tcPr>
          <w:p>
            <w:r>
              <w:rPr>
                <w:sz w:val="18"/>
              </w:rPr>
              <w:t>natural_photo：真实场景照片；screen_or_print：屏幕或印刷品；illustration_or_artwork：插画或艺术作品；statue_or_toy：雕塑、玩具或模型。</w:t>
            </w:r>
          </w:p>
        </w:tc>
      </w:tr>
    </w:tbl>
    <w:p>
      <w:pPr>
        <w:keepLines/>
        <w:spacing w:after="100" w:line="312" w:lineRule="auto"/>
        <w:ind w:firstLine="425"/>
      </w:pPr>
      <w:r>
        <w:t>身体可见性、遮挡和截断分别描述可见结果、物体遮蔽和边界缺失。三者可同时出现，并不构成互斥状态。例如，目标腿部被栏杆挡住属于遮挡，腿部超出图像下边界属于截断，两种情况均可能使身体仅部分可见。VLM结合原图、目标框标记图与裁剪图判断这些状态；原图用于核对边界和遮挡来源，裁剪图用于观察目标细节。</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m:rPr/>
          <w:rPr>
            <w:rFonts w:ascii="Cambria Math" w:hAnsi="Cambria Math"/>
            <w:sz w:val="22"/>
          </w:rPr>
          <m:t>i</m:t>
        </m:r>
      </m:oMath>
      <w:r>
        <w:rPr>
          <w:rFonts w:ascii="Times New Roman" w:hAnsi="Times New Roman" w:eastAsia="宋体"/>
          <w:b w:val="0"/>
          <w:sz w:val="22"/>
        </w:rPr>
        <w:t>在来源</w:t>
      </w:r>
      <m:oMath>
        <m:r>
          <m:rPr/>
          <w:rPr>
            <w:rFonts w:ascii="Cambria Math" w:hAnsi="Cambria Math"/>
            <w:sz w:val="22"/>
          </w:rPr>
          <m:t>r</m:t>
        </m:r>
      </m:oMath>
      <w:r>
        <w:rPr>
          <w:rFonts w:ascii="Times New Roman" w:hAnsi="Times New Roman" w:eastAsia="宋体"/>
          <w:b w:val="0"/>
          <w:sz w:val="22"/>
        </w:rPr>
        <w:t>下激活的已知状态集合记为</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14:paraId="7E4114EB">
      <w:pPr>
        <w:pStyle w:val="3"/>
        <w:spacing w:before="180" w:after="100"/>
        <w:rPr>
          <w:rFonts w:hint="default" w:ascii="黑体" w:hAnsi="黑体" w:eastAsia="黑体" w:cs="黑体"/>
          <w:lang w:val="en-US" w:eastAsia="zh-CN"/>
        </w:rPr>
      </w:pPr>
      <w:r>
        <w:rPr>
          <w:rFonts w:hint="eastAsia" w:ascii="黑体" w:hAnsi="黑体" w:eastAsia="黑体" w:cs="黑体"/>
        </w:rPr>
        <w:t>3.3 状态覆盖度量与</w:t>
      </w:r>
      <w:r>
        <w:rPr>
          <w:rFonts w:hint="eastAsia" w:ascii="黑体" w:hAnsi="黑体" w:eastAsia="黑体" w:cs="黑体"/>
          <w:lang w:val="en-US" w:eastAsia="zh-CN"/>
        </w:rPr>
        <w:t>覆盖引导选样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m:rP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m:rPr/>
          <w:rPr>
            <w:rFonts w:ascii="Cambria Math" w:hAnsi="Cambria Math"/>
            <w:sz w:val="22"/>
          </w:rPr>
          <m:t>r</m:t>
        </m:r>
      </m:oMath>
      <w:r>
        <w:rPr>
          <w:rFonts w:ascii="Times New Roman" w:hAnsi="Times New Roman" w:eastAsia="宋体"/>
          <w:b w:val="0"/>
          <w:sz w:val="22"/>
        </w:rPr>
        <w:t>的</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。对于已选目标索引集合</w:t>
      </w:r>
      <m:oMath>
        <m:r>
          <m:rPr/>
          <w:rPr>
            <w:rFonts w:ascii="Cambria Math" w:hAnsi="Cambria Math"/>
            <w:sz w:val="22"/>
          </w:rPr>
          <m:t>S</m:t>
        </m:r>
      </m:oMath>
      <w:r>
        <w:rPr>
          <w:rFonts w:ascii="Times New Roman" w:hAnsi="Times New Roman" w:eastAsia="宋体"/>
          <w:b w:val="0"/>
          <w:sz w:val="22"/>
        </w:rPr>
        <w:t>，状态</w:t>
      </w:r>
      <m:oMath>
        <m:r>
          <m:rP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S</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d>
          <m:dPr>
            <m:begChr m:val="{"/>
            <m:sepChr m:val=""/>
            <m:endChr m:val="}"/>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qArrPr/>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r>
                    <m:rPr>
                      <m:sty m:val="p"/>
                    </m:rPr>
                    <w:rPr>
                      <w:rFonts w:ascii="Cambria Math" w:hAnsi="Cambria Math"/>
                      <w:sz w:val="22"/>
                    </w:rPr>
                    <m:t>|</m:t>
                  </m:r>
                </m:den>
              </m:f>
              <m:nary>
                <m:naryPr>
                  <m:chr m:val="∑"/>
                  <m:limLoc m:val="undOvr"/>
                  <m:supHide m:val="1"/>
                </m:naryPr>
                <m:sub>
                  <m:r>
                    <m:rPr/>
                    <w:rPr>
                      <w:rFonts w:ascii="Cambria Math" w:hAnsi="Cambria Math"/>
                      <w:sz w:val="22"/>
                    </w:rPr>
                    <m:t>s</m:t>
                  </m:r>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sub>
                <m:sup>
                  <m:r>
                    <m:rPr/>
                    <w:rPr>
                      <w:rFonts w:ascii="Cambria Math" w:hAnsi="Cambria Math"/>
                      <w:sz w:val="22"/>
                    </w:rPr>
                    <m:t>​</m:t>
                  </m:r>
                </m:sup>
                <m:e>
                  <m:r>
                    <m:rPr>
                      <m:sty m:val="p"/>
                    </m:rPr>
                    <w:rPr>
                      <w:rFonts w:ascii="Cambria Math" w:hAnsi="Cambria Math"/>
                      <w:sz w:val="22"/>
                    </w:rPr>
                    <m:t>min</m:t>
                  </m:r>
                </m:e>
              </m:nary>
              <m:d>
                <m:dPr>
                  <m:sepChr m:val=""/>
                </m:dPr>
                <m:e>
                  <m:f>
                    <m:fPr/>
                    <m:num>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um>
                    <m:den>
                      <m:r>
                        <m:rPr/>
                        <w:rPr>
                          <w:rFonts w:ascii="Cambria Math" w:hAnsi="Cambria Math"/>
                          <w:sz w:val="22"/>
                        </w:rPr>
                        <m:t>τ</m:t>
                      </m:r>
                    </m:den>
                  </m:f>
                  <m:r>
                    <m:rPr>
                      <m:sty m:val="p"/>
                    </m:rPr>
                    <w:rPr>
                      <w:rFonts w:ascii="Cambria Math" w:hAnsi="Cambria Math"/>
                      <w:sz w:val="22"/>
                    </w:rPr>
                    <m:t>,</m:t>
                  </m:r>
                  <m:r>
                    <m:rPr/>
                    <w:rPr>
                      <w:rFonts w:ascii="Cambria Math" w:hAnsi="Cambria Math"/>
                      <w:sz w:val="22"/>
                    </w:rPr>
                    <m:t>1</m:t>
                  </m:r>
                </m:e>
              </m:d>
              <m:r>
                <m:rPr>
                  <m:sty m:val="p"/>
                </m:rPr>
                <w:rPr>
                  <w:rFonts w:ascii="Cambria Math" w:hAnsi="Cambria Math"/>
                  <w:sz w:val="22"/>
                </w:rPr>
                <m:t>,</m:t>
              </m:r>
            </m:e>
            <m:e>
              <m:sSup>
                <m:sSupPr/>
                <m:e>
                  <m:r>
                    <m:rPr/>
                    <w:rPr>
                      <w:rFonts w:ascii="Cambria Math" w:hAnsi="Cambria Math"/>
                      <w:sz w:val="22"/>
                    </w:rPr>
                    <m:t>C</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K</m:t>
                  </m:r>
                </m:den>
              </m:f>
              <m:nary>
                <m:naryPr>
                  <m:chr m:val="∑"/>
                  <m:limLoc m:val="undOvr"/>
                </m:naryPr>
                <m:sub>
                  <m:r>
                    <m:rPr/>
                    <w:rPr>
                      <w:rFonts w:ascii="Cambria Math" w:hAnsi="Cambria Math"/>
                      <w:sz w:val="22"/>
                    </w:rPr>
                    <m:t>c</m:t>
                  </m:r>
                  <m:r>
                    <m:rPr>
                      <m:sty m:val="p"/>
                    </m:rPr>
                    <w:rPr>
                      <w:rFonts w:ascii="Cambria Math" w:hAnsi="Cambria Math"/>
                      <w:sz w:val="22"/>
                    </w:rPr>
                    <m:t>=</m:t>
                  </m:r>
                  <m:r>
                    <m:rPr/>
                    <w:rPr>
                      <w:rFonts w:ascii="Cambria Math" w:hAnsi="Cambria Math"/>
                      <w:sz w:val="22"/>
                    </w:rPr>
                    <m:t>1</m:t>
                  </m:r>
                </m:sub>
                <m:sup>
                  <m:r>
                    <m:rPr/>
                    <w:rPr>
                      <w:rFonts w:ascii="Cambria Math" w:hAnsi="Cambria Math"/>
                      <w:sz w:val="22"/>
                    </w:rPr>
                    <m:t>K</m:t>
                  </m:r>
                </m:sup>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e>
          </m:eqArr>
        </m:oMath>
      </m:oMathPara>
    </w:p>
    <w:p w14:paraId="71668F71">
      <w:pPr>
        <w:keepLines/>
        <w:spacing w:after="100" w:line="312" w:lineRule="auto"/>
        <w:ind w:firstLine="425"/>
      </w:pPr>
      <m:oMath>
        <m:r>
          <m:rPr/>
          <w:rPr>
            <w:rFonts w:ascii="Cambria Math" w:hAnsi="Cambria Math"/>
            <w:sz w:val="22"/>
          </w:rPr>
          <m:t>τ</m:t>
        </m:r>
      </m:oMath>
      <w:r>
        <w:rPr>
          <w:rFonts w:ascii="Times New Roman" w:hAnsi="Times New Roman" w:eastAsia="宋体"/>
          <w:b w:val="0"/>
          <w:sz w:val="22"/>
        </w:rPr>
        <w:t>为状态支持的饱和阈值，当前实现预先固定为20，并在各候选池中沿用。每个状态的覆盖贡献随支持数增加，达到20个目标后不再增长，以限制高频状态重复出现对覆盖值的持续贡献。该取值为统一的操作性参数；现有分析未系统改变该阈值，尚不能据此确认其最优性或不同取值下的覆盖排序稳定性。同一候选池内比较不同方法和选样规模时，使用相同的</w:t>
      </w:r>
      <m:oMath>
        <m:r>
          <m:rPr/>
          <w:rPr>
            <w:rFonts w:ascii="Cambria Math" w:hAnsi="Cambria Math"/>
            <w:sz w:val="22"/>
          </w:rPr>
          <m:t>τ</m:t>
        </m:r>
      </m:oMath>
      <w:r>
        <w:rPr>
          <w:rFonts w:ascii="Times New Roman" w:hAnsi="Times New Roman" w:eastAsia="宋体"/>
          <w:b w:val="0"/>
          <w:sz w:val="22"/>
        </w:rPr>
        <w:t>与状态集合。改变</w:t>
      </w:r>
      <m:oMath>
        <m:r>
          <m:rPr/>
          <w:rPr>
            <w:rFonts w:ascii="Cambria Math" w:hAnsi="Cambria Math"/>
            <w:sz w:val="22"/>
          </w:rPr>
          <m:t>τ</m:t>
        </m:r>
      </m:oMath>
      <w:r>
        <w:rPr>
          <w:rFonts w:ascii="Times New Roman" w:hAnsi="Times New Roman" w:eastAsia="宋体"/>
          <w:b w:val="0"/>
          <w:sz w:val="22"/>
        </w:rPr>
        <w:t>将同时影响覆盖值及贪心选样中的饱和条件，相关比较需明确采用的阈值。</w:t>
      </w:r>
    </w:p>
    <w:p w14:paraId="637B49EB">
      <w:pPr>
        <w:keepLines/>
        <w:spacing w:after="100" w:line="312" w:lineRule="auto"/>
        <w:ind w:firstLine="425"/>
      </w:pPr>
      <w:r>
        <w:rPr>
          <w:rFonts w:ascii="Times New Roman" w:hAnsi="Times New Roman" w:eastAsia="宋体"/>
          <w:b w:val="0"/>
          <w:sz w:val="22"/>
        </w:rPr>
        <w:t>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m:rPr/>
          <w:rPr>
            <w:rFonts w:ascii="Cambria Math" w:hAnsi="Cambria Math"/>
            <w:sz w:val="22"/>
          </w:rPr>
          <m:t>c</m:t>
        </m:r>
      </m:oMath>
      <w:r>
        <w:rPr>
          <w:rFonts w:ascii="Times New Roman" w:hAnsi="Times New Roman" w:eastAsia="宋体"/>
          <w:b w:val="0"/>
          <w:sz w:val="22"/>
        </w:rPr>
        <w:t>内计算候选目标</w:t>
      </w:r>
      <m:oMath>
        <m:r>
          <m:rPr/>
          <w:rPr>
            <w:rFonts w:ascii="Cambria Math" w:hAnsi="Cambria Math"/>
            <w:sz w:val="22"/>
          </w:rPr>
          <m:t>i</m:t>
        </m:r>
      </m:oMath>
      <w:r>
        <w:rPr>
          <w:rFonts w:ascii="Times New Roman" w:hAnsi="Times New Roman" w:eastAsia="宋体"/>
          <w:b w:val="0"/>
          <w:sz w:val="22"/>
        </w:rPr>
        <w:t>相对于当前集合</w:t>
      </w:r>
      <m:oMath>
        <m:r>
          <m:rP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S</m:t>
              </m:r>
            </m:e>
          </m:d>
          <m:r>
            <m:rPr>
              <m:sty m:val="p"/>
            </m:rPr>
            <w:rPr>
              <w:rFonts w:ascii="Cambria Math" w:hAnsi="Cambria Math"/>
              <w:sz w:val="22"/>
            </w:rPr>
            <m:t>=</m:t>
          </m:r>
          <m:nary>
            <m:naryPr>
              <m:chr m:val="∑"/>
              <m:limLoc m:val="undOvr"/>
              <m:supHide m:val="1"/>
            </m:naryPr>
            <m:sub>
              <m:m>
                <m:mPr>
                  <m:mcs>
                    <m:mc>
                      <m:mcPr>
                        <m:count m:val="1"/>
                        <m:mcJc m:val="center"/>
                      </m:mcPr>
                    </m:mc>
                  </m:mcs>
                  <m:plcHide m:val="1"/>
                </m:mPr>
                <m:m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mr>
                <m:m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)&lt;</m:t>
                    </m:r>
                    <m:r>
                      <m:rPr/>
                      <w:rPr>
                        <w:rFonts w:ascii="Cambria Math" w:hAnsi="Cambria Math"/>
                        <w:sz w:val="22"/>
                      </w:rPr>
                      <m:t>τ</m:t>
                    </m:r>
                  </m:e>
                </m:mr>
              </m:m>
            </m:sub>
            <m:sup>
              <m:r>
                <m:rPr/>
                <w:rPr>
                  <w:rFonts w:ascii="Cambria Math" w:hAnsi="Cambria Math"/>
                  <w:sz w:val="22"/>
                </w:rPr>
                <m:t>​</m:t>
              </m:r>
            </m:sup>
            <m:e>
              <m:d>
                <m:dPr>
                  <m:begChr m:val="["/>
                  <m:sepChr m:val=""/>
                  <m:endChr m:val="]"/>
                </m:dPr>
                <m:e>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724A7D86">
      <w:pPr>
        <w:keepLines/>
        <w:spacing w:after="100" w:line="312" w:lineRule="auto"/>
        <w:ind w:firstLine="425"/>
      </w:pPr>
      <w:r>
        <w:rPr>
          <w:rFonts w:ascii="Times New Roman" w:hAnsi="Times New Roman" w:eastAsia="宋体"/>
          <w:b w:val="0"/>
          <w:sz w:val="22"/>
        </w:rPr>
        <w:t>以一个简化示例说明配额约束。假设某类别有100个候选目标，Q1—Q5各包含20个目标，每层计划选择6个。某层内三个风险格分别包含9、7、4个候选，按比例分配得到2.7、2.1、1.2个名额。采用最大余数法，先取整数部分，再将剩余名额分配给余数最大的风险格，最终配额为3、2、1。每轮从当前层所有尚有剩余格配额的候选中比较覆盖增益，选择增益最大的目标；某格配额用满后，该格剩余目标不再参与选择。完成当前层的6个名额后进入下一层，状态支持数继续累计。该例仅说明算法约束，不代表实际实验规模。</w:t>
      </w:r>
    </w:p>
    <w:p w14:paraId="6304844D">
      <w:pPr>
        <w:keepLines/>
        <w:spacing w:after="100" w:line="312" w:lineRule="auto"/>
        <w:ind w:firstLine="425"/>
      </w:pPr>
      <w:r>
        <w:rPr>
          <w:rFonts w:ascii="Times New Roman" w:hAnsi="Times New Roman" w:eastAsia="宋体"/>
          <w:b w:val="0"/>
          <w:sz w:val="22"/>
        </w:rPr>
        <w:t>在共同配额选样中，风险层和风险格配额限定候选目标的可选范围，覆盖增益决定该范围内的选择优先级。因此，该过程是风险配额约束下的条件贪心选择，其覆盖结果描述给定风险构成下所选集合的状态证据分布。风险与覆盖承担不同功能，并不意味着二者在统计上独立。覆盖指标本身仍可用于评价其他目标集合，并不限于该选样过程。</w:t>
      </w:r>
    </w:p>
    <w:p w14:paraId="3B718656">
      <w:pPr>
        <w:keepNext/>
        <w:keepLines/>
        <w:spacing w:after="100" w:line="312" w:lineRule="auto"/>
        <w:rPr>
          <w:rFonts w:ascii="Times New Roman" w:hAnsi="Times New Roman" w:eastAsia="宋体"/>
          <w:b w:val="0"/>
          <w:sz w:val="18"/>
        </w:rPr>
      </w:pPr>
      <w:r>
        <w:rPr>
          <w:rFonts w:ascii="Times New Roman" w:hAnsi="Times New Roman" w:eastAsia="宋体"/>
          <w:b w:val="0"/>
          <w:sz w:val="18"/>
        </w:rPr>
        <w:t>算法1给出主覆盖选样的执行过程。设单一来源、单一类别的候选数为</w:t>
      </w:r>
      <m:oMath>
        <m:r>
          <m:rPr/>
          <w:rPr>
            <w:rFonts w:ascii="Cambria Math" w:hAnsi="Cambria Math"/>
            <w:sz w:val="22"/>
          </w:rPr>
          <m:t>n</m:t>
        </m:r>
      </m:oMath>
      <w:r>
        <w:rPr>
          <w:rFonts w:ascii="Times New Roman" w:hAnsi="Times New Roman" w:eastAsia="宋体"/>
          <w:b w:val="0"/>
          <w:sz w:val="18"/>
        </w:rPr>
        <w:t>，状态数为</w:t>
      </w:r>
      <m:oMath>
        <m:r>
          <m:rPr/>
          <w:rPr>
            <w:rFonts w:ascii="Cambria Math" w:hAnsi="Cambria Math"/>
            <w:sz w:val="22"/>
          </w:rPr>
          <m:t>v</m:t>
        </m:r>
      </m:oMath>
      <w:r>
        <w:rPr>
          <w:rFonts w:ascii="Times New Roman" w:hAnsi="Times New Roman" w:eastAsia="宋体"/>
          <w:b w:val="0"/>
          <w:sz w:val="18"/>
        </w:rPr>
        <w:t>，选出目标数为</w:t>
      </w:r>
      <m:oMath>
        <m:r>
          <m:rP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tnv</m:t>
        </m:r>
        <m:r>
          <m:rPr>
            <m:sty m:val="p"/>
          </m:rPr>
          <w:rPr>
            <w:rFonts w:ascii="Cambria Math" w:hAnsi="Cambria Math"/>
            <w:sz w:val="22"/>
          </w:rPr>
          <m:t>)</m:t>
        </m:r>
      </m:oMath>
      <w:r>
        <w:rPr>
          <w:rFonts w:ascii="Times New Roman" w:hAnsi="Times New Roman" w:eastAsia="宋体"/>
          <w:b w:val="0"/>
          <w:sz w:val="18"/>
        </w:rPr>
        <w:t>；风险排序另需</w:t>
      </w:r>
      <m:oMath>
        <m:r>
          <m:rPr/>
          <w:rPr>
            <w:rFonts w:ascii="Cambria Math" w:hAnsi="Cambria Math"/>
            <w:sz w:val="22"/>
          </w:rPr>
          <m:t>O</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log</m:t>
        </m:r>
        <m:r>
          <m:rP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nv</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pBdr>
          <w:top w:val="single" w:color="auto" w:sz="4" w:space="0"/>
        </w:pBdr>
        <w:spacing w:after="100" w:line="312" w:lineRule="auto"/>
      </w:pPr>
      <w:bookmarkStart w:id="0" w:name="_GoBack"/>
      <w:bookmarkEnd w:id="0"/>
      <w:r>
        <w:rPr>
          <w:rFonts w:ascii="Times New Roman" w:hAnsi="Times New Roman" w:eastAsia="宋体"/>
          <w:b w:val="0"/>
          <w:sz w:val="18"/>
        </w:rPr>
        <w:t>算法1　共同风险配额约束下的覆盖引导贪心选择。</w:t>
      </w:r>
    </w:p>
    <w:p w14:paraId="34C6BFBD">
      <w:pPr>
        <w:keepNext/>
        <w:keepLines/>
        <w:spacing w:after="40" w:line="276" w:lineRule="auto"/>
        <w:ind w:left="0" w:firstLine="0"/>
      </w:pPr>
      <w:r>
        <w:rPr>
          <w:rFonts w:ascii="Times New Roman" w:hAnsi="Times New Roman" w:eastAsia="宋体"/>
          <w:b w:val="0"/>
          <w:sz w:val="20"/>
        </w:rPr>
        <w:t>输入：指定来源</w:t>
      </w:r>
      <m:oMath>
        <m:r>
          <m:rPr/>
          <w:rPr>
            <w:rFonts w:ascii="Cambria Math" w:hAnsi="Cambria Math"/>
            <w:sz w:val="22"/>
          </w:rPr>
          <m:t>r</m:t>
        </m:r>
      </m:oMath>
      <w:r>
        <w:rPr>
          <w:rFonts w:ascii="Times New Roman" w:hAnsi="Times New Roman" w:eastAsia="宋体"/>
          <w:b w:val="0"/>
          <w:sz w:val="20"/>
        </w:rPr>
        <w:t>、类别</w:t>
      </w:r>
      <m:oMath>
        <m:r>
          <m:rPr/>
          <w:rPr>
            <w:rFonts w:ascii="Cambria Math" w:hAnsi="Cambria Math"/>
            <w:sz w:val="22"/>
          </w:rPr>
          <m:t>c</m:t>
        </m:r>
      </m:oMath>
      <w:r>
        <w:rPr>
          <w:rFonts w:ascii="Times New Roman" w:hAnsi="Times New Roman" w:eastAsia="宋体"/>
          <w:b w:val="0"/>
          <w:sz w:val="20"/>
        </w:rPr>
        <w:t>的状态矩阵、风险层、风险格及格内配额。</w:t>
      </w:r>
    </w:p>
    <w:p w14:paraId="46FE741D">
      <w:pPr>
        <w:keepNext/>
        <w:keepLines/>
        <w:spacing w:after="40" w:line="276" w:lineRule="auto"/>
        <w:ind w:left="0" w:firstLine="0"/>
        <w:rPr>
          <w:rFonts w:ascii="Times New Roman" w:hAnsi="Times New Roman" w:eastAsia="宋体"/>
          <w:b w:val="0"/>
          <w:sz w:val="20"/>
        </w:rPr>
      </w:pPr>
      <w:r>
        <w:rPr>
          <w:rFonts w:ascii="Times New Roman" w:hAnsi="Times New Roman" w:eastAsia="宋体"/>
          <w:b w:val="0"/>
          <w:sz w:val="20"/>
        </w:rPr>
        <w:t>输出：选样顺序及层配额完成边界处的预算前缀集合。</w:t>
      </w:r>
    </w:p>
    <w:p w14:paraId="1DB1A0A0">
      <w:pPr>
        <w:keepNext/>
        <w:keepLines/>
        <w:pBdr>
          <w:top w:val="none" w:color="auto" w:sz="0" w:space="0"/>
        </w:pBdr>
        <w:spacing w:after="40" w:line="276" w:lineRule="auto"/>
      </w:pPr>
      <w:r>
        <w:rPr>
          <w:rFonts w:ascii="Times New Roman" w:hAnsi="Times New Roman" w:eastAsia="宋体"/>
          <w:b w:val="0"/>
          <w:sz w:val="20"/>
        </w:rPr>
        <w:t>1  初始化：</w:t>
      </w:r>
      <m:oMath>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，选样顺序为空，各状态支持数为零。</w:t>
      </w:r>
    </w:p>
    <w:p w14:paraId="32E9C8CD">
      <w:pPr>
        <w:keepNext/>
        <w:keepLines/>
        <w:spacing w:after="40" w:line="276" w:lineRule="auto"/>
        <w:ind w:left="68" w:firstLine="0"/>
      </w:pPr>
      <w:r>
        <w:rPr>
          <w:rFonts w:ascii="Times New Roman" w:hAnsi="Times New Roman" w:eastAsia="宋体"/>
          <w:b w:val="0"/>
          <w:sz w:val="20"/>
        </w:rPr>
        <w:t xml:space="preserve">2  for </w:t>
      </w:r>
      <m:oMath>
        <m:r>
          <m:rPr/>
          <w:rPr>
            <w:rFonts w:ascii="Cambria Math" w:hAnsi="Cambria Math"/>
            <w:sz w:val="22"/>
          </w:rPr>
          <m:t>ℓ</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5</m:t>
        </m:r>
      </m:oMath>
      <w:r>
        <w:rPr>
          <w:rFonts w:ascii="Times New Roman" w:hAnsi="Times New Roman" w:eastAsia="宋体"/>
          <w:b w:val="0"/>
          <w:sz w:val="20"/>
        </w:rPr>
        <w:t xml:space="preserve"> do</w:t>
      </w:r>
    </w:p>
    <w:p w14:paraId="6590506B">
      <w:pPr>
        <w:keepNext/>
        <w:keepLines/>
        <w:spacing w:after="40" w:line="276" w:lineRule="auto"/>
        <w:ind w:left="340" w:firstLine="0"/>
      </w:pPr>
      <w:r>
        <w:rPr>
          <w:rFonts w:ascii="Times New Roman" w:hAnsi="Times New Roman" w:eastAsia="宋体"/>
          <w:b w:val="0"/>
          <w:sz w:val="20"/>
        </w:rPr>
        <w:t>3      将当前风险层内各格的已选用量置零。</w:t>
      </w:r>
    </w:p>
    <w:p w14:paraId="52E878D6">
      <w:pPr>
        <w:keepNext/>
        <w:keepLines/>
        <w:spacing w:after="40" w:line="276" w:lineRule="auto"/>
        <w:ind w:left="340" w:firstLine="0"/>
      </w:pPr>
      <w:r>
        <w:rPr>
          <w:rFonts w:ascii="Times New Roman" w:hAnsi="Times New Roman" w:eastAsia="宋体"/>
          <w:b w:val="0"/>
          <w:sz w:val="20"/>
        </w:rPr>
        <w:t>4      while 当前风险层的配额尚未完成 do</w:t>
      </w:r>
    </w:p>
    <w:p w14:paraId="0D9DA63C">
      <w:pPr>
        <w:keepNext/>
        <w:keepLines/>
        <w:spacing w:after="40" w:line="276" w:lineRule="auto"/>
        <w:ind w:left="612" w:firstLine="0"/>
      </w:pPr>
      <w:r>
        <w:rPr>
          <w:rFonts w:ascii="Times New Roman" w:hAnsi="Times New Roman" w:eastAsia="宋体"/>
          <w:b w:val="0"/>
          <w:sz w:val="20"/>
        </w:rPr>
        <w:t>5          构造可行集合：当前层内未选中且所在格仍有剩余配额的目标。</w:t>
      </w:r>
    </w:p>
    <w:p w14:paraId="19448E97">
      <w:pPr>
        <w:keepNext/>
        <w:keepLines/>
        <w:spacing w:after="40" w:line="276" w:lineRule="auto"/>
        <w:ind w:left="612" w:firstLine="0"/>
      </w:pPr>
      <w:r>
        <w:rPr>
          <w:rFonts w:ascii="Times New Roman" w:hAnsi="Times New Roman" w:eastAsia="宋体"/>
          <w:b w:val="0"/>
          <w:sz w:val="20"/>
        </w:rPr>
        <w:t>6          选择</w:t>
      </w:r>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i</m:t>
        </m:r>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14:paraId="25EF366F">
      <w:pPr>
        <w:keepNext/>
        <w:keepLines/>
        <w:spacing w:after="40" w:line="276" w:lineRule="auto"/>
        <w:ind w:left="612" w:firstLine="0"/>
      </w:pPr>
      <w:r>
        <w:rPr>
          <w:rFonts w:ascii="Times New Roman" w:hAnsi="Times New Roman" w:eastAsia="宋体"/>
          <w:b w:val="0"/>
          <w:sz w:val="20"/>
        </w:rPr>
        <w:t>7          将目标加入</w:t>
      </w:r>
      <m:oMath>
        <m:r>
          <m:rPr/>
          <w:rPr>
            <w:rFonts w:ascii="Cambria Math" w:hAnsi="Cambria Math"/>
            <w:sz w:val="22"/>
          </w:rPr>
          <m:t>S</m:t>
        </m:r>
      </m:oMath>
      <w:r>
        <w:rPr>
          <w:rFonts w:ascii="Times New Roman" w:hAnsi="Times New Roman" w:eastAsia="宋体"/>
          <w:b w:val="0"/>
          <w:sz w:val="20"/>
        </w:rPr>
        <w:t>并追加到选样顺序，更新状态支持数与格内用量。</w:t>
      </w:r>
    </w:p>
    <w:p w14:paraId="69DD0C4A">
      <w:pPr>
        <w:keepNext/>
        <w:keepLines/>
        <w:spacing w:after="40" w:line="276" w:lineRule="auto"/>
        <w:ind w:left="340" w:firstLine="0"/>
      </w:pPr>
      <w:r>
        <w:rPr>
          <w:rFonts w:ascii="Times New Roman" w:hAnsi="Times New Roman" w:eastAsia="宋体"/>
          <w:b w:val="0"/>
          <w:sz w:val="20"/>
        </w:rPr>
        <w:t>8      end while</w:t>
      </w:r>
    </w:p>
    <w:p w14:paraId="703466E5">
      <w:pPr>
        <w:keepNext/>
        <w:keepLines/>
        <w:spacing w:after="40" w:line="276" w:lineRule="auto"/>
        <w:ind w:left="340" w:firstLine="0"/>
      </w:pPr>
      <w:r>
        <w:rPr>
          <w:rFonts w:ascii="Times New Roman" w:hAnsi="Times New Roman" w:eastAsia="宋体"/>
          <w:b w:val="0"/>
          <w:sz w:val="20"/>
        </w:rPr>
        <w:t>9      核对当前层的实际风险格频数是否等于预定配额。</w:t>
      </w:r>
    </w:p>
    <w:p w14:paraId="2032FF57">
      <w:pPr>
        <w:keepNext/>
        <w:keepLines/>
        <w:spacing w:after="40" w:line="276" w:lineRule="auto"/>
        <w:ind w:left="0" w:firstLine="0"/>
      </w:pPr>
      <w:r>
        <w:rPr>
          <w:rFonts w:ascii="Times New Roman" w:hAnsi="Times New Roman" w:eastAsia="宋体"/>
          <w:b w:val="0"/>
          <w:sz w:val="20"/>
        </w:rPr>
        <w:t>10 end for</w:t>
      </w:r>
    </w:p>
    <w:p w14:paraId="38985741">
      <w:pPr>
        <w:keepNext w:val="0"/>
        <w:keepLines/>
        <w:pBdr>
          <w:bottom w:val="single" w:color="auto" w:sz="4" w:space="0"/>
        </w:pBdr>
        <w:spacing w:after="40" w:line="276" w:lineRule="auto"/>
        <w:ind w:left="0" w:firstLine="0"/>
      </w:pPr>
      <w:r>
        <w:rPr>
          <w:rFonts w:ascii="Times New Roman" w:hAnsi="Times New Roman" w:eastAsia="宋体"/>
          <w:b w:val="0"/>
          <w:sz w:val="20"/>
        </w:rPr>
        <w:t>11 return 选样顺序及各预算前缀集合。</w:t>
      </w:r>
    </w:p>
    <w:p w14:paraId="6872B7B4">
      <w:pPr>
        <w:keepNext w:val="0"/>
        <w:keepLines/>
        <w:spacing w:after="100" w:line="312" w:lineRule="auto"/>
        <w:ind w:firstLine="425"/>
        <w:rPr>
          <w:rFonts w:ascii="Times New Roman" w:hAnsi="Times New Roman" w:eastAsia="宋体"/>
          <w:b w:val="0"/>
          <w:sz w:val="22"/>
        </w:rPr>
      </w:pPr>
    </w:p>
    <w:p w14:paraId="09526AA7">
      <w:pPr>
        <w:keepNext w:val="0"/>
        <w:keepLines/>
        <w:spacing w:after="100" w:line="312" w:lineRule="auto"/>
        <w:ind w:firstLine="425"/>
      </w:pPr>
      <w:r>
        <w:rPr>
          <w:rFonts w:ascii="Times New Roman" w:hAnsi="Times New Roman" w:eastAsia="宋体"/>
          <w:b w:val="0"/>
          <w:sz w:val="22"/>
        </w:rPr>
        <w:t>状态计数在风险层循环外初始化，并在各层之间累计。</w:t>
      </w: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default" w:ascii="黑体" w:hAnsi="黑体" w:eastAsia="黑体" w:cs="黑体"/>
          <w:lang w:val="en-US" w:eastAsia="zh-CN"/>
        </w:rPr>
      </w:pPr>
      <w:r>
        <w:rPr>
          <w:rFonts w:hint="eastAsia" w:ascii="黑体" w:hAnsi="黑体" w:eastAsia="黑体" w:cs="黑体"/>
        </w:rPr>
        <w:t xml:space="preserve">3.4 </w:t>
      </w:r>
      <w:r>
        <w:rPr>
          <w:rFonts w:hint="eastAsia" w:ascii="黑体" w:hAnsi="黑体" w:eastAsia="黑体" w:cs="黑体"/>
          <w:lang w:val="en-US" w:eastAsia="zh-CN"/>
        </w:rPr>
        <w:t>视觉风险分层与测试组织</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pPr>
        <w:keepNext/>
        <w:keepLines/>
        <w:spacing w:after="100" w:line="312" w:lineRule="auto"/>
        <w:ind w:firstLine="425"/>
      </w:pPr>
      <w:r>
        <w:t>风险评分围绕目标在原始场景中的相对尺度、整体可见程度、遮挡、截断和观察方向组织测试条件。前述15项分析字段提供完整的状态描述，这五项仅构成当前实现采用的风险组织子集。模糊、照明、背景等字段仍参与覆盖分析和条件评价。五项选择及其分值是预先规定的启发式规则，不表示其已穷尽分类困难的来源；当前评分也不根据分类器错误或置信度反向确定。</w:t>
      </w:r>
    </w:p>
    <w:p>
      <w:pPr>
        <w:keepNext/>
        <w:keepLines/>
        <w:spacing w:after="100" w:line="312" w:lineRule="auto"/>
        <w:ind w:firstLine="425"/>
      </w:pPr>
      <w:r>
        <w:t>（1）目标尺度。该维度描述目标在原始场景中占据的相对面积。令aᵢ为官方目标框面积与原始图像面积之比，由目标框宽高和原图宽高直接计算。按aᵢ≥0.10、0.03≤aᵢ&lt;0.10、0.01≤aᵢ&lt;0.03、aᵢ&lt;0.01分为large、medium、small、tiny，对应风险分值0、1、2、3。该字段保留原图中的相对尺度；目标裁剪图被统一缩放后具有相同输入尺寸，不改变此尺度定义。相对面积也不能单独代表目标的绝对像素数或图像清晰度。</w:t>
      </w:r>
    </w:p>
    <w:p>
      <w:pPr>
        <w:keepNext/>
        <w:keepLines/>
        <w:spacing w:after="100" w:line="312" w:lineRule="auto"/>
        <w:ind w:firstLine="425"/>
      </w:pPr>
      <w:r>
        <w:t>（2）身体可见性。该维度描述目标整体有多少部分在当前图像中可见，由VLM判断。full、most、partial、minimal分别表示完整、大部分、部分和仅少量可见；车类的body_visibility指整辆目标车辆的可见程度。full与most在状态覆盖中保留为两个状态，在风险评分中均取0；partial取2，minimal取3。身体可见性记录整体可见结果，不直接判断缺失由遮挡还是截断造成。</w:t>
      </w:r>
    </w:p>
    <w:p>
      <w:pPr>
        <w:keepNext/>
        <w:keepLines/>
        <w:spacing w:after="100" w:line="312" w:lineRule="auto"/>
        <w:ind w:firstLine="425"/>
      </w:pPr>
      <w:r>
        <w:t>（3）遮挡程度。该维度描述目标被其他可见物体挡住的程度，由VLM判断。none、light、moderate、heavy分别对应无、轻度、中度和重度遮挡，风险分值依次为0、1、2、3。例如，栏杆挡住部分身体属于遮挡。遮挡物类型另由occluder_type描述，可记录人、同类目标、其他物体、植被或结构等；该多值字段参与状态覆盖和条件评价，但其类型不直接加入本风险分数。</w:t>
      </w:r>
    </w:p>
    <w:p>
      <w:pPr>
        <w:keepNext/>
        <w:keepLines/>
        <w:spacing w:after="100" w:line="312" w:lineRule="auto"/>
        <w:ind w:firstLine="425"/>
      </w:pPr>
      <w:r>
        <w:t>（4）截断程度。该维度描述目标因超出图像边界或裁剪边界而未完整呈现的程度，由VLM结合多视图判断。none、light、moderate、heavy分别对应无、轻度、中度和重度截断，风险分值依次为0、0.5、1、2。例如，目标后半身超出画面右边界属于截断。截断与被其他物体挡住分别标注，并允许同一目标同时存在两种情况。</w:t>
      </w:r>
    </w:p>
    <w:p>
      <w:pPr>
        <w:keepNext/>
        <w:keepLines/>
        <w:spacing w:after="100" w:line="312" w:lineRule="auto"/>
        <w:ind w:firstLine="425"/>
      </w:pPr>
      <w:r>
        <w:t>（5）身体朝向。该维度描述目标整体相对于观察视角的方向，由VLM判断。front、left_side、right_side、three_quarter分别表示正向、目标自身左侧、目标自身右侧和斜向，在当前规则中均取0；back表示背向，取1；overhead_or_unusual表示俯视或其他非常规视角，取2。车类front和back分别指车头与车尾朝向镜头。left_side与right_side采用目标自身方位，不能仅依据目标位于画面左侧或右侧判断，不能可靠区分时保留unknown。这些分值表示当前测试组织规则的预设排序，不等同于各朝向的实测错误率。</w:t>
      </w:r>
    </w:p>
    <w:p>
      <w:pPr>
        <w:keepNext/>
        <w:keepLines/>
        <w:spacing w:after="100" w:line="312" w:lineRule="auto"/>
        <w:ind w:firstLine="425"/>
      </w:pPr>
      <w:r>
        <w:t>现有协议采用定性等级描述身体可见性、遮挡程度和截断程度，未设置统一的可见面积、遮挡面积或截断面积比例阈值。上述中文释义用于说明冻结枚举的语义，不能据此补造数值边界或声称等级判断已经过完整语义验证。各等级的评分映射与未知处理如下。</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m:rPr/>
          <w:rPr>
            <w:rFonts w:ascii="Cambria Math" w:hAnsi="Cambria Math"/>
            <w:sz w:val="22"/>
          </w:rPr>
          <m:t>D</m:t>
        </m:r>
      </m:oMath>
      <w:r>
        <w:rPr>
          <w:rFonts w:ascii="Times New Roman" w:hAnsi="Times New Roman" w:eastAsia="宋体"/>
          <w:b w:val="0"/>
          <w:sz w:val="22"/>
        </w:rPr>
        <w:t>，第</w:t>
      </w:r>
      <m:oMath>
        <m:r>
          <m:rPr/>
          <w:rPr>
            <w:rFonts w:ascii="Cambria Math" w:hAnsi="Cambria Math"/>
            <w:sz w:val="22"/>
          </w:rPr>
          <m:t>d</m:t>
        </m:r>
      </m:oMath>
      <w:r>
        <w:rPr>
          <w:rFonts w:ascii="Times New Roman" w:hAnsi="Times New Roman" w:eastAsia="宋体"/>
          <w:b w:val="0"/>
          <w:sz w:val="22"/>
        </w:rPr>
        <w:t>维的映射为</w:t>
      </w:r>
      <m:oMath>
        <m:sSub>
          <m:sSubPr/>
          <m:e>
            <m:r>
              <m:rPr/>
              <w:rPr>
                <w:rFonts w:ascii="Cambria Math" w:hAnsi="Cambria Math"/>
                <w:sz w:val="22"/>
              </w:rPr>
              <m:t>h</m:t>
            </m:r>
          </m:e>
          <m:sub>
            <m:r>
              <m:rP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sSubSupPr/>
            <m:e>
              <m:r>
                <m:rPr/>
                <w:rPr>
                  <w:rFonts w:ascii="Cambria Math" w:hAnsi="Cambria Math"/>
                  <w:sz w:val="22"/>
                </w:rPr>
                <m:t>H</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pHide m:val="1"/>
            </m:naryPr>
            <m:sub>
              <m:r>
                <m:rPr/>
                <w:rPr>
                  <w:rFonts w:ascii="Cambria Math" w:hAnsi="Cambria Math"/>
                  <w:sz w:val="22"/>
                </w:rPr>
                <m:t>d</m:t>
              </m:r>
              <m:r>
                <m:rPr>
                  <m:sty m:val="p"/>
                </m:rPr>
                <w:rPr>
                  <w:rFonts w:ascii="Cambria Math" w:hAnsi="Cambria Math"/>
                  <w:sz w:val="22"/>
                </w:rPr>
                <m:t>∈</m:t>
              </m:r>
              <m:r>
                <m:rPr/>
                <w:rPr>
                  <w:rFonts w:ascii="Cambria Math" w:hAnsi="Cambria Math"/>
                  <w:sz w:val="22"/>
                </w:rPr>
                <m:t>D</m:t>
              </m:r>
            </m:sub>
            <m:sup>
              <m:r>
                <m:rPr/>
                <w:rPr>
                  <w:rFonts w:ascii="Cambria Math" w:hAnsi="Cambria Math"/>
                  <w:sz w:val="22"/>
                </w:rPr>
                <m:t>​</m:t>
              </m:r>
            </m:sup>
            <m:e>
              <m:sSub>
                <m:sSubPr/>
                <m:e>
                  <m:r>
                    <m:rPr/>
                    <w:rPr>
                      <w:rFonts w:ascii="Cambria Math" w:hAnsi="Cambria Math"/>
                      <w:sz w:val="22"/>
                    </w:rPr>
                    <m:t>h</m:t>
                  </m:r>
                </m:e>
                <m:sub>
                  <m:r>
                    <m:rPr/>
                    <w:rPr>
                      <w:rFonts w:ascii="Cambria Math" w:hAnsi="Cambria Math"/>
                      <w:sz w:val="22"/>
                    </w:rPr>
                    <m:t>d</m:t>
                  </m:r>
                </m:sub>
              </m:sSub>
            </m:e>
          </m:nary>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各维度映射如表3所示。尺度分值由</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m:t>
              </m:r>
              <m:r>
                <m:rPr/>
                <w:rPr>
                  <w:rFonts w:ascii="Cambria Math" w:hAnsi="Cambria Math"/>
                  <w:sz w:val="19"/>
                </w:rPr>
                <m:t>0.10</m:t>
              </m:r>
            </m:oMath>
            <w:r>
              <w:rPr>
                <w:rFonts w:ascii="Times New Roman" w:hAnsi="Times New Roman" w:eastAsia="宋体"/>
                <w:b w:val="0"/>
                <w:sz w:val="19"/>
              </w:rPr>
              <w:t>：0；</w:t>
            </w:r>
            <m:oMath>
              <m:r>
                <m:rPr/>
                <w:rPr>
                  <w:rFonts w:ascii="Cambria Math" w:hAnsi="Cambria Math"/>
                  <w:sz w:val="19"/>
                </w:rPr>
                <m:t>0.03</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0.10</m:t>
              </m:r>
            </m:oMath>
            <w:r>
              <w:rPr>
                <w:rFonts w:ascii="Times New Roman" w:hAnsi="Times New Roman" w:eastAsia="宋体"/>
                <w:b w:val="0"/>
                <w:sz w:val="19"/>
              </w:rPr>
              <w:t>：1；</w:t>
            </w:r>
            <m:oMath>
              <m:r>
                <m:rPr/>
                <w:rPr>
                  <w:rFonts w:ascii="Cambria Math" w:hAnsi="Cambria Math"/>
                  <w:sz w:val="19"/>
                </w:rPr>
                <m:t>0.01</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0.03</m:t>
              </m:r>
            </m:oMath>
            <w:r>
              <w:rPr>
                <w:rFonts w:ascii="Times New Roman" w:hAnsi="Times New Roman" w:eastAsia="宋体"/>
                <w:b w:val="0"/>
                <w:sz w:val="19"/>
              </w:rPr>
              <w:t>：2；</w:t>
            </w: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表3　预定义风险映射。五项分值相加后的范围为0—13；</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风险维度为unknown时，将其可能分值范围记为零至该维度最大分值，主分析采用该区间的中点作为操作性替代，并记录未知维数。选择中点是在缺少确定状态时采用范围中心值，不假设各可能状态等概率，也不将其解释为真实难度的期望。</w:t>
      </w:r>
    </w:p>
    <w:p w14:paraId="5A432478">
      <w:pPr>
        <w:keepLines/>
        <w:spacing w:after="100" w:line="312" w:lineRule="auto"/>
        <w:ind w:firstLine="425"/>
      </w:pPr>
      <w:r>
        <w:rPr>
          <w:rFonts w:ascii="Times New Roman" w:hAnsi="Times New Roman" w:eastAsia="宋体"/>
          <w:b w:val="0"/>
          <w:sz w:val="22"/>
        </w:rPr>
        <w:t>该处理不会使综合风险超出预定义的0—13范围。多个未知维度会扩大评分的不确定范围，但不能仅凭未知维数判断评分被系统性高估或低估。敏感性分析分别将未知维度取零值和最大值，重新评分与分层，检查结论对未知处理的依赖。unknown仍不计为覆盖证据。</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m:rPr/>
          <w:rPr>
            <w:rFonts w:ascii="Cambria Math" w:hAnsi="Cambria Math"/>
            <w:sz w:val="22"/>
          </w:rPr>
          <m:t>m</m:t>
        </m:r>
      </m:oMath>
      <w:r>
        <w:rPr>
          <w:rFonts w:ascii="Times New Roman" w:hAnsi="Times New Roman" w:eastAsia="宋体"/>
          <w:b w:val="0"/>
          <w:sz w:val="22"/>
        </w:rPr>
        <w:t>，并调节高风险占比</w:t>
      </w:r>
      <m:oMath>
        <m:r>
          <m:rPr/>
          <w:rPr>
            <w:rFonts w:ascii="Cambria Math" w:hAnsi="Cambria Math"/>
            <w:sz w:val="22"/>
          </w:rPr>
          <m:t>ρ</m:t>
        </m:r>
      </m:oMath>
      <w:r>
        <w:rPr>
          <w:rFonts w:ascii="Times New Roman" w:hAnsi="Times New Roman" w:eastAsia="宋体"/>
          <w:b w:val="0"/>
          <w:sz w:val="22"/>
        </w:rPr>
        <w:t>。主分析从Q5抽取</w:t>
      </w:r>
      <m:oMath>
        <m:r>
          <m:rPr/>
          <w:rPr>
            <w:rFonts w:ascii="Cambria Math" w:hAnsi="Cambria Math"/>
            <w:sz w:val="22"/>
          </w:rPr>
          <m:t>ρm</m:t>
        </m:r>
      </m:oMath>
      <w:r>
        <w:rPr>
          <w:rFonts w:ascii="Times New Roman" w:hAnsi="Times New Roman" w:eastAsia="宋体"/>
          <w:b w:val="0"/>
          <w:sz w:val="22"/>
        </w:rPr>
        <w:t>个目标，从Q1至Q4的并集抽取其余目标：</w:t>
      </w:r>
    </w:p>
    <w:p w14:paraId="6D45959D">
      <w:pPr>
        <w:spacing w:before="80" w:after="140"/>
        <w:jc w:val="center"/>
      </w:pPr>
      <m:oMathPara>
        <m:oMath>
          <m:sSubSup>
            <m:sSubSupPr/>
            <m:e>
              <m:r>
                <m:rPr/>
                <w:rPr>
                  <w:rFonts w:ascii="Cambria Math" w:hAnsi="Cambria Math"/>
                  <w:sz w:val="22"/>
                </w:rPr>
                <m:t>T</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)=Sample</m:t>
          </m:r>
          <m:d>
            <m:dPr>
              <m:sepChr m:val=""/>
            </m:dPr>
            <m:e>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5</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m:t>
              </m:r>
            </m:e>
          </m:d>
          <m:r>
            <m:rPr>
              <m:sty m:val="p"/>
            </m:rPr>
            <w:rPr>
              <w:rFonts w:ascii="Cambria Math" w:hAnsi="Cambria Math"/>
              <w:sz w:val="22"/>
            </w:rPr>
            <m:t>∪Sample</m:t>
          </m:r>
          <m:d>
            <m:dPr>
              <m:sepChr m:val=""/>
            </m:dPr>
            <m:e>
              <m:limLow>
                <m:limLowPr/>
                <m:e>
                  <m:limUpp>
                    <m:limUppPr/>
                    <m:e>
                      <m:r>
                        <m:rPr>
                          <m:sty m:val="p"/>
                        </m:rPr>
                        <w:rPr>
                          <w:rFonts w:ascii="Cambria Math" w:hAnsi="Cambria Math"/>
                          <w:sz w:val="22"/>
                        </w:rPr>
                        <m:t>⋃</m:t>
                      </m:r>
                    </m:e>
                    <m:lim>
                      <m:r>
                        <m:rPr/>
                        <w:rPr>
                          <w:rFonts w:ascii="Cambria Math" w:hAnsi="Cambria Math"/>
                          <w:sz w:val="22"/>
                        </w:rPr>
                        <m:t>4</m:t>
                      </m:r>
                    </m:lim>
                  </m:limUpp>
                </m:e>
                <m:lim>
                  <m:r>
                    <m:rPr/>
                    <w:rPr>
                      <w:rFonts w:ascii="Cambria Math" w:hAnsi="Cambria Math"/>
                      <w:sz w:val="22"/>
                    </w:rPr>
                    <m:t>ℓ</m:t>
                  </m:r>
                  <m:r>
                    <m:rPr>
                      <m:sty m:val="p"/>
                    </m:rPr>
                    <w:rPr>
                      <w:rFonts w:ascii="Cambria Math" w:hAnsi="Cambria Math"/>
                      <w:sz w:val="22"/>
                    </w:rPr>
                    <m:t>=</m:t>
                  </m:r>
                  <m:r>
                    <m:rPr/>
                    <w:rPr>
                      <w:rFonts w:ascii="Cambria Math" w:hAnsi="Cambria Math"/>
                      <w:sz w:val="22"/>
                    </w:rPr>
                    <m:t>1</m:t>
                  </m:r>
                </m:lim>
              </m:limLow>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ℓ</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m:rPr/>
          <w:rPr>
            <w:rFonts w:ascii="Cambria Math" w:hAnsi="Cambria Math"/>
            <w:sz w:val="22"/>
          </w:rPr>
          <m:t>ρ</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m:rPr/>
          <w:rPr>
            <w:rFonts w:ascii="Cambria Math" w:hAnsi="Cambria Math"/>
            <w:sz w:val="22"/>
          </w:rPr>
          <m:t>ρm</m:t>
        </m:r>
      </m:oMath>
      <w:r>
        <w:rPr>
          <w:rFonts w:ascii="Times New Roman" w:hAnsi="Times New Roman" w:eastAsia="宋体"/>
          <w:b w:val="0"/>
          <w:sz w:val="22"/>
        </w:rPr>
        <w:t>与</w:t>
      </w:r>
      <m:oMath>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sSupPr/>
          <m:e>
            <m:r>
              <m:rPr/>
              <w:rPr>
                <w:rFonts w:ascii="Cambria Math" w:hAnsi="Cambria Math"/>
                <w:sz w:val="22"/>
              </w:rPr>
              <m:t>T</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m:rPr/>
          <w:rPr>
            <w:rFonts w:ascii="Cambria Math" w:hAnsi="Cambria Math"/>
            <w:sz w:val="22"/>
          </w:rPr>
          <m:t>Km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风险构成约束使不同方法在规定预算点具有相同的风险格频数，但不保证所有视觉属性或潜在分类难度完全一致。覆盖度量描述状态支持，风险评分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f</m:t>
            </m:r>
          </m:e>
          <m:sub>
            <m:r>
              <m:rPr/>
              <w:rPr>
                <w:rFonts w:ascii="Cambria Math" w:hAnsi="Cambria Math"/>
                <w:sz w:val="22"/>
              </w:rPr>
              <m:t>θ</m:t>
            </m:r>
          </m:sub>
        </m:sSub>
        <m:r>
          <m:rPr>
            <m:sty m:val="p"/>
          </m:rPr>
          <w:rPr>
            <w:rFonts w:ascii="Cambria Math" w:hAnsi="Cambria Math"/>
            <w:sz w:val="22"/>
          </w:rPr>
          <m:t>(</m:t>
        </m:r>
        <m:sSub>
          <m:sSubPr/>
          <m:e>
            <m:r>
              <m:rPr/>
              <w:rPr>
                <w:rFonts w:ascii="Cambria Math" w:hAnsi="Cambria Math"/>
                <w:sz w:val="22"/>
              </w:rPr>
              <m:t>x</m:t>
            </m:r>
          </m:e>
          <m:sub>
            <m:r>
              <m:rP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m:rPr/>
          <w:rPr>
            <w:rFonts w:ascii="Cambria Math" w:hAnsi="Cambria Math"/>
            <w:sz w:val="22"/>
          </w:rPr>
          <m:t>c</m:t>
        </m:r>
      </m:oMath>
      <w:r>
        <w:rPr>
          <w:rFonts w:ascii="Times New Roman" w:hAnsi="Times New Roman" w:eastAsia="宋体"/>
          <w:b w:val="0"/>
          <w:sz w:val="22"/>
        </w:rPr>
        <w:t>内，统计状态</w:t>
      </w:r>
      <m:oMath>
        <m:r>
          <m:rP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f>
            <m:fPr/>
            <m:num>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T</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w:rPr>
                  <w:rFonts w:ascii="Cambria Math" w:hAnsi="Cambria Math"/>
                  <w:sz w:val="22"/>
                </w:rPr>
                <m:t> </m:t>
              </m:r>
              <m:r>
                <m:rPr>
                  <m:sty m:val="b"/>
                </m:rPr>
                <w:rPr>
                  <w:rFonts w:ascii="Cambria Math" w:hAnsi="Cambria Math"/>
                  <w:sz w:val="22"/>
                </w:rPr>
                <m:t>1</m:t>
              </m:r>
              <m:d>
                <m:dPr>
                  <m:begChr m:val="{"/>
                  <m:sepChr m:val=""/>
                  <m:endChr m:val="}"/>
                </m:dPr>
                <m:e>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i</m:t>
                      </m:r>
                    </m:sub>
                  </m:sSub>
                </m:e>
              </m:d>
            </m:num>
            <m:den>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Rec</m:t>
              </m:r>
            </m:e>
            <m:sub>
              <m:r>
                <m:rPr/>
                <w:rPr>
                  <w:rFonts w:ascii="Cambria Math" w:hAnsi="Cambria Math"/>
                  <w:sz w:val="22"/>
                </w:rPr>
                <m:t>c</m:t>
              </m:r>
            </m:sub>
          </m:sSub>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完整候选池”指选样之前用于本轮评价的全部候选目标，而非某个预算下已选出的目标。</w:t>
      </w:r>
    </w:p>
    <w:p w14:paraId="29C2B984">
      <w:pPr>
        <w:keepLines/>
        <w:spacing w:after="100" w:line="312" w:lineRule="auto"/>
        <w:ind w:firstLine="425"/>
      </w:pPr>
      <w:r>
        <w:rPr>
          <w:rFonts w:ascii="Times New Roman" w:hAnsi="Times New Roman" w:eastAsia="宋体"/>
          <w:b w:val="0"/>
          <w:sz w:val="22"/>
        </w:rPr>
        <w:t>表征簇广度为所选错误覆盖的表征簇比例。对给定模型、训练种子和真实类别，先从完整候选池中提取全部分类错误目标，并仅对这些错误目标的表征聚类；正确目标不参与该聚类。所得簇数作为固定分母，表示当前模型在该候选池中错误目标的表征划分，不代表完整输入空间的簇数。比较同一模型和训练种子下的不同选样方法及预算时，沿用相同的错误集合、聚类结果和分母。</w:t>
      </w:r>
    </w:p>
    <w:p w14:paraId="2460389C">
      <w:pPr>
        <w:keepLines/>
        <w:spacing w:after="100" w:line="312" w:lineRule="auto"/>
        <w:ind w:firstLine="425"/>
      </w:pPr>
      <w:r>
        <w:rPr>
          <w:rFonts w:ascii="Times New Roman" w:hAnsi="Times New Roman" w:eastAsia="宋体"/>
          <w:b w:val="0"/>
          <w:sz w:val="22"/>
        </w:rPr>
        <w:t>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6EB34C33">
      <w:pPr>
        <w:keepLines/>
        <w:spacing w:after="100" w:line="312" w:lineRule="auto"/>
        <w:ind w:firstLine="425"/>
      </w:pPr>
      <w:r>
        <w:rPr>
          <w:rFonts w:ascii="Times New Roman" w:hAnsi="Times New Roman" w:eastAsia="宋体"/>
          <w:b w:val="0"/>
          <w:sz w:val="22"/>
        </w:rPr>
        <w:t>即使使用统一表征，不同模型或训练种子的错误集合及聚类结果也可能不同。因此，跨模型分析先计算各模型内选样方法的配对差异，再按架构汇总，不直接以原始簇比例进行跨模型排名。表征簇描述错误样本的表征多样性，不等同于独立缺陷或错误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m:rPr/>
          <w:rPr>
            <w:rFonts w:ascii="Cambria Math" w:hAnsi="Cambria Math"/>
            <w:sz w:val="22"/>
          </w:rPr>
          <m:t>q</m:t>
        </m:r>
      </m:oMath>
      <w:r>
        <w:rPr>
          <w:rFonts w:ascii="Times New Roman" w:hAnsi="Times New Roman" w:eastAsia="宋体"/>
          <w:b w:val="0"/>
          <w:sz w:val="22"/>
        </w:rPr>
        <w:t>。设某方法共有</w:t>
      </w:r>
      <m:oMath>
        <m:r>
          <m:rPr/>
          <w:rPr>
            <w:rFonts w:ascii="Cambria Math" w:hAnsi="Cambria Math"/>
            <w:sz w:val="22"/>
          </w:rPr>
          <m:t>N</m:t>
        </m:r>
      </m:oMath>
      <w:r>
        <w:rPr>
          <w:rFonts w:ascii="Times New Roman" w:hAnsi="Times New Roman" w:eastAsia="宋体"/>
          <w:b w:val="0"/>
          <w:sz w:val="22"/>
        </w:rPr>
        <w:t>个错误，其中一种混淆类型或表征簇出现</w:t>
      </w:r>
      <m:oMath>
        <m:r>
          <m:rPr/>
          <w:rPr>
            <w:rFonts w:ascii="Cambria Math" w:hAnsi="Cambria Math"/>
            <w:sz w:val="22"/>
          </w:rPr>
          <m:t>e</m:t>
        </m:r>
      </m:oMath>
      <w:r>
        <w:rPr>
          <w:rFonts w:ascii="Times New Roman" w:hAnsi="Times New Roman" w:eastAsia="宋体"/>
          <w:b w:val="0"/>
          <w:sz w:val="22"/>
        </w:rPr>
        <w:t>次，则无放回抽取</w:t>
      </w:r>
      <m:oMath>
        <m:r>
          <m:rP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ty m:val="p"/>
              <m:scr m:val="double-struck"/>
            </m:rPr>
            <w:rPr>
              <w:rFonts w:ascii="Cambria Math" w:hAnsi="Cambria Math"/>
              <w:sz w:val="22"/>
            </w:rPr>
            <m:t>E</m:t>
          </m:r>
          <m:d>
            <m:dPr>
              <m:begChr m:val="["/>
              <m:sepChr m:val=""/>
              <m:endChr m:val="]"/>
            </m:dPr>
            <m:e>
              <m:r>
                <m:rPr>
                  <m:sty m:val="b"/>
                </m:rPr>
                <w:rPr>
                  <w:rFonts w:ascii="Cambria Math" w:hAnsi="Cambria Math"/>
                  <w:sz w:val="22"/>
                </w:rPr>
                <m:t>1</m:t>
              </m:r>
              <m:d>
                <m:dPr>
                  <m:begChr m:val="{"/>
                  <m:sepChr m:val=""/>
                  <m:endChr m:val="}"/>
                </m:dPr>
                <m:e>
                  <m:r>
                    <m:rPr>
                      <m:nor/>
                      <m:sty m:val="p"/>
                    </m:rPr>
                    <w:rPr>
                      <w:rFonts w:ascii="Cambria Math" w:hAnsi="Cambria Math"/>
                      <w:b w:val="0"/>
                      <w:i w:val="0"/>
                      <w:sz w:val="22"/>
                    </w:rPr>
                    <m:t>type observed</m:t>
                  </m:r>
                </m:e>
              </m:d>
            </m:e>
          </m:d>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f>
            <m:fPr/>
            <m:num>
              <m:d>
                <m:dPr>
                  <m:sepChr m:val=""/>
                </m:dPr>
                <m:e>
                  <m:f>
                    <m:fPr>
                      <m:type m:val="nobar"/>
                    </m:fPr>
                    <m:num>
                      <m:r>
                        <m:rPr/>
                        <w:rPr>
                          <w:rFonts w:ascii="Cambria Math" w:hAnsi="Cambria Math"/>
                          <w:sz w:val="22"/>
                        </w:rPr>
                        <m:t>N</m:t>
                      </m:r>
                      <m:r>
                        <m:rPr>
                          <m:sty m:val="p"/>
                        </m:rPr>
                        <w:rPr>
                          <w:rFonts w:ascii="Cambria Math" w:hAnsi="Cambria Math"/>
                          <w:sz w:val="22"/>
                        </w:rPr>
                        <m:t>−</m:t>
                      </m:r>
                      <m:r>
                        <m:rPr/>
                        <w:rPr>
                          <w:rFonts w:ascii="Cambria Math" w:hAnsi="Cambria Math"/>
                          <w:sz w:val="22"/>
                        </w:rPr>
                        <m:t>e</m:t>
                      </m:r>
                    </m:num>
                    <m:den>
                      <m:r>
                        <m:rPr/>
                        <w:rPr>
                          <w:rFonts w:ascii="Cambria Math" w:hAnsi="Cambria Math"/>
                          <w:sz w:val="22"/>
                        </w:rPr>
                        <m:t>q</m:t>
                      </m:r>
                    </m:den>
                  </m:f>
                </m:e>
              </m:d>
            </m:num>
            <m:den>
              <m:d>
                <m:dPr>
                  <m:sepChr m:val=""/>
                </m:dPr>
                <m:e>
                  <m:f>
                    <m:fPr>
                      <m:type m:val="nobar"/>
                    </m:fPr>
                    <m:num>
                      <m:r>
                        <m:rPr/>
                        <w:rPr>
                          <w:rFonts w:ascii="Cambria Math" w:hAnsi="Cambria Math"/>
                          <w:sz w:val="22"/>
                        </w:rPr>
                        <m:t>N</m:t>
                      </m:r>
                    </m:num>
                    <m:den>
                      <m:r>
                        <m:rP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m:rPr/>
          <w:rPr>
            <w:rFonts w:ascii="Cambria Math" w:hAnsi="Cambria Math"/>
            <w:sz w:val="22"/>
          </w:rPr>
          <m:t>N</m:t>
        </m:r>
        <m:r>
          <m:rPr>
            <m:sty m:val="p"/>
          </m:rPr>
          <w:rPr>
            <w:rFonts w:ascii="Cambria Math" w:hAnsi="Cambria Math"/>
            <w:sz w:val="22"/>
          </w:rPr>
          <m:t>&gt;</m:t>
        </m:r>
        <m:r>
          <m:rPr/>
          <w:rPr>
            <w:rFonts w:ascii="Cambria Math" w:hAnsi="Cambria Math"/>
            <w:sz w:val="22"/>
          </w:rPr>
          <m:t>0</m:t>
        </m:r>
      </m:oMath>
      <w:r>
        <w:rPr>
          <w:rFonts w:ascii="Times New Roman" w:hAnsi="Times New Roman" w:eastAsia="宋体"/>
          <w:b w:val="0"/>
          <w:sz w:val="22"/>
        </w:rPr>
        <w:t>、</w:t>
      </w:r>
      <m:oMath>
        <m:r>
          <m:rPr/>
          <w:rPr>
            <w:rFonts w:ascii="Cambria Math" w:hAnsi="Cambria Math"/>
            <w:sz w:val="22"/>
          </w:rPr>
          <m:t>0</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r>
          <m:rPr/>
          <w:rPr>
            <w:rFonts w:ascii="Cambria Math" w:hAnsi="Cambria Math"/>
            <w:sz w:val="22"/>
          </w:rPr>
          <m:t>N</m:t>
        </m:r>
      </m:oMath>
      <w:r>
        <w:rPr>
          <w:rFonts w:ascii="Times New Roman" w:hAnsi="Times New Roman" w:eastAsia="宋体"/>
          <w:b w:val="0"/>
          <w:sz w:val="22"/>
        </w:rPr>
        <w:t>时计算；若</w:t>
      </w:r>
      <m:oMath>
        <m:r>
          <m:rPr/>
          <w:rPr>
            <w:rFonts w:ascii="Cambria Math" w:hAnsi="Cambria Math"/>
            <w:sz w:val="22"/>
          </w:rPr>
          <m:t>q</m:t>
        </m:r>
        <m:r>
          <m:rPr>
            <m:sty m:val="p"/>
          </m:rPr>
          <w:rPr>
            <w:rFonts w:ascii="Cambria Math" w:hAnsi="Cambria Math"/>
            <w:sz w:val="22"/>
          </w:rPr>
          <m:t>&gt;</m:t>
        </m:r>
        <m:r>
          <m:rPr/>
          <w:rPr>
            <w:rFonts w:ascii="Cambria Math" w:hAnsi="Cambria Math"/>
            <w:sz w:val="22"/>
          </w:rPr>
          <m:t>N</m:t>
        </m:r>
        <m:r>
          <m:rPr>
            <m:sty m:val="p"/>
          </m:rPr>
          <w:rPr>
            <w:rFonts w:ascii="Cambria Math" w:hAnsi="Cambria Math"/>
            <w:sz w:val="22"/>
          </w:rPr>
          <m:t>−</m:t>
        </m:r>
        <m:r>
          <m:rP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m:rP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形成条件能力报告。报告逐行记录数据集、标注来源、模型架构与训练种子、真实类别、状态字段及枚举值、状态支持数、条件Recall、类别总体Recall、二者差值及复查状态。该结构同时呈现识别表现和支持量，便于判断条件差异是否具有足够样本依据。</w:t>
      </w:r>
    </w:p>
    <w:p w14:paraId="398CEAB8">
      <w:pPr>
        <w:keepLines/>
        <w:spacing w:after="100" w:line="312" w:lineRule="auto"/>
        <w:ind w:firstLine="425"/>
      </w:pPr>
      <w:r>
        <w:rPr>
          <w:rFonts w:ascii="Times New Roman" w:hAnsi="Times New Roman" w:eastAsia="宋体"/>
          <w:b w:val="0"/>
          <w:sz w:val="22"/>
        </w:rPr>
        <w:t>在发现集合中，先对同一架构的不同训练种子平均条件Recall与类别Recall，再筛选支持数不少于20、平均条件Recall低于类别Recall至少10个百分点的状态。每个标注来源、类别和架构最多保留三项，按差值从低到高排序，同差时按字段及枚举值排序。不足三项时不补选。候选条件清单在查看复查数据的分类预测前确定。</w:t>
      </w:r>
    </w:p>
    <w:p w14:paraId="07B70194">
      <w:pPr>
        <w:keepLines/>
        <w:spacing w:after="100" w:line="312" w:lineRule="auto"/>
        <w:ind w:firstLine="425"/>
      </w:pPr>
      <w:r>
        <w:rPr>
          <w:rFonts w:ascii="Times New Roman" w:hAnsi="Times New Roman" w:eastAsia="宋体"/>
          <w:b w:val="0"/>
          <w:sz w:val="22"/>
        </w:rPr>
        <w:t>复查使用与既有训练、验证及研究样本排重后的新目标集合，保持类别任务、状态定义和分类器一致；目标框由各数据源官方标注确定，并沿用同类多目标时选取最大合法框的规则。当前研究分别使用COCO、VOC2007和Objects365构建复查集合，具体来源、规模与排重设置在实验章节说明。构建过程不依据分类器错误或待复查状态富集样本。</w:t>
      </w:r>
    </w:p>
    <w:p w14:paraId="44FBA3A8">
      <w:pPr>
        <w:keepLines/>
        <w:spacing w:after="100" w:line="312" w:lineRule="auto"/>
        <w:ind w:firstLine="425"/>
      </w:pPr>
      <w:r>
        <w:rPr>
          <w:rFonts w:ascii="Times New Roman" w:hAnsi="Times New Roman" w:eastAsia="宋体"/>
          <w:b w:val="0"/>
          <w:sz w:val="22"/>
        </w:rPr>
        <w:t>对每个候选条件，分别计算各训练种子在新集合中的状态支持数和Recall差值。支持数不少于20且差值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)&lt;</m:t>
        </m:r>
        <m:r>
          <m:rPr/>
          <w:rPr>
            <w:rFonts w:ascii="Cambria Math" w:hAnsi="Cambria Math"/>
            <w:sz w:val="22"/>
          </w:rPr>
          <m:t>0</m:t>
        </m:r>
      </m:oMath>
      <w:r>
        <w:rPr>
          <w:rFonts w:ascii="Times New Roman" w:hAnsi="Times New Roman" w:eastAsia="宋体"/>
          <w:b w:val="0"/>
          <w:sz w:val="22"/>
        </w:rPr>
        <w:t>，记为“薄弱方向复现”；支持充分但差值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r>
          <m:rPr/>
          <w:rPr>
            <w:rFonts w:ascii="Cambria Math" w:hAnsi="Cambria Math"/>
            <w:sz w:val="22"/>
          </w:rPr>
          <m:t>0</m:t>
        </m:r>
      </m:oMath>
      <w:r>
        <w:rPr>
          <w:rFonts w:ascii="Times New Roman" w:hAnsi="Times New Roman" w:eastAsia="宋体"/>
          <w:b w:val="0"/>
          <w:sz w:val="22"/>
        </w:rPr>
        <w:t>，记为“未复现”；支持数不足20，记为“支持不足”。方向复现表示该状态仍低于对应类别参考，不要求重新达到发现阶段10个百分点的落差，也不等同于逐项统计显著。</w:t>
      </w:r>
    </w:p>
    <w:p w14:paraId="08B3E415">
      <w:pPr>
        <w:keepLines/>
        <w:spacing w:after="100" w:line="312" w:lineRule="auto"/>
        <w:ind w:firstLine="425"/>
      </w:pPr>
      <w:r>
        <w:rPr>
          <w:rFonts w:ascii="Times New Roman" w:hAnsi="Times New Roman" w:eastAsia="宋体"/>
          <w:b w:val="0"/>
          <w:sz w:val="22"/>
        </w:rPr>
        <w:t>各训练种子的结果分别保留，并报告同一架构的种子均值。整体比较先在每个架构、种子内平均可评价条件的差值，再在架构内平均种子，以架构为统计单位。未复现和支持不足的条件均保留，不根据复查结果替换候选清单。具体统计检验及报告实例在实验章节说明。</w:t>
      </w:r>
    </w:p>
    <w:p w14:paraId="32F39C10">
      <w:pPr>
        <w:keepLines/>
        <w:spacing w:after="100" w:line="312" w:lineRule="auto"/>
        <w:ind w:firstLine="425"/>
      </w:pP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BFEFA793"/>
    <w:rsid w:val="DEEA6E60"/>
    <w:rsid w:val="E55F3986"/>
    <w:rsid w:val="E5D4F9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QE项目</dc:creator>
  <dc:description>generated by python-docx</dc:description>
  <cp:lastModifiedBy>忽忽溜~</cp:lastModifiedBy>
  <dcterms:modified xsi:type="dcterms:W3CDTF">2026-10-12T13:09:54Z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