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视觉状态驱动测试：模型之间有什么区别？</w:t>
      </w:r>
    </w:p>
    <w:p>
      <w:r>
        <w:rPr>
          <w:b w:val="0"/>
        </w:rPr>
        <w:t>教师汇报版｜2026年10月12日｜8种主模型＋5种独立扩展模型</w:t>
      </w:r>
    </w:p>
    <w:p>
      <w:pPr>
        <w:pStyle w:val="Heading1"/>
      </w:pPr>
      <w:r>
        <w:t>一、先看模型总体表现，再看被总体分数掩盖的差异</w:t>
      </w:r>
    </w:p>
    <w:p>
      <w:r>
        <w:rPr>
          <w:b w:val="0"/>
        </w:rPr>
        <w:t>本报告将模型作为比较对象，统一使用COCO新目标确认池的2,400个目标、同一本地视觉状态标注及同一风险分层。任务为dog、cat、horse、sheep、person、car六类别目标区域分类；主实验每种模型保留3个训练种子。</w:t>
      </w:r>
    </w:p>
    <w:p>
      <w:r>
        <w:rPr>
          <w:b w:val="0"/>
        </w:rPr>
        <w:t>研究方法的作用是：用覆盖选样增加状态支持，用风险分层揭示条件差异，再把模型结果写成可复查的条件报告。以下各图使用相同模型顺序，分数为三种子均值；百分比表示成绩，百分点表示差值。SD为三个训练种子的样本标准差，表示训练波动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24328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overall_model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32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图1 相同目标上的模型总体表现与dog类别表现</w:t>
      </w:r>
    </w:p>
    <w:p>
      <w:pPr>
        <w:spacing w:line="264" w:lineRule="auto"/>
      </w:pPr>
      <w:r>
        <w:rPr>
          <w:b w:val="0"/>
          <w:sz w:val="18"/>
        </w:rPr>
        <w:t>图1说明：菱形为均值，灰点为三个种子，灰线为最小—最大范围；不是置信区间。总体F1在完整2,400目标上直接计算，不是五个风险层F1的简单平均。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b/>
                <w:sz w:val="18"/>
              </w:rPr>
              <w:t>模型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/>
                <w:sz w:val="18"/>
              </w:rPr>
              <w:t>全池F1：均值±SD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/>
                <w:sz w:val="18"/>
              </w:rPr>
              <w:t>Q5 F1</w:t>
            </w:r>
          </w:p>
        </w:tc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/>
                <w:sz w:val="18"/>
              </w:rPr>
              <w:t>Q1−Q5落差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sz w:val="18"/>
              </w:rPr>
              <w:t>ResNet-18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84.21±0.07%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67.97%</w:t>
            </w:r>
          </w:p>
        </w:tc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26.81个百分点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sz w:val="18"/>
              </w:rPr>
              <w:t>ResNet-50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86.41±1.30%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70.02%</w:t>
            </w:r>
          </w:p>
        </w:tc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26.44个百分点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sz w:val="18"/>
              </w:rPr>
              <w:t>MobileNetV3-Small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81.39±0.60%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64.67%</w:t>
            </w:r>
          </w:p>
        </w:tc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24.63个百分点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sz w:val="18"/>
              </w:rPr>
              <w:t>MobileNetV3-Large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85.71±0.86%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68.77%</w:t>
            </w:r>
          </w:p>
        </w:tc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25.76个百分点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sz w:val="18"/>
              </w:rPr>
              <w:t>DenseNet-121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84.99±0.21%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66.13%</w:t>
            </w:r>
          </w:p>
        </w:tc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30.17个百分点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sz w:val="18"/>
              </w:rPr>
              <w:t>EfficientNet-B0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86.78±0.43%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70.66%</w:t>
            </w:r>
          </w:p>
        </w:tc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24.76个百分点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sz w:val="18"/>
              </w:rPr>
              <w:t>ConvNeXt-Tiny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90.15±0.58%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74.97%</w:t>
            </w:r>
          </w:p>
        </w:tc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22.73个百分点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sz w:val="18"/>
              </w:rPr>
              <w:t>Swin-T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88.62±1.60%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73.73%</w:t>
            </w:r>
          </w:p>
        </w:tc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22.66个百分点</w:t>
            </w:r>
          </w:p>
        </w:tc>
      </w:tr>
    </w:tbl>
    <w:p>
      <w:r>
        <w:rPr>
          <w:b w:val="0"/>
        </w:rPr>
      </w:r>
      <w:r>
        <w:rPr>
          <w:b/>
        </w:rPr>
        <w:t>当前数值比较中，ConvNeXt-Tiny的总体F1为90.15%，高风险Q5为74.97%，均为主组最高。</w:t>
      </w:r>
      <w:r>
        <w:rPr>
          <w:b w:val="0"/>
        </w:rPr>
        <w:t xml:space="preserve"> Swin-T次之。该排序限于本任务与实际训练设置，未进行逐对模型优劣显著性检验。</w:t>
      </w:r>
    </w:p>
    <w:p>
      <w:r>
        <w:br w:type="page"/>
      </w:r>
    </w:p>
    <w:p>
      <w:pPr>
        <w:pStyle w:val="Heading1"/>
      </w:pPr>
      <w:r>
        <w:t>二、覆盖提高以后，对不同模型的测试有何作用？</w:t>
      </w:r>
    </w:p>
    <w:p>
      <w:r>
        <w:rPr>
          <w:b w:val="0"/>
        </w:rPr>
        <w:t>相同600个测试目标预算下，Coverage频次覆盖为67.07%，Random为58.11%，增加8.97个百分点。八个模型共用选样结果，因此覆盖率相同；真正需要逐模型比较的是增加覆盖后得到的诊断信息。</w:t>
      </w:r>
    </w:p>
    <w:p>
      <w:r>
        <w:rPr>
          <w:b w:val="0"/>
        </w:rPr>
        <w:t>在相同类别和风险配额内，再匹配各类错误数量，比较Coverage与Random覆盖的混淆类型和错误表征簇。这样可检查“不是仅仅因为错误更多，是否仍能得到更广的失败信息”。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24795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verage_diagnostic_model_gai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79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图2 覆盖选样相对随机选样的逐模型诊断增量</w:t>
      </w:r>
    </w:p>
    <w:p>
      <w:pPr>
        <w:spacing w:line="264" w:lineRule="auto"/>
      </w:pPr>
      <w:r>
        <w:rPr>
          <w:b w:val="0"/>
          <w:sz w:val="18"/>
        </w:rPr>
        <w:t>图2说明：柱为三种子平均增量，黑点为逐种子结果；零线右侧有利于Coverage。数值为标准化预算AUC的差×100，即曲线积分除以最大预算100后比较；不是分类F1或ROC-AUC。预算为每类20—100个目标，包含零预算零广度起点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b/>
                <w:sz w:val="18"/>
              </w:rPr>
              <w:t>模型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/>
                <w:sz w:val="18"/>
              </w:rPr>
              <w:t>混淆广度增量×100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/>
                <w:sz w:val="18"/>
              </w:rPr>
              <w:t>表征簇广度增量×100</w:t>
            </w:r>
          </w:p>
        </w:tc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/>
                <w:sz w:val="18"/>
              </w:rPr>
              <w:t>正增益种子：混淆／簇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sz w:val="18"/>
              </w:rPr>
              <w:t>ResNet-18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+3.096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+1.359</w:t>
            </w:r>
          </w:p>
        </w:tc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3/3 ／ 3/3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sz w:val="18"/>
              </w:rPr>
              <w:t>ResNet-50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+0.948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+1.401</w:t>
            </w:r>
          </w:p>
        </w:tc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2/3 ／ 2/3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sz w:val="18"/>
              </w:rPr>
              <w:t>MobileNetV3-Small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+2.875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+2.629</w:t>
            </w:r>
          </w:p>
        </w:tc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3/3 ／ 3/3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sz w:val="18"/>
              </w:rPr>
              <w:t>MobileNetV3-Large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+0.709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+0.476</w:t>
            </w:r>
          </w:p>
        </w:tc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3/3 ／ 1/3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sz w:val="18"/>
              </w:rPr>
              <w:t>DenseNet-121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+1.232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+0.871</w:t>
            </w:r>
          </w:p>
        </w:tc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2/3 ／ 3/3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sz w:val="18"/>
              </w:rPr>
              <w:t>EfficientNet-B0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+1.868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-0.162</w:t>
            </w:r>
          </w:p>
        </w:tc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2/3 ／ 1/3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sz w:val="18"/>
              </w:rPr>
              <w:t>ConvNeXt-Tiny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+0.599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+0.802</w:t>
            </w:r>
          </w:p>
        </w:tc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3/3 ／ 3/3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sz w:val="18"/>
              </w:rPr>
              <w:t>Swin-T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+1.288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+0.834</w:t>
            </w:r>
          </w:p>
        </w:tc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2/3 ／ 2/3</w:t>
            </w:r>
          </w:p>
        </w:tc>
      </w:tr>
    </w:tbl>
    <w:p>
      <w:r>
        <w:rPr>
          <w:b w:val="0"/>
        </w:rPr>
      </w:r>
      <w:r>
        <w:rPr>
          <w:b/>
        </w:rPr>
        <w:t>混淆类型广度的平均增量在8个模型上均为正；表征簇广度在7个模型上为正。</w:t>
      </w:r>
      <w:r>
        <w:rPr>
          <w:b w:val="0"/>
        </w:rPr>
        <w:t xml:space="preserve"> MobileNetV3-Small两项均为3/3种子正增量；EfficientNet-B0的表征簇平均增量为负，必须保留这一结果。</w:t>
      </w:r>
    </w:p>
    <w:p>
      <w:r>
        <w:rPr>
          <w:b w:val="0"/>
        </w:rPr>
        <w:t>可以向老师解释：“同样提高了测试状态覆盖，对不同模型带来的诊断收益并不相同。”表征簇及其分母随模型变化，应比较模型内部Coverage−Random的差；本图不用于模型能力排名，也未给单个模型做显著性声明。现有结果未支持全面优于强基线。</w:t>
      </w:r>
    </w:p>
    <w:p>
      <w:r>
        <w:br w:type="page"/>
      </w:r>
    </w:p>
    <w:p>
      <w:pPr>
        <w:pStyle w:val="Heading1"/>
      </w:pPr>
      <w:r>
        <w:t>三、相同风险层下，各模型的表现如何变化？</w:t>
      </w:r>
    </w:p>
    <w:p>
      <w:r>
        <w:rPr>
          <w:b w:val="0"/>
        </w:rPr>
        <w:t>风险规则根据尺度、可见性、遮挡、截断和朝向等条件分为Q1—Q5。Q1为低风险层，Q5为高风险层；每层480个目标、六类别各80个。所有模型使用完全相同的层成员。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29419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five_risk_layers_mode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41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图3 八种模型在五个共同风险层中的表现</w:t>
      </w:r>
    </w:p>
    <w:p>
      <w:pPr>
        <w:spacing w:line="264" w:lineRule="auto"/>
      </w:pPr>
      <w:r>
        <w:rPr>
          <w:b w:val="0"/>
          <w:sz w:val="18"/>
        </w:rPr>
        <w:t>图3说明：每行是模型，每列是风险层，格内数值为三种子平均Macro-F1（%）。颜色越深，分类表现越好。分层依据不使用被测分类器的预测或错误。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b/>
                <w:sz w:val="18"/>
              </w:rPr>
              <w:t>模型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/>
                <w:sz w:val="18"/>
              </w:rPr>
              <w:t>Q2 F1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/>
                <w:sz w:val="18"/>
              </w:rPr>
              <w:t>Q3 F1</w:t>
            </w:r>
          </w:p>
        </w:tc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/>
                <w:sz w:val="18"/>
              </w:rPr>
              <w:t>Q4 F1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sz w:val="18"/>
              </w:rPr>
              <w:t>ResNet-18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90.65%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87.12%</w:t>
            </w:r>
          </w:p>
        </w:tc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80.47%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sz w:val="18"/>
              </w:rPr>
              <w:t>ResNet-50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92.15%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89.78%</w:t>
            </w:r>
          </w:p>
        </w:tc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83.42%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sz w:val="18"/>
              </w:rPr>
              <w:t>MobileNetV3-Small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86.21%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85.36%</w:t>
            </w:r>
          </w:p>
        </w:tc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80.73%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sz w:val="18"/>
              </w:rPr>
              <w:t>MobileNetV3-Large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91.11%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89.21%</w:t>
            </w:r>
          </w:p>
        </w:tc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84.70%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sz w:val="18"/>
              </w:rPr>
              <w:t>DenseNet-121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91.35%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88.24%</w:t>
            </w:r>
          </w:p>
        </w:tc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82.67%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sz w:val="18"/>
              </w:rPr>
              <w:t>EfficientNet-B0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92.80%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91.12%</w:t>
            </w:r>
          </w:p>
        </w:tc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83.78%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sz w:val="18"/>
              </w:rPr>
              <w:t>ConvNeXt-Tiny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95.50%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93.32%</w:t>
            </w:r>
          </w:p>
        </w:tc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89.17%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sz w:val="18"/>
              </w:rPr>
              <w:t>Swin-T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93.36%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90.81%</w:t>
            </w:r>
          </w:p>
        </w:tc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88.76%</w:t>
            </w:r>
          </w:p>
        </w:tc>
      </w:tr>
    </w:tbl>
    <w:p>
      <w:r>
        <w:rPr>
          <w:b w:val="0"/>
        </w:rPr>
      </w:r>
      <w:r>
        <w:rPr>
          <w:b/>
        </w:rPr>
        <w:t>分层把总体指标展开成模型的条件表现。</w:t>
      </w:r>
      <w:r>
        <w:rPr>
          <w:b w:val="0"/>
        </w:rPr>
        <w:t xml:space="preserve"> 例如DenseNet-121的总体F1为84.99%，高于ResNet-18的84.21%；但Q5中前者为66.13%，后者为67.97%。总体次序在高风险条件中发生了变化。</w:t>
      </w:r>
    </w:p>
    <w:p>
      <w:r>
        <w:rPr>
          <w:b w:val="0"/>
        </w:rPr>
        <w:t>可以向老师解释：“总体分数只能说明平均表现，分层能指出模型在何种目标上失去优势。”本设置的层均值下降不构成普遍单调规律；完整风险评分也未普遍强于仅用目标面积分层。</w:t>
      </w:r>
    </w:p>
    <w:p>
      <w:r>
        <w:br w:type="page"/>
      </w:r>
    </w:p>
    <w:p>
      <w:pPr>
        <w:pStyle w:val="Heading1"/>
      </w:pPr>
      <w:r>
        <w:t>四、比较高风险绝对表现与高低风险落差</w:t>
      </w:r>
    </w:p>
    <w:p>
      <w:r>
        <w:rPr>
          <w:b w:val="0"/>
        </w:rPr>
        <w:t>仅看Q1−Q5的下降幅度容易误判：两层都低的模型，也可能下降较少。因此同时看Q5实际分数和层间落差。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25261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isk_gap_mode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26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图4 各模型的高风险成绩与高低风险落差</w:t>
      </w:r>
    </w:p>
    <w:p>
      <w:pPr>
        <w:spacing w:line="264" w:lineRule="auto"/>
      </w:pPr>
      <w:r>
        <w:rPr>
          <w:b w:val="0"/>
          <w:sz w:val="18"/>
        </w:rPr>
        <w:t>图4说明：左图灰方块为Q1、蓝圆点为Q5，连线表示高低层成绩跨度；右图为Q1−Q5的差值。两边均为三种子均值，不能将落差更小自动解释为模型更强。</w:t>
      </w:r>
    </w:p>
    <w:p>
      <w:r>
        <w:rPr>
          <w:b w:val="0"/>
        </w:rPr>
        <w:t>MobileNetV3-Small的层间落差为24.63个百分点，Q5为64.67%；ConvNeXt-Tiny落差为22.73个百分点，Q5为74.97%。后者在高风险目标上的实际成绩更高。</w:t>
      </w:r>
    </w:p>
    <w:p>
      <w:r>
        <w:rPr>
          <w:b w:val="0"/>
        </w:rPr>
        <w:t>DenseNet-121的落差为30.17个百分点，是本主组最大值；它的Q1成绩较高，但Q5优势未保留。ResNet-50相对ResNet-18则在总体与Q5中都取得较高均值。</w:t>
      </w:r>
    </w:p>
    <w:p>
      <w:r>
        <w:rPr>
          <w:b w:val="0"/>
        </w:rPr>
      </w:r>
      <w:r>
        <w:rPr>
          <w:b/>
        </w:rPr>
        <w:t>该比较回答的是“哪些模型在相同视觉条件下更容易暴露性能不足”，而不是给模型建立脱离任务的永久排名。</w:t>
      </w:r>
      <w:r>
        <w:rPr>
          <w:b w:val="0"/>
        </w:rPr>
        <w:t xml:space="preserve"> 模型侧差异提供了本方法的诊断对象；具体原因仍需另外实验验证。</w:t>
      </w:r>
    </w:p>
    <w:p>
      <w:pPr>
        <w:pStyle w:val="Heading2"/>
      </w:pPr>
      <w:r>
        <w:t>这一页可以怎样讲？</w:t>
      </w:r>
    </w:p>
    <w:p>
      <w:r>
        <w:rPr>
          <w:b w:val="0"/>
        </w:rPr>
        <w:t>“我的方法不只是让每个模型得到一个总分，而是同时报告容易条件、困难条件和落差。例如DenseNet总体比ResNet-18高，但在最高风险层中反而低；这类差别是总体评价容易漏掉的。”</w:t>
      </w:r>
    </w:p>
    <w:p>
      <w:r>
        <w:br w:type="page"/>
      </w:r>
    </w:p>
    <w:p>
      <w:pPr>
        <w:pStyle w:val="Heading1"/>
      </w:pPr>
      <w:r>
        <w:t>五、测试量固定后，各模型怎样响应高风险占比？</w:t>
      </w:r>
    </w:p>
    <w:p>
      <w:r>
        <w:rPr>
          <w:b w:val="0"/>
        </w:rPr>
        <w:t>每次固定120个目标、六类各20个，让Q5占比从0%增加至100%。0%来自Q1—Q4并集，100%来自Q5；其余比例在这两部分抽样。每个比例重复抽样1000次，不重新训练模型。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2697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fixed_budget_mixture_model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69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图5 固定120目标时各模型的风险构成响应</w:t>
      </w:r>
    </w:p>
    <w:p>
      <w:pPr>
        <w:spacing w:line="264" w:lineRule="auto"/>
      </w:pPr>
      <w:r>
        <w:rPr>
          <w:b w:val="0"/>
          <w:sz w:val="18"/>
        </w:rPr>
        <w:t>图5说明：八个小图共用坐标。实线为种子与重复抽样的平均F1；浅带为当前池内重复抽样的中心95%范围，不是新数据性能置信区间。线尾数字为100% Q5的平均成绩。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b/>
                <w:sz w:val="18"/>
              </w:rPr>
              <w:t>模型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/>
                <w:sz w:val="18"/>
              </w:rPr>
              <w:t>Q5占比0%：F1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/>
                <w:sz w:val="18"/>
              </w:rPr>
              <w:t>Q5占比100%：F1</w:t>
            </w:r>
          </w:p>
        </w:tc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/>
                <w:sz w:val="18"/>
              </w:rPr>
              <w:t>变化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sz w:val="18"/>
              </w:rPr>
              <w:t>ResNet-18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88.40%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67.84%</w:t>
            </w:r>
          </w:p>
        </w:tc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-20.56个百分点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sz w:val="18"/>
              </w:rPr>
              <w:t>ResNet-50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90.50%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69.72%</w:t>
            </w:r>
          </w:p>
        </w:tc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-20.78个百分点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sz w:val="18"/>
              </w:rPr>
              <w:t>MobileNetV3-Small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85.46%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64.38%</w:t>
            </w:r>
          </w:p>
        </w:tc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-21.08个百分点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sz w:val="18"/>
              </w:rPr>
              <w:t>MobileNetV3-Large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90.03%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68.54%</w:t>
            </w:r>
          </w:p>
        </w:tc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-21.49个百分点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sz w:val="18"/>
              </w:rPr>
              <w:t>DenseNet-121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89.81%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65.90%</w:t>
            </w:r>
          </w:p>
        </w:tc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-23.91个百分点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sz w:val="18"/>
              </w:rPr>
              <w:t>EfficientNet-B0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90.87%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70.50%</w:t>
            </w:r>
          </w:p>
        </w:tc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-20.37个百分点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sz w:val="18"/>
              </w:rPr>
              <w:t>ConvNeXt-Tiny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93.98%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74.77%</w:t>
            </w:r>
          </w:p>
        </w:tc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-19.21个百分点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sz w:val="18"/>
              </w:rPr>
              <w:t>Swin-T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92.36%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73.55%</w:t>
            </w:r>
          </w:p>
        </w:tc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-18.81个百分点</w:t>
            </w:r>
          </w:p>
        </w:tc>
      </w:tr>
    </w:tbl>
    <w:p>
      <w:r>
        <w:rPr>
          <w:b w:val="0"/>
        </w:rPr>
      </w:r>
      <w:r>
        <w:rPr>
          <w:b/>
        </w:rPr>
        <w:t>不同模型随高风险占比上升而呈现不同的成绩水平和端点变化。</w:t>
      </w:r>
      <w:r>
        <w:rPr>
          <w:b w:val="0"/>
        </w:rPr>
        <w:t xml:space="preserve"> 这里的变化由测试构成产生，说明向老师汇报模型成绩时，需要交代测试了多少高风险目标。</w:t>
      </w:r>
    </w:p>
    <w:p>
      <w:pPr>
        <w:spacing w:line="264" w:lineRule="auto"/>
      </w:pPr>
      <w:r>
        <w:rPr>
          <w:b w:val="0"/>
          <w:sz w:val="18"/>
        </w:rPr>
        <w:t>图5的100% Q5只抽取120个目标，图3／4的完整Q5使用480个目标；二者F1不必相等。图中的下降不表示模型训练后退化，也不证明每个类别Recall都同步下降。</w:t>
      </w:r>
    </w:p>
    <w:p>
      <w:r>
        <w:br w:type="page"/>
      </w:r>
    </w:p>
    <w:p>
      <w:pPr>
        <w:pStyle w:val="Heading1"/>
      </w:pPr>
      <w:r>
        <w:t>六、同一种视觉条件，哪些模型更容易识别？</w:t>
      </w:r>
    </w:p>
    <w:p>
      <w:r>
        <w:rPr>
          <w:b w:val="0"/>
        </w:rPr>
        <w:t>选取背向dog、小尺度cat、严重模糊sheep、中等尺度dog四个条件作解释案例。各条件内八模型面对相同目标；条件不是独立错误类型，也不是全面挑选模型优劣的基准。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25281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ommon_visual_conditions_model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28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图6 同一视觉条件下的逐模型Recall及相对类别差</w:t>
      </w:r>
    </w:p>
    <w:p>
      <w:pPr>
        <w:spacing w:line="264" w:lineRule="auto"/>
      </w:pPr>
      <w:r>
        <w:rPr>
          <w:b w:val="0"/>
          <w:sz w:val="18"/>
        </w:rPr>
        <w:t>图6说明：左图为条件Recall，右图为条件Recall减对应类别总体Recall；右图负数表示该条件较弱，正数表示较强。n是目标数，所有格为三种子均值；中等尺度dog同时保留非负差，避免只展示薄弱案例。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b/>
                <w:sz w:val="18"/>
              </w:rPr>
              <w:t>对比条件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/>
                <w:sz w:val="18"/>
              </w:rPr>
              <w:t>ResNet-50 Recall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/>
                <w:sz w:val="18"/>
              </w:rPr>
              <w:t>ConvNeXt-Tiny Recall</w:t>
            </w:r>
          </w:p>
        </w:tc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/>
                <w:sz w:val="18"/>
              </w:rPr>
              <w:t>同批目标数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sz w:val="18"/>
              </w:rPr>
              <w:t>背向dog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57.25%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70.29%</w:t>
            </w:r>
          </w:p>
        </w:tc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46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sz w:val="18"/>
              </w:rPr>
              <w:t>小尺度cat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39.13%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68.12%</w:t>
            </w:r>
          </w:p>
        </w:tc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23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sz w:val="18"/>
              </w:rPr>
              <w:t>严重模糊sheep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60.00%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75.83%</w:t>
            </w:r>
          </w:p>
        </w:tc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40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sz w:val="18"/>
              </w:rPr>
              <w:t>中等尺度dog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82.28%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83.97%</w:t>
            </w:r>
          </w:p>
        </w:tc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79</w:t>
            </w:r>
          </w:p>
        </w:tc>
      </w:tr>
    </w:tbl>
    <w:p>
      <w:r>
        <w:rPr>
          <w:b w:val="0"/>
        </w:rPr>
        <w:t>在背向dog条件中，ResNet-50的Recall为57.25%，ConvNeXt-Tiny为70.29%；在小尺度cat条件中，两者又呈现另一组差异。</w:t>
      </w:r>
    </w:p>
    <w:p>
      <w:r>
        <w:rPr>
          <w:b w:val="0"/>
        </w:rPr>
      </w:r>
      <w:r>
        <w:rPr>
          <w:b/>
        </w:rPr>
        <w:t>左图用于相同目标上的模型比较；右图用于解释“这一条件相对该模型自身类别水平是否偏弱”。</w:t>
      </w:r>
      <w:r>
        <w:rPr>
          <w:b w:val="0"/>
        </w:rPr>
        <w:t xml:space="preserve"> 两种问题需要分开。例如模型条件Recall较高，仍可能比它自身类别总体低；不能只凭右图差值排模型强弱。</w:t>
      </w:r>
    </w:p>
    <w:p>
      <w:r>
        <w:rPr>
          <w:b w:val="0"/>
        </w:rPr>
        <w:t>可以向老师解释：“分层提示哪里表现下降，状态报告进一步指出具体是哪类条件。不同模型在相同条件下的表现不同，所以后续测试能针对模型展开。”这里的关联不证明某个状态单独导致错误。</w:t>
      </w:r>
    </w:p>
    <w:p>
      <w:r>
        <w:br w:type="page"/>
      </w:r>
    </w:p>
    <w:p>
      <w:pPr>
        <w:pStyle w:val="Heading1"/>
      </w:pPr>
      <w:r>
        <w:t>七、各模型已有薄弱条件在新目标中是否延续？</w:t>
      </w:r>
    </w:p>
    <w:p>
      <w:r>
        <w:rPr>
          <w:b w:val="0"/>
        </w:rPr>
        <w:t>发现阶段为每个模型形成候选条件清单；本页沿用清单检查新目标。支持数至少20时，比较三个种子平均条件Recall与类别总体Recall，并保留平均非负差及支持不足的条件。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27128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ondition_confirmation_model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12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图7 逐模型的薄弱条件复查记录</w:t>
      </w:r>
    </w:p>
    <w:p>
      <w:pPr>
        <w:spacing w:line="264" w:lineRule="auto"/>
      </w:pPr>
      <w:r>
        <w:rPr>
          <w:b w:val="0"/>
          <w:sz w:val="18"/>
        </w:rPr>
        <w:t>图7说明：左图把各模型清单分为平均仍较弱、平均差非负、支持不足；右图为各自可评价清单的平均Recall差。候选清单不同，右图及组合数量不用于模型优劣排名；计数不是逐项显著或独立复现。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b/>
                <w:sz w:val="18"/>
              </w:rPr>
              <w:t>模型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/>
                <w:sz w:val="18"/>
              </w:rPr>
              <w:t>可评价组合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/>
                <w:sz w:val="18"/>
              </w:rPr>
              <w:t>平均仍较弱</w:t>
            </w:r>
          </w:p>
        </w:tc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/>
                <w:sz w:val="18"/>
              </w:rPr>
              <w:t>支持不足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sz w:val="18"/>
              </w:rPr>
              <w:t>ResNet-18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sz w:val="18"/>
              </w:rPr>
              <w:t>ResNet-50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sz w:val="18"/>
              </w:rPr>
              <w:t>MobileNetV3-Small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sz w:val="18"/>
              </w:rPr>
              <w:t>MobileNetV3-Large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sz w:val="18"/>
              </w:rPr>
              <w:t>DenseNet-121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sz w:val="18"/>
              </w:rPr>
              <w:t>EfficientNet-B0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sz w:val="18"/>
              </w:rPr>
              <w:t>ConvNeXt-Tiny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sz w:val="18"/>
              </w:rPr>
              <w:t>Swin-T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1</w:t>
            </w:r>
          </w:p>
        </w:tc>
      </w:tr>
    </w:tbl>
    <w:p>
      <w:r>
        <w:rPr>
          <w:b w:val="0"/>
        </w:rPr>
      </w:r>
      <w:r>
        <w:rPr>
          <w:b/>
        </w:rPr>
        <w:t>本设置87个既定组合中，78个可评价，69个保留平均负差，9个平均非负，9个支持不足。</w:t>
      </w:r>
      <w:r>
        <w:rPr>
          <w:b w:val="0"/>
        </w:rPr>
        <w:t xml:space="preserve"> ConvNeXt-Tiny有5个可评价组合且5个平均仍较弱；这说明总体表现较高的模型也有可复查的薄弱条件。</w:t>
      </w:r>
    </w:p>
    <w:p>
      <w:r>
        <w:rPr>
          <w:b w:val="0"/>
        </w:rPr>
        <w:t>“条件数少”不自动表示模型更好，因为发现阶段清单按模型分别形成。更公平的模型比较应使用图3、图4和图6的共同层／共同条件；本页回答的是各模型自己的诊断线索能否在新目标上继续检查。</w:t>
      </w:r>
    </w:p>
    <w:p>
      <w:r>
        <w:br w:type="page"/>
      </w:r>
    </w:p>
    <w:p>
      <w:pPr>
        <w:pStyle w:val="Heading1"/>
      </w:pPr>
      <w:r>
        <w:t>八、另外五种模型的分层表现与训练波动</w:t>
      </w:r>
    </w:p>
    <w:p>
      <w:r>
        <w:rPr>
          <w:b w:val="0"/>
        </w:rPr>
        <w:t>扩展组为YOLO26-S-cls、PE-Core-B16、SigLIP2 Base、MobileCLIP2-S0、AIMv2-Large，各3个训练种子。沿用相同目标池和本地风险层，但预训练来源、规模及适配配置与主组不同，单独报告。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224613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extension_models_separa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46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图8 五种扩展模型的分层差异与种子波动</w:t>
      </w:r>
    </w:p>
    <w:p>
      <w:pPr>
        <w:spacing w:line="264" w:lineRule="auto"/>
      </w:pPr>
      <w:r>
        <w:rPr>
          <w:b w:val="0"/>
          <w:sz w:val="18"/>
        </w:rPr>
        <w:t>图8说明：左图为五层平均F1，右图为三个种子各自的全池F1及均值；灰线为最小—最大范围。保留所有种子，包含低值结果。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b/>
                <w:sz w:val="18"/>
              </w:rPr>
              <w:t>扩展模型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/>
                <w:sz w:val="18"/>
              </w:rPr>
              <w:t>全池F1：均值±SD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/>
                <w:sz w:val="18"/>
              </w:rPr>
              <w:t>Q5 F1</w:t>
            </w:r>
          </w:p>
        </w:tc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/>
                <w:sz w:val="18"/>
              </w:rPr>
              <w:t>Q1−Q5落差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sz w:val="18"/>
              </w:rPr>
              <w:t>YOLO26-S-cls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82.90±1.27%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66.38%</w:t>
            </w:r>
          </w:p>
        </w:tc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27.80个百分点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sz w:val="18"/>
              </w:rPr>
              <w:t>PE-Core-B16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73.88±13.12%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61.90%</w:t>
            </w:r>
          </w:p>
        </w:tc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19.79个百分点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sz w:val="18"/>
              </w:rPr>
              <w:t>SigLIP2 Base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77.79±2.17%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63.73%</w:t>
            </w:r>
          </w:p>
        </w:tc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24.78个百分点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sz w:val="18"/>
              </w:rPr>
              <w:t>MobileCLIP2-S0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81.41±0.72%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66.42%</w:t>
            </w:r>
          </w:p>
        </w:tc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23.81个百分点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sz w:val="18"/>
              </w:rPr>
              <w:t>AIMv2-Large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82.86±1.68%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67.31%</w:t>
            </w:r>
          </w:p>
        </w:tc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24.91个百分点</w:t>
            </w:r>
          </w:p>
        </w:tc>
      </w:tr>
    </w:tbl>
    <w:p>
      <w:r>
        <w:rPr>
          <w:b w:val="0"/>
        </w:rPr>
        <w:t>本设置五模型的平均Q1−Q5落差均为正。PE-Core-B16的总体F1种子SD为13.12个百分点，说明当前训练适配对种子敏感；不能据此断言该架构固有能力较差。扩展组未单独重复覆盖选样诊断、随机划层或仅面积对照，不把主组对照结果移作这五模型的直接证据。</w:t>
      </w:r>
    </w:p>
    <w:p>
      <w:pPr>
        <w:pStyle w:val="Heading1"/>
      </w:pPr>
      <w:r>
        <w:t>可以直接向老师说明的结论</w:t>
      </w:r>
    </w:p>
    <w:p>
      <w:r>
        <w:rPr>
          <w:b w:val="0"/>
        </w:rPr>
        <w:t>“我把模型放到共同视觉条件下比较。覆盖选样让测试状态支持更充分，并在不同模型上产生不同的诊断增量；风险分层揭示总体成绩不能反映的模型差别；条件报告把这些差别转成背向、小目标、模糊等具体可复查的测试线索。当前贡献是模型测试与诊断方法的实证证据，尚未证明再训练后准确率提升。”</w:t>
      </w:r>
    </w:p>
    <w:p>
      <w:r>
        <w:rPr>
          <w:b w:val="0"/>
        </w:rPr>
        <w:t>模型数值比较是已测任务中的观察结果，未宣称通用架构排名或逐模型显著提升。数据来自既有预测、分层、等错误数比较及复查记录；本次仅重新汇总与绘图，没有新增训练或VLM请求。</w:t>
      </w:r>
    </w:p>
    <w:sectPr w:rsidR="00FC693F" w:rsidRPr="0006063C" w:rsidSect="00034616">
      <w:footerReference w:type="default" r:id="rId17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Times New Roman" w:hAnsi="Times New Roman" w:eastAsia="宋体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