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00"/>
      </w:pPr>
      <w:r>
        <w:t>3 研究方法</w:t>
      </w:r>
    </w:p>
    <w:p>
      <w:pPr>
        <w:keepLines/>
        <w:spacing w:line="312" w:lineRule="auto" w:after="100"/>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pPr>
        <w:keepNext/>
        <w:jc w:val="center"/>
      </w:pPr>
      <w:r>
        <w:drawing>
          <wp:inline xmlns:a="http://schemas.openxmlformats.org/drawingml/2006/main" xmlns:pic="http://schemas.openxmlformats.org/drawingml/2006/picture">
            <wp:extent cx="6120000" cy="3060000"/>
            <wp:docPr id="1" name="Picture 1"/>
            <wp:cNvGraphicFramePr>
              <a:graphicFrameLocks noChangeAspect="1"/>
            </wp:cNvGraphicFramePr>
            <a:graphic>
              <a:graphicData uri="http://schemas.openxmlformats.org/drawingml/2006/picture">
                <pic:pic>
                  <pic:nvPicPr>
                    <pic:cNvPr id="0" name="qe_method_final_stage_image2_20261010.png"/>
                    <pic:cNvPicPr/>
                  </pic:nvPicPr>
                  <pic:blipFill>
                    <a:blip r:embed="rId10"/>
                    <a:stretch>
                      <a:fillRect/>
                    </a:stretch>
                  </pic:blipFill>
                  <pic:spPr>
                    <a:xfrm>
                      <a:off x="0" y="0"/>
                      <a:ext cx="6120000" cy="3060000"/>
                    </a:xfrm>
                    <a:prstGeom prst="rect"/>
                  </pic:spPr>
                </pic:pic>
              </a:graphicData>
            </a:graphic>
          </wp:inline>
        </w:drawing>
      </w:r>
    </w:p>
    <w:p>
      <w:pPr>
        <w:keepLines/>
        <w:spacing w:line="312" w:lineRule="auto" w:after="100"/>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pPr>
        <w:pStyle w:val="Heading1"/>
        <w:spacing w:before="180" w:after="100"/>
      </w:pPr>
      <w:r>
        <w:t>3.1 问题定义与信息分工</w:t>
      </w:r>
    </w:p>
    <w:p>
      <w:pPr>
        <w:keepLines/>
        <w:spacing w:line="312" w:lineRule="auto" w:after="100"/>
        <w:ind w:firstLine="425"/>
      </w:pPr>
      <w:r>
        <w:rPr>
          <w:rFonts w:ascii="Times New Roman" w:hAnsi="Times New Roman" w:eastAsia="宋体"/>
          <w:b w:val="0"/>
          <w:sz w:val="22"/>
        </w:rPr>
        <w:t>设候选目标集合为</w:t>
      </w:r>
      <m:oMath>
        <m:r>
          <w:rPr>
            <w:rFonts w:ascii="Cambria Math" w:hAnsi="Cambria Math"/>
            <w:sz w:val="22"/>
          </w:rPr>
          <m:t xml:space="preserve">P</m:t>
        </m:r>
      </m:oMath>
      <w:r>
        <w:rPr>
          <w:rFonts w:ascii="Times New Roman" w:hAnsi="Times New Roman" w:eastAsia="宋体"/>
          <w:b w:val="0"/>
          <w:sz w:val="22"/>
        </w:rPr>
        <w:t>，每个目标由原始图像</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、官方目标框</w:t>
      </w:r>
      <m:oMath>
        <m:sSub>
          <m:e>
            <m:r>
              <w:rPr>
                <w:rFonts w:ascii="Cambria Math" w:hAnsi="Cambria Math"/>
                <w:sz w:val="22"/>
              </w:rPr>
              <m:t xml:space="preserve">b</m:t>
            </m:r>
          </m:e>
          <m:sub>
            <m:r>
              <w:rPr>
                <w:rFonts w:ascii="Cambria Math" w:hAnsi="Cambria Math"/>
                <w:sz w:val="22"/>
              </w:rPr>
              <m:t xml:space="preserve">i</m:t>
            </m:r>
          </m:sub>
        </m:sSub>
      </m:oMath>
      <w:r>
        <w:rPr>
          <w:rFonts w:ascii="Times New Roman" w:hAnsi="Times New Roman" w:eastAsia="宋体"/>
          <w:b w:val="0"/>
          <w:sz w:val="22"/>
        </w:rPr>
        <w:t>及类别标签</w:t>
      </w:r>
      <m:oMath>
        <m:sSub>
          <m:e>
            <m:r>
              <w:rPr>
                <w:rFonts w:ascii="Cambria Math" w:hAnsi="Cambria Math"/>
                <w:sz w:val="22"/>
              </w:rPr>
              <m:t xml:space="preserve">y</m:t>
            </m:r>
          </m:e>
          <m:sub>
            <m:r>
              <w:rPr>
                <w:rFonts w:ascii="Cambria Math" w:hAnsi="Cambria Math"/>
                <w:sz w:val="22"/>
              </w:rPr>
              <m:t xml:space="preserve">i</m:t>
            </m:r>
          </m:sub>
        </m:sSub>
      </m:oMath>
      <w:r>
        <w:rPr>
          <w:rFonts w:ascii="Times New Roman" w:hAnsi="Times New Roman" w:eastAsia="宋体"/>
          <w:b w:val="0"/>
          <w:sz w:val="22"/>
        </w:rPr>
        <w:t>组成。类别集合包含犬、猫、马、羊、人和车，类别数记为</w:t>
      </w:r>
      <m:oMath>
        <m:r>
          <w:rPr>
            <w:rFonts w:ascii="Cambria Math" w:hAnsi="Cambria Math"/>
            <w:sz w:val="22"/>
          </w:rPr>
          <m:t xml:space="preserve">K</m:t>
        </m:r>
      </m:oMath>
      <w:r>
        <w:rPr>
          <w:rFonts w:ascii="Times New Roman" w:hAnsi="Times New Roman" w:eastAsia="宋体"/>
          <w:b w:val="0"/>
          <w:sz w:val="22"/>
        </w:rPr>
        <w:t>，当前实现中</w:t>
      </w:r>
      <m:oMath>
        <m:r>
          <w:rPr>
            <w:rFonts w:ascii="Cambria Math" w:hAnsi="Cambria Math"/>
            <w:sz w:val="22"/>
          </w:rPr>
          <m:t xml:space="preserve">K=6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 xml:space="preserve">x</m:t>
            </m:r>
          </m:e>
          <m:sub>
            <m:r>
              <w:rPr>
                <w:rFonts w:ascii="Cambria Math" w:hAnsi="Cambria Math"/>
                <w:sz w:val="22"/>
              </w:rPr>
              <m:t xml:space="preserve">i</m:t>
            </m:r>
          </m:sub>
        </m:sSub>
      </m:oMath>
      <w:r>
        <w:rPr>
          <w:rFonts w:ascii="Times New Roman" w:hAnsi="Times New Roman" w:eastAsia="宋体"/>
          <w:b w:val="0"/>
          <w:sz w:val="22"/>
        </w:rPr>
        <w:t>。</w:t>
      </w:r>
    </w:p>
    <w:p>
      <w:pPr>
        <w:keepLines/>
        <w:spacing w:line="312" w:lineRule="auto" w:after="100"/>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pPr>
        <w:keepLines/>
        <w:spacing w:line="312" w:lineRule="auto" w:after="100"/>
        <w:ind w:firstLine="425"/>
      </w:pPr>
      <w:r>
        <w:rPr>
          <w:rFonts w:ascii="Times New Roman" w:hAnsi="Times New Roman" w:eastAsia="宋体"/>
          <w:b w:val="0"/>
          <w:sz w:val="22"/>
        </w:rPr>
        <w:t>记被测模型为</w:t>
      </w:r>
      <m:oMath>
        <m:sSub>
          <m:e>
            <m:r>
              <w:rPr>
                <w:rFonts w:ascii="Cambria Math" w:hAnsi="Cambria Math"/>
                <w:sz w:val="22"/>
              </w:rPr>
              <m:t xml:space="preserve">f</m:t>
            </m:r>
          </m:e>
          <m:sub>
            <m:r>
              <w:rPr>
                <w:rFonts w:ascii="Cambria Math" w:hAnsi="Cambria Math"/>
                <w:sz w:val="22"/>
              </w:rPr>
              <m:t xml:space="preserve">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pStyle w:val="Heading1"/>
        <w:spacing w:before="180" w:after="100"/>
      </w:pPr>
      <w:r>
        <w:t>3.2 多视图视觉状态表示</w:t>
      </w:r>
    </w:p>
    <w:p>
      <w:pPr>
        <w:keepNext/>
        <w:keepLines/>
        <w:spacing w:line="312" w:lineRule="auto" w:after="100"/>
        <w:ind w:firstLine="425"/>
      </w:pPr>
      <w:r>
        <w:rPr>
          <w:rFonts w:ascii="Times New Roman" w:hAnsi="Times New Roman" w:eastAsia="宋体"/>
          <w:b w:val="0"/>
          <w:sz w:val="22"/>
        </w:rPr>
        <w:t>为同时获得场景信息和目标细节，将原图</w:t>
      </w:r>
      <m:oMath>
        <m:sSub>
          <m:e>
            <m:r>
              <w:rPr>
                <w:rFonts w:ascii="Cambria Math" w:hAnsi="Cambria Math"/>
                <w:sz w:val="22"/>
              </w:rPr>
              <m:t xml:space="preserve">I</m:t>
            </m:r>
          </m:e>
          <m:sub>
            <m:r>
              <w:rPr>
                <w:rFonts w:ascii="Cambria Math" w:hAnsi="Cambria Math"/>
                <w:sz w:val="22"/>
              </w:rPr>
              <m:t xml:space="preserve">i</m:t>
            </m:r>
          </m:sub>
        </m:sSub>
      </m:oMath>
      <w:r>
        <w:rPr>
          <w:rFonts w:ascii="Times New Roman" w:hAnsi="Times New Roman" w:eastAsia="宋体"/>
          <w:b w:val="0"/>
          <w:sz w:val="22"/>
        </w:rPr>
        <w:t>、目标框标记图</w:t>
      </w:r>
      <m:oMath>
        <m:sSub>
          <m:e>
            <m:r>
              <w:rPr>
                <w:rFonts w:ascii="Cambria Math" w:hAnsi="Cambria Math"/>
                <w:sz w:val="22"/>
              </w:rPr>
              <m:t xml:space="preserve">M</m:t>
            </m:r>
          </m:e>
          <m:sub>
            <m:r>
              <w:rPr>
                <w:rFonts w:ascii="Cambria Math" w:hAnsi="Cambria Math"/>
                <w:sz w:val="22"/>
              </w:rPr>
              <m:t xml:space="preserve">i</m:t>
            </m:r>
          </m:sub>
        </m:sSub>
      </m:oMath>
      <w:r>
        <w:rPr>
          <w:rFonts w:ascii="Times New Roman" w:hAnsi="Times New Roman" w:eastAsia="宋体"/>
          <w:b w:val="0"/>
          <w:sz w:val="22"/>
        </w:rPr>
        <w:t>及放大裁剪图</w:t>
      </w:r>
      <m:oMath>
        <m:sSub>
          <m:e>
            <m:r>
              <w:rPr>
                <w:rFonts w:ascii="Cambria Math" w:hAnsi="Cambria Math"/>
                <w:sz w:val="22"/>
              </w:rPr>
              <m:t xml:space="preserve">V</m:t>
            </m:r>
          </m:e>
          <m:sub>
            <m:r>
              <w:rPr>
                <w:rFonts w:ascii="Cambria Math" w:hAnsi="Cambria Math"/>
                <w:sz w:val="22"/>
              </w:rPr>
              <m:t xml:space="preserve">i</m:t>
            </m:r>
          </m:sub>
        </m:sSub>
      </m:oMath>
      <w:r>
        <w:rPr>
          <w:rFonts w:ascii="Times New Roman" w:hAnsi="Times New Roman" w:eastAsia="宋体"/>
          <w:b w:val="0"/>
          <w:sz w:val="22"/>
        </w:rPr>
        <w:t>输入状态描述器。设标注来源为</w:t>
      </w:r>
      <m:oMath>
        <m:r>
          <w:rPr>
            <w:rFonts w:ascii="Cambria Math" w:hAnsi="Cambria Math"/>
            <w:sz w:val="22"/>
          </w:rPr>
          <m:t xml:space="preserve">r∈</m:t>
        </m:r>
        <m:d>
          <m:dPr>
            <m:begChr m:val="{"/>
            <m:endChr m:val="}"/>
          </m:dPr>
          <m:e>
            <m:r>
              <m:rPr>
                <m:sty m:val="p"/>
              </m:rPr>
              <w:rPr>
                <w:rFonts w:ascii="Cambria Math" w:hAnsi="Cambria Math"/>
                <w:sz w:val="22"/>
              </w:rPr>
              <m:t xml:space="preserve">local</m:t>
            </m:r>
            <m:r>
              <w:rPr>
                <w:rFonts w:ascii="Cambria Math" w:hAnsi="Cambria Math"/>
                <w:sz w:val="22"/>
              </w:rPr>
              <m:t xml:space="preserve">,</m:t>
            </m:r>
            <m:r>
              <m:rPr>
                <m:sty m:val="p"/>
              </m:rPr>
              <w:rPr>
                <w:rFonts w:ascii="Cambria Math" w:hAnsi="Cambria Math"/>
                <w:sz w:val="22"/>
              </w:rPr>
              <m:t xml:space="preserve">online</m:t>
            </m:r>
          </m:e>
        </m:d>
      </m:oMath>
      <w:r>
        <w:rPr>
          <w:rFonts w:ascii="Times New Roman" w:hAnsi="Times New Roman" w:eastAsia="宋体"/>
          <w:b w:val="0"/>
          <w:sz w:val="22"/>
        </w:rPr>
        <w:t>，其输出为：</w:t>
      </w:r>
    </w:p>
    <w:p>
      <w:pPr>
        <w:spacing w:before="80" w:after="140"/>
        <w:jc w:val="center"/>
      </w:pPr>
      <m:oMathPara>
        <m:oMath>
          <m:sSubSup>
            <m:e>
              <m:r>
                <w:rPr>
                  <w:rFonts w:ascii="Cambria Math" w:hAnsi="Cambria Math"/>
                  <w:sz w:val="22"/>
                </w:rPr>
                <m:t xml:space="preserve">z</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sSub>
            <m:e>
              <m:r>
                <w:rPr>
                  <w:rFonts w:ascii="Cambria Math" w:hAnsi="Cambria Math"/>
                  <w:sz w:val="22"/>
                </w:rPr>
                <m:t xml:space="preserve">φ</m:t>
              </m:r>
            </m:e>
            <m:sub>
              <m:r>
                <w:rPr>
                  <w:rFonts w:ascii="Cambria Math" w:hAnsi="Cambria Math"/>
                  <w:sz w:val="22"/>
                </w:rPr>
                <m:t xml:space="preserve">r</m:t>
              </m:r>
            </m:sub>
          </m:sSub>
          <m:d>
            <m:dPr>
              <m:begChr m:val="("/>
              <m:endChr m:val=")"/>
            </m:dPr>
            <m:e>
              <m:sSub>
                <m:e>
                  <m:r>
                    <w:rPr>
                      <w:rFonts w:ascii="Cambria Math" w:hAnsi="Cambria Math"/>
                      <w:sz w:val="22"/>
                    </w:rPr>
                    <m:t xml:space="preserve">I</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M</m:t>
                  </m:r>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V</m:t>
                  </m:r>
                </m:e>
                <m:sub>
                  <m:r>
                    <w:rPr>
                      <w:rFonts w:ascii="Cambria Math" w:hAnsi="Cambria Math"/>
                      <w:sz w:val="22"/>
                    </w:rPr>
                    <m:t xml:space="preserve">i</m:t>
                  </m:r>
                </m:sub>
              </m:sSub>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其中，</w:t>
      </w:r>
      <m:oMath>
        <m:sSub>
          <m:e>
            <m:r>
              <w:rPr>
                <w:rFonts w:ascii="Cambria Math" w:hAnsi="Cambria Math"/>
                <w:sz w:val="22"/>
              </w:rPr>
              <m:t xml:space="preserve">φ</m:t>
            </m:r>
          </m:e>
          <m:sub>
            <m:r>
              <w:rPr>
                <w:rFonts w:ascii="Cambria Math" w:hAnsi="Cambria Math"/>
                <w:sz w:val="22"/>
              </w:rPr>
              <m:t xml:space="preserve">r</m:t>
            </m:r>
          </m:sub>
        </m:sSub>
      </m:oMath>
      <w:r>
        <w:rPr>
          <w:rFonts w:ascii="Times New Roman" w:hAnsi="Times New Roman" w:eastAsia="宋体"/>
          <w:b w:val="0"/>
          <w:sz w:val="22"/>
        </w:rPr>
        <w:t>表示按预定义字段及有限枚举值进行描述的VLM。当前实现分别使用本地Qwen3-VL与线上SenseNova，两套标注独立用于测试组织和结果分析，不进行分类概率融合。具体模型版本、提示及类别协议的字段映射在实验设置与补充材料中说明。</w:t>
      </w:r>
    </w:p>
    <w:p>
      <w:pPr>
        <w:keepLines/>
        <w:spacing w:line="312" w:lineRule="auto" w:after="100"/>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pPr>
        <w:keepLines/>
        <w:spacing w:line="312" w:lineRule="auto" w:after="100"/>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 xml:space="preserve">i</m:t>
        </m:r>
      </m:oMath>
      <w:r>
        <w:rPr>
          <w:rFonts w:ascii="Times New Roman" w:hAnsi="Times New Roman" w:eastAsia="宋体"/>
          <w:b w:val="0"/>
          <w:sz w:val="22"/>
        </w:rPr>
        <w:t>在来源</w:t>
      </w:r>
      <m:oMath>
        <m:r>
          <w:rPr>
            <w:rFonts w:ascii="Cambria Math" w:hAnsi="Cambria Math"/>
            <w:sz w:val="22"/>
          </w:rPr>
          <m:t xml:space="preserve">r</m:t>
        </m:r>
      </m:oMath>
      <w:r>
        <w:rPr>
          <w:rFonts w:ascii="Times New Roman" w:hAnsi="Times New Roman" w:eastAsia="宋体"/>
          <w:b w:val="0"/>
          <w:sz w:val="22"/>
        </w:rPr>
        <w:t>下激活的已知状态集合记为</w:t>
      </w:r>
      <m:oMath>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oMath>
      <w:r>
        <w:rPr>
          <w:rFonts w:ascii="Times New Roman" w:hAnsi="Times New Roman" w:eastAsia="宋体"/>
          <w:b w:val="0"/>
          <w:sz w:val="22"/>
        </w:rPr>
        <w:t>；多值字段可同时激活多个状态。无法判断的字段保留为unknown，不计为已获得的覆盖证据。结构化校验用于保证输出可解析及枚举合法，不据此认定自动状态具有完整语义准确性。</w:t>
      </w:r>
    </w:p>
    <w:p>
      <w:pPr>
        <w:pStyle w:val="Heading1"/>
        <w:spacing w:before="180" w:after="100"/>
      </w:pPr>
      <w:r>
        <w:t>3.3 状态覆盖度量与稀缺状态选样</w:t>
      </w:r>
    </w:p>
    <w:p>
      <w:pPr>
        <w:pStyle w:val="Heading2"/>
        <w:spacing w:before="180" w:after="100"/>
      </w:pPr>
      <w:r>
        <w:t>3.3.1 状态支持与频次覆盖</w:t>
      </w:r>
    </w:p>
    <w:p>
      <w:pPr>
        <w:keepNext/>
        <w:keepLines/>
        <w:spacing w:line="312" w:lineRule="auto" w:after="100"/>
        <w:ind w:firstLine="425"/>
      </w:pPr>
      <w:r>
        <w:rPr>
          <w:rFonts w:ascii="Times New Roman" w:hAnsi="Times New Roman" w:eastAsia="宋体"/>
          <w:b w:val="0"/>
          <w:sz w:val="22"/>
        </w:rPr>
        <w:t>对同一候选池，在类别</w:t>
      </w:r>
      <m:oMath>
        <m:r>
          <w:rPr>
            <w:rFonts w:ascii="Cambria Math" w:hAnsi="Cambria Math"/>
            <w:sz w:val="22"/>
          </w:rPr>
          <m:t xml:space="preserve">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。比较不同选样规模与方法时使用相同的</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。对于已选目标索引集合</w:t>
      </w:r>
      <m:oMath>
        <m:r>
          <w:rPr>
            <w:rFonts w:ascii="Cambria Math" w:hAnsi="Cambria Math"/>
            <w:sz w:val="22"/>
          </w:rPr>
          <m:t xml:space="preserve">S</m:t>
        </m:r>
      </m:oMath>
      <w:r>
        <w:rPr>
          <w:rFonts w:ascii="Times New Roman" w:hAnsi="Times New Roman" w:eastAsia="宋体"/>
          <w:b w:val="0"/>
          <w:sz w:val="22"/>
        </w:rPr>
        <w:t>，状态</w:t>
      </w:r>
      <m:oMath>
        <m:r>
          <w:rPr>
            <w:rFonts w:ascii="Cambria Math" w:hAnsi="Cambria Math"/>
            <w:sz w:val="22"/>
          </w:rPr>
          <m:t xml:space="preserve">s</m:t>
        </m:r>
      </m:oMath>
      <w:r>
        <w:rPr>
          <w:rFonts w:ascii="Times New Roman" w:hAnsi="Times New Roman" w:eastAsia="宋体"/>
          <w:b w:val="0"/>
          <w:sz w:val="22"/>
        </w:rPr>
        <w:t>的支持数定义为：</w:t>
      </w:r>
    </w:p>
    <w:p>
      <w:pPr>
        <w:spacing w:before="80" w:after="140"/>
        <w:jc w:val="center"/>
      </w:pPr>
      <m:oMathPara>
        <m:oMath>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i∈S</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e>
          </m:nary>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其中，</w:t>
      </w:r>
      <m:oMath>
        <m:r>
          <m:rPr>
            <m:sty m:val="p"/>
          </m:rPr>
          <w:rPr>
            <w:rFonts w:ascii="Cambria Math" w:hAnsi="Cambria Math"/>
            <w:sz w:val="22"/>
          </w:rPr>
          <m:t xml:space="preserve">1</m:t>
        </m:r>
        <m:d>
          <m:dPr>
            <m:begChr m:val="["/>
            <m:endChr m:val="]"/>
          </m:dPr>
          <m:e>
            <m:r>
              <w:rPr>
                <w:rFonts w:ascii="Cambria Math" w:hAnsi="Cambria Math"/>
                <w:sz w:val="22"/>
              </w:rPr>
              <m:t xml:space="preserve">·</m:t>
            </m:r>
          </m:e>
        </m:d>
      </m:oMath>
      <w:r>
        <w:rPr>
          <w:rFonts w:ascii="Times New Roman" w:hAnsi="Times New Roman" w:eastAsia="宋体"/>
          <w:b w:val="0"/>
          <w:sz w:val="22"/>
        </w:rPr>
        <w:t>为指示函数。采用支持数饱和的频次覆盖指标：</w:t>
      </w:r>
    </w:p>
    <w:p>
      <w:pPr>
        <w:spacing w:before="80" w:after="140"/>
        <w:jc w:val="center"/>
      </w:pPr>
      <m:oMathPara>
        <m:oMath>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m:t>
              </m:r>
              <m:sSub>
                <m:e>
                  <m:r>
                    <w:rPr>
                      <w:rFonts w:ascii="Cambria Math" w:hAnsi="Cambria Math"/>
                      <w:sz w:val="22"/>
                    </w:rPr>
                    <m:t xml:space="preserve">U</m:t>
                  </m:r>
                </m:e>
                <m:sub>
                  <m:r>
                    <w:rPr>
                      <w:rFonts w:ascii="Cambria Math" w:hAnsi="Cambria Math"/>
                      <w:sz w:val="22"/>
                    </w:rPr>
                    <m:t xml:space="preserve">c</m:t>
                  </m:r>
                </m:sub>
              </m:sSub>
              <m:r>
                <w:rPr>
                  <w:rFonts w:ascii="Cambria Math" w:hAnsi="Cambria Math"/>
                  <w:sz w:val="22"/>
                </w:rPr>
                <m:t xml:space="preserve">|</m:t>
              </m:r>
            </m:den>
          </m:f>
          <m:nary>
            <m:naryPr>
              <m:chr m:val="∑"/>
              <m:limLoc m:val="undOvr"/>
              <m:subHide m:val="0"/>
              <m:supHide m:val="1"/>
            </m:naryPr>
            <m:sub>
              <m:r>
                <w:rPr>
                  <w:rFonts w:ascii="Cambria Math" w:hAnsi="Cambria Math"/>
                  <w:sz w:val="22"/>
                </w:rPr>
                <m:t xml:space="preserve">s∈</m:t>
              </m:r>
              <m:sSub>
                <m:e>
                  <m:r>
                    <w:rPr>
                      <w:rFonts w:ascii="Cambria Math" w:hAnsi="Cambria Math"/>
                      <w:sz w:val="22"/>
                    </w:rPr>
                    <m:t xml:space="preserve">U</m:t>
                  </m:r>
                </m:e>
                <m:sub>
                  <m:r>
                    <w:rPr>
                      <w:rFonts w:ascii="Cambria Math" w:hAnsi="Cambria Math"/>
                      <w:sz w:val="22"/>
                    </w:rPr>
                    <m:t xml:space="preserve">c</m:t>
                  </m:r>
                </m:sub>
              </m:sSub>
            </m:sub>
            <m:sup/>
            <m:e>
              <m:r>
                <m:rPr>
                  <m:sty m:val="p"/>
                </m:rPr>
                <w:rPr>
                  <w:rFonts w:ascii="Cambria Math" w:hAnsi="Cambria Math"/>
                  <w:sz w:val="22"/>
                </w:rPr>
                <m:t xml:space="preserve">min</m:t>
              </m:r>
              <m:d>
                <m:dPr>
                  <m:begChr m:val="("/>
                  <m:endChr m:val=")"/>
                </m:dPr>
                <m:e>
                  <m:f>
                    <m:num>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num>
                    <m:den>
                      <m:r>
                        <w:rPr>
                          <w:rFonts w:ascii="Cambria Math" w:hAnsi="Cambria Math"/>
                          <w:sz w:val="22"/>
                        </w:rPr>
                        <m:t xml:space="preserve">τ</m:t>
                      </m:r>
                    </m:den>
                  </m:f>
                  <m:r>
                    <w:rPr>
                      <w:rFonts w:ascii="Cambria Math" w:hAnsi="Cambria Math"/>
                      <w:sz w:val="22"/>
                    </w:rPr>
                    <m:t xml:space="preserve">,1</m:t>
                  </m:r>
                </m:e>
              </m:d>
            </m:e>
          </m:nary>
          <m:r>
            <w:rPr>
              <w:rFonts w:ascii="Cambria Math" w:hAnsi="Cambria Math"/>
              <w:sz w:val="22"/>
            </w:rPr>
            <m:t xml:space="preserve">,   </m:t>
          </m:r>
          <m:sSup>
            <m:e>
              <m:r>
                <w:rPr>
                  <w:rFonts w:ascii="Cambria Math" w:hAnsi="Cambria Math"/>
                  <w:sz w:val="22"/>
                </w:rPr>
                <m:t xml:space="preserve">C</m:t>
              </m:r>
            </m:e>
            <m:sup>
              <m:r>
                <w:rPr>
                  <w:rFonts w:ascii="Cambria Math" w:hAnsi="Cambria Math"/>
                  <w:sz w:val="22"/>
                </w:rPr>
                <m:t xml:space="preserve">(r)</m:t>
              </m:r>
            </m:sup>
          </m:sSup>
          <m:d>
            <m:dPr>
              <m:begChr m:val="("/>
              <m:endChr m:val=")"/>
            </m:dPr>
            <m:e>
              <m:r>
                <w:rPr>
                  <w:rFonts w:ascii="Cambria Math" w:hAnsi="Cambria Math"/>
                  <w:sz w:val="22"/>
                </w:rPr>
                <m:t xml:space="preserve">S</m:t>
              </m:r>
            </m:e>
          </m:d>
          <m:r>
            <w:rPr>
              <w:rFonts w:ascii="Cambria Math" w:hAnsi="Cambria Math"/>
              <w:sz w:val="22"/>
            </w:rPr>
            <m:t xml:space="preserve">=</m:t>
          </m:r>
          <m:f>
            <m:num>
              <m:r>
                <w:rPr>
                  <w:rFonts w:ascii="Cambria Math" w:hAnsi="Cambria Math"/>
                  <w:sz w:val="22"/>
                </w:rPr>
                <m:t xml:space="preserve">1</m:t>
              </m:r>
            </m:num>
            <m:den>
              <m:r>
                <w:rPr>
                  <w:rFonts w:ascii="Cambria Math" w:hAnsi="Cambria Math"/>
                  <w:sz w:val="22"/>
                </w:rPr>
                <m:t xml:space="preserve">K</m:t>
              </m:r>
            </m:den>
          </m:f>
          <m:nary>
            <m:naryPr>
              <m:chr m:val="∑"/>
              <m:limLoc m:val="undOvr"/>
              <m:subHide m:val="0"/>
              <m:supHide m:val="0"/>
            </m:naryPr>
            <m:sub>
              <m:r>
                <w:rPr>
                  <w:rFonts w:ascii="Cambria Math" w:hAnsi="Cambria Math"/>
                  <w:sz w:val="22"/>
                </w:rPr>
                <m:t xml:space="preserve">c=1</m:t>
              </m:r>
            </m:sub>
            <m:sup>
              <m:r>
                <w:rPr>
                  <w:rFonts w:ascii="Cambria Math" w:hAnsi="Cambria Math"/>
                  <w:sz w:val="22"/>
                </w:rPr>
                <m:t xml:space="preserve">K</m:t>
              </m:r>
            </m:sup>
            <m:e>
              <m:sSubSup>
                <m:e>
                  <m:r>
                    <w:rPr>
                      <w:rFonts w:ascii="Cambria Math" w:hAnsi="Cambria Math"/>
                      <w:sz w:val="22"/>
                    </w:rPr>
                    <m:t xml:space="preserve">C</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S</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r>
      <m:oMath>
        <m:r>
          <w:rPr>
            <w:rFonts w:ascii="Cambria Math" w:hAnsi="Cambria Math"/>
            <w:sz w:val="22"/>
          </w:rPr>
          <m:t xml:space="preserve">τ</m:t>
        </m:r>
      </m:oMath>
      <w:r>
        <w:rPr>
          <w:rFonts w:ascii="Times New Roman" w:hAnsi="Times New Roman" w:eastAsia="宋体"/>
          <w:b w:val="0"/>
          <w:sz w:val="22"/>
        </w:rPr>
        <w:t>为状态支持的饱和阈值，当前取20。状态支持达到</w:t>
      </w:r>
      <m:oMath>
        <m:r>
          <w:rPr>
            <w:rFonts w:ascii="Cambria Math" w:hAnsi="Cambria Math"/>
            <w:sz w:val="22"/>
          </w:rPr>
          <m:t xml:space="preserve">τ</m:t>
        </m:r>
      </m:oMath>
      <w:r>
        <w:rPr>
          <w:rFonts w:ascii="Times New Roman" w:hAnsi="Times New Roman" w:eastAsia="宋体"/>
          <w:b w:val="0"/>
          <w:sz w:val="22"/>
        </w:rPr>
        <w:t>后，其覆盖贡献不再增加。先在类别内平均，再在类别间平均，以避免样本较多的类别主导总体覆盖。该指标描述当前词表与候选池中的单状态证据，不评价全部状态组合；状态集合不同的覆盖百分比不直接比较。</w:t>
      </w:r>
    </w:p>
    <w:p>
      <w:pPr>
        <w:pStyle w:val="Heading2"/>
        <w:spacing w:before="180" w:after="100"/>
      </w:pPr>
      <w:r>
        <w:t>3.3.2 稀缺状态增益与贪心选样</w:t>
      </w:r>
    </w:p>
    <w:p>
      <w:pPr>
        <w:keepNext/>
        <w:keepLines/>
        <w:spacing w:line="312" w:lineRule="auto" w:after="100"/>
        <w:ind w:firstLine="425"/>
      </w:pPr>
      <w:r>
        <w:rPr>
          <w:rFonts w:ascii="Times New Roman" w:hAnsi="Times New Roman" w:eastAsia="宋体"/>
          <w:b w:val="0"/>
          <w:sz w:val="22"/>
        </w:rPr>
        <w:t>为优先增加支持不足状态的测试证据，在类别</w:t>
      </w:r>
      <m:oMath>
        <m:r>
          <w:rPr>
            <w:rFonts w:ascii="Cambria Math" w:hAnsi="Cambria Math"/>
            <w:sz w:val="22"/>
          </w:rPr>
          <m:t xml:space="preserve">c</m:t>
        </m:r>
      </m:oMath>
      <w:r>
        <w:rPr>
          <w:rFonts w:ascii="Times New Roman" w:hAnsi="Times New Roman" w:eastAsia="宋体"/>
          <w:b w:val="0"/>
          <w:sz w:val="22"/>
        </w:rPr>
        <w:t>内计算候选目标</w:t>
      </w:r>
      <m:oMath>
        <m:r>
          <w:rPr>
            <w:rFonts w:ascii="Cambria Math" w:hAnsi="Cambria Math"/>
            <w:sz w:val="22"/>
          </w:rPr>
          <m:t xml:space="preserve">i</m:t>
        </m:r>
      </m:oMath>
      <w:r>
        <w:rPr>
          <w:rFonts w:ascii="Times New Roman" w:hAnsi="Times New Roman" w:eastAsia="宋体"/>
          <w:b w:val="0"/>
          <w:sz w:val="22"/>
        </w:rPr>
        <w:t>相对于当前集合</w:t>
      </w:r>
      <m:oMath>
        <m:r>
          <w:rPr>
            <w:rFonts w:ascii="Cambria Math" w:hAnsi="Cambria Math"/>
            <w:sz w:val="22"/>
          </w:rPr>
          <m:t xml:space="preserve">S</m:t>
        </m:r>
      </m:oMath>
      <w:r>
        <w:rPr>
          <w:rFonts w:ascii="Times New Roman" w:hAnsi="Times New Roman" w:eastAsia="宋体"/>
          <w:b w:val="0"/>
          <w:sz w:val="22"/>
        </w:rPr>
        <w:t>的增益：</w:t>
      </w:r>
    </w:p>
    <w:p>
      <w:pPr>
        <w:spacing w:before="80" w:after="140"/>
        <w:jc w:val="center"/>
      </w:pPr>
      <m:oMathPara>
        <m:oMath>
          <m:sSubSup>
            <m:e>
              <m:r>
                <w:rPr>
                  <w:rFonts w:ascii="Cambria Math" w:hAnsi="Cambria Math"/>
                  <w:sz w:val="22"/>
                </w:rPr>
                <m:t xml:space="preserve">g</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i|S</m:t>
              </m:r>
            </m:e>
          </m:d>
          <m:r>
            <w:rPr>
              <w:rFonts w:ascii="Cambria Math" w:hAnsi="Cambria Math"/>
              <w:sz w:val="22"/>
            </w:rPr>
            <m:t xml:space="preserve">=</m:t>
          </m:r>
          <m:nary>
            <m:naryPr>
              <m:chr m:val="∑"/>
              <m:limLoc m:val="undOvr"/>
              <m:subHide m:val="0"/>
              <m:supHide m:val="1"/>
            </m:naryPr>
            <m:sub>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 </m:t>
              </m:r>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&lt;τ</m:t>
              </m:r>
            </m:sub>
            <m:sup/>
            <m:e>
              <m:d>
                <m:dPr>
                  <m:begChr m:val="["/>
                  <m:endChr m:val="]"/>
                </m:dPr>
                <m:e>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+2</m:t>
                      </m:r>
                    </m:e>
                  </m:d>
                  <m:r>
                    <w:rPr>
                      <w:rFonts w:ascii="Cambria Math" w:hAnsi="Cambria Math"/>
                      <w:sz w:val="22"/>
                    </w:rPr>
                    <m:t xml:space="preserve">−</m:t>
                  </m:r>
                  <m:r>
                    <m:rPr>
                      <m:sty m:val="p"/>
                    </m:rPr>
                    <w:rPr>
                      <w:rFonts w:ascii="Cambria Math" w:hAnsi="Cambria Math"/>
                      <w:sz w:val="22"/>
                    </w:rPr>
                    <m:t xml:space="preserve">log</m:t>
                  </m:r>
                  <m:d>
                    <m:dPr>
                      <m:begChr m:val="("/>
                      <m:endChr m:val=")"/>
                    </m:dPr>
                    <m:e>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S</m:t>
                          </m:r>
                        </m:e>
                      </m:d>
                      <m:r>
                        <w:rPr>
                          <w:rFonts w:ascii="Cambria Math" w:hAnsi="Cambria Math"/>
                          <w:sz w:val="22"/>
                        </w:rPr>
                        <m:t xml:space="preserve">+1</m:t>
                      </m:r>
                    </m:e>
                  </m:d>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已有支持越少，新增目标提供的边际增益越大。选样初始集合为空，状态计数为零。在每轮中，从满足当前配额的未选目标中选择增益最大的目标，并更新状态计数。增益相同时按目标ID排序，保证给定输入下选样次序确定。按Q1至Q5依次完成各层配额，状态计数在同一类别内跨风险层累计。</w:t>
      </w:r>
    </w:p>
    <w:p>
      <w:pPr>
        <w:keepLines/>
        <w:spacing w:line="312" w:lineRule="auto" w:after="100"/>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剩余配额限定，以减少风险构成差异对选样比较的影响。风险评分及风险层构造见第3.4节。发现阶段的匹配对照以覆盖选样结果的风险格频数作为随机选样配额，两种配额设置的适用实验分别说明。</w:t>
      </w:r>
    </w:p>
    <w:p>
      <w:pPr>
        <w:keepLines/>
        <w:spacing w:line="312" w:lineRule="auto" w:after="100"/>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pPr>
        <w:pStyle w:val="Heading1"/>
        <w:spacing w:before="180" w:after="100"/>
      </w:pPr>
      <w:r>
        <w:t>3.4 类别内风险组织与测试构成调节</w:t>
      </w:r>
    </w:p>
    <w:p>
      <w:pPr>
        <w:pStyle w:val="Heading2"/>
        <w:spacing w:before="180" w:after="100"/>
      </w:pPr>
      <w:r>
        <w:t>3.4.1 预定义风险评分</w:t>
      </w:r>
    </w:p>
    <w:p>
      <w:pPr>
        <w:keepNext/>
        <w:keepLines/>
        <w:spacing w:line="312" w:lineRule="auto" w:after="100"/>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 xml:space="preserve">D</m:t>
        </m:r>
      </m:oMath>
      <w:r>
        <w:rPr>
          <w:rFonts w:ascii="Times New Roman" w:hAnsi="Times New Roman" w:eastAsia="宋体"/>
          <w:b w:val="0"/>
          <w:sz w:val="22"/>
        </w:rPr>
        <w:t>，第</w:t>
      </w:r>
      <m:oMath>
        <m:r>
          <w:rPr>
            <w:rFonts w:ascii="Cambria Math" w:hAnsi="Cambria Math"/>
            <w:sz w:val="22"/>
          </w:rPr>
          <m:t xml:space="preserve">d</m:t>
        </m:r>
      </m:oMath>
      <w:r>
        <w:rPr>
          <w:rFonts w:ascii="Times New Roman" w:hAnsi="Times New Roman" w:eastAsia="宋体"/>
          <w:b w:val="0"/>
          <w:sz w:val="22"/>
        </w:rPr>
        <w:t>维的映射为</w:t>
      </w:r>
      <m:oMath>
        <m:sSub>
          <m:e>
            <m:r>
              <w:rPr>
                <w:rFonts w:ascii="Cambria Math" w:hAnsi="Cambria Math"/>
                <w:sz w:val="22"/>
              </w:rPr>
              <m:t xml:space="preserve">h</m:t>
            </m:r>
          </m:e>
          <m:sub>
            <m:r>
              <w:rPr>
                <w:rFonts w:ascii="Cambria Math" w:hAnsi="Cambria Math"/>
                <w:sz w:val="22"/>
              </w:rPr>
              <m:t xml:space="preserve">d</m:t>
            </m:r>
          </m:sub>
        </m:sSub>
      </m:oMath>
      <w:r>
        <w:rPr>
          <w:rFonts w:ascii="Times New Roman" w:hAnsi="Times New Roman" w:eastAsia="宋体"/>
          <w:b w:val="0"/>
          <w:sz w:val="22"/>
        </w:rPr>
        <w:t>，目标的综合风险为：</w:t>
      </w:r>
    </w:p>
    <w:p>
      <w:pPr>
        <w:spacing w:before="80" w:after="140"/>
        <w:jc w:val="center"/>
      </w:pPr>
      <m:oMathPara>
        <m:oMath>
          <m:sSubSup>
            <m:e>
              <m:r>
                <w:rPr>
                  <w:rFonts w:ascii="Cambria Math" w:hAnsi="Cambria Math"/>
                  <w:sz w:val="22"/>
                </w:rPr>
                <m:t xml:space="preserve">H</m:t>
              </m:r>
            </m:e>
            <m:sub>
              <m:r>
                <w:rPr>
                  <w:rFonts w:ascii="Cambria Math" w:hAnsi="Cambria Math"/>
                  <w:sz w:val="22"/>
                </w:rPr>
                <m:t xml:space="preserve">i</m:t>
              </m:r>
            </m:sub>
            <m:sup>
              <m:r>
                <w:rPr>
                  <w:rFonts w:ascii="Cambria Math" w:hAnsi="Cambria Math"/>
                  <w:sz w:val="22"/>
                </w:rPr>
                <m:t xml:space="preserve">(r)</m:t>
              </m:r>
            </m:sup>
          </m:sSubSup>
          <m:r>
            <w:rPr>
              <w:rFonts w:ascii="Cambria Math" w:hAnsi="Cambria Math"/>
              <w:sz w:val="22"/>
            </w:rPr>
            <m:t xml:space="preserve">=</m:t>
          </m:r>
          <m:nary>
            <m:naryPr>
              <m:chr m:val="∑"/>
              <m:limLoc m:val="undOvr"/>
              <m:subHide m:val="0"/>
              <m:supHide m:val="1"/>
            </m:naryPr>
            <m:sub>
              <m:r>
                <w:rPr>
                  <w:rFonts w:ascii="Cambria Math" w:hAnsi="Cambria Math"/>
                  <w:sz w:val="22"/>
                </w:rPr>
                <m:t xml:space="preserve">d∈D</m:t>
              </m:r>
            </m:sub>
            <m:sup/>
            <m:e>
              <m:sSub>
                <m:e>
                  <m:r>
                    <w:rPr>
                      <w:rFonts w:ascii="Cambria Math" w:hAnsi="Cambria Math"/>
                      <w:sz w:val="22"/>
                    </w:rPr>
                    <m:t xml:space="preserve">h</m:t>
                  </m:r>
                </m:e>
                <m:sub>
                  <m:r>
                    <w:rPr>
                      <w:rFonts w:ascii="Cambria Math" w:hAnsi="Cambria Math"/>
                      <w:sz w:val="22"/>
                    </w:rPr>
                    <m:t xml:space="preserve">d</m:t>
                  </m:r>
                </m:sub>
              </m:sSub>
              <m:d>
                <m:dPr>
                  <m:begChr m:val="("/>
                  <m:endChr m:val=")"/>
                </m:dPr>
                <m:e>
                  <m:r>
                    <w:rPr>
                      <w:rFonts w:ascii="Cambria Math" w:hAnsi="Cambria Math"/>
                      <w:sz w:val="22"/>
                    </w:rPr>
                    <m:t xml:space="preserve">i,r</m:t>
                  </m:r>
                </m:e>
              </m:d>
            </m:e>
          </m:nary>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各维度映射如表1所示。尺度分值由</w:t>
      </w:r>
      <m:oMath>
        <m:sSub>
          <m:e>
            <m:r>
              <w:rPr>
                <w:rFonts w:ascii="Cambria Math" w:hAnsi="Cambria Math"/>
                <w:sz w:val="22"/>
              </w:rPr>
              <m:t xml:space="preserve">a</m:t>
            </m:r>
          </m:e>
          <m:sub>
            <m:r>
              <w:rPr>
                <w:rFonts w:ascii="Cambria Math" w:hAnsi="Cambria Math"/>
                <w:sz w:val="22"/>
              </w:rPr>
              <m:t xml:space="preserve">i</m:t>
            </m:r>
          </m:sub>
        </m:sSub>
      </m:oMath>
      <w:r>
        <w:rPr>
          <w:rFonts w:ascii="Times New Roman" w:hAnsi="Times New Roman" w:eastAsia="宋体"/>
          <w:b w:val="0"/>
          <w:sz w:val="22"/>
        </w:rPr>
        <w:t>计算，其他分值由相应来源的状态确定。该映射为预定义的启发式测试组织规则，不是由分类性能拟合的最优权重。评分不读取被测分类器的预测、置信度、表征或错误，也不使用VLM的可识别性字段。</w:t>
      </w:r>
    </w:p>
    <w:tbl>
      <w:tblPr>
        <w:tblStyle w:val="TableGrid"/>
        <w:tblW w:type="auto" w:w="0"/>
        <w:jc w:val="center"/>
        <w:tblLayout w:type="fixed"/>
        <w:tblLook w:firstColumn="1" w:firstRow="1" w:lastColumn="0" w:lastRow="0" w:noHBand="0" w:noVBand="1" w:val="04A0"/>
      </w:tblPr>
      <w:tblGrid>
        <w:gridCol w:w="1701"/>
        <w:gridCol w:w="7937"/>
      </w:tblGrid>
      <w:tr>
        <w:trPr>
          <w:cantSplit/>
        </w:trPr>
        <w:tc>
          <w:tcPr>
            <w:tcW w:type="dxa" w:w="4819"/>
          </w:tcPr>
          <w:p>
            <w:pPr>
              <w:spacing w:after="60" w:line="276" w:lineRule="auto"/>
            </w:pPr>
            <w:r>
              <w:rPr>
                <w:rFonts w:ascii="Times New Roman" w:hAnsi="Times New Roman" w:eastAsia="黑体"/>
                <w:b/>
                <w:sz w:val="19"/>
              </w:rPr>
              <w:t>维度</w:t>
            </w:r>
          </w:p>
        </w:tc>
        <w:tc>
          <w:tcPr>
            <w:tcW w:type="dxa" w:w="4819"/>
          </w:tcPr>
          <w:p>
            <w:pPr>
              <w:spacing w:after="60" w:line="276" w:lineRule="auto"/>
            </w:pPr>
            <w:r>
              <w:rPr>
                <w:rFonts w:ascii="Times New Roman" w:hAnsi="Times New Roman" w:eastAsia="黑体"/>
                <w:b/>
                <w:sz w:val="19"/>
              </w:rPr>
              <w:t>状态或区间及对应分值</w:t>
            </w:r>
          </w:p>
        </w:tc>
      </w:tr>
      <w:tr>
        <w:trPr>
          <w:cantSplit/>
        </w:trPr>
        <w:tc>
          <w:tcPr>
            <w:tcW w:type="dxa" w:w="4819"/>
          </w:tcPr>
          <w:p>
            <w:pPr>
              <w:spacing w:after="60" w:line="276" w:lineRule="auto"/>
            </w:pPr>
            <w:r>
              <w:rPr>
                <w:rFonts w:ascii="Times New Roman" w:hAnsi="Times New Roman" w:eastAsia="宋体"/>
                <w:b w:val="0"/>
                <w:sz w:val="19"/>
              </w:rPr>
              <w:t>目标尺度</w:t>
            </w:r>
          </w:p>
        </w:tc>
        <w:tc>
          <w:tcPr>
            <w:tcW w:type="dxa" w:w="4819"/>
          </w:tcPr>
          <w:p>
            <w:pPr>
              <w:spacing w:after="60" w:line="276" w:lineRule="auto"/>
            </w:pPr>
            <w:r>
              <w:rPr>
                <w:rFonts w:ascii="Times New Roman" w:hAnsi="Times New Roman" w:eastAsia="宋体"/>
                <w:b w:val="0"/>
                <w:sz w:val="19"/>
              </w:rPr>
              <w:t>a≥0.10：0；0.03≤a&lt;0.10：1；0.01≤a&lt;0.03：2；a&lt;0.01：3</w:t>
            </w:r>
          </w:p>
        </w:tc>
      </w:tr>
      <w:tr>
        <w:trPr>
          <w:cantSplit/>
        </w:trPr>
        <w:tc>
          <w:tcPr>
            <w:tcW w:type="dxa" w:w="4819"/>
          </w:tcPr>
          <w:p>
            <w:pPr>
              <w:spacing w:after="60" w:line="276" w:lineRule="auto"/>
            </w:pPr>
            <w:r>
              <w:rPr>
                <w:rFonts w:ascii="Times New Roman" w:hAnsi="Times New Roman" w:eastAsia="宋体"/>
                <w:b w:val="0"/>
                <w:sz w:val="19"/>
              </w:rPr>
              <w:t>身体可见性</w:t>
            </w:r>
          </w:p>
        </w:tc>
        <w:tc>
          <w:tcPr>
            <w:tcW w:type="dxa" w:w="4819"/>
          </w:tcPr>
          <w:p>
            <w:pPr>
              <w:spacing w:after="60" w:line="276" w:lineRule="auto"/>
            </w:pPr>
            <w:r>
              <w:rPr>
                <w:rFonts w:ascii="Times New Roman" w:hAnsi="Times New Roman" w:eastAsia="宋体"/>
                <w:b w:val="0"/>
                <w:sz w:val="19"/>
              </w:rPr>
              <w:t>full／most：0；partial：2；minimal：3</w:t>
            </w:r>
          </w:p>
        </w:tc>
      </w:tr>
      <w:tr>
        <w:trPr>
          <w:cantSplit/>
        </w:trPr>
        <w:tc>
          <w:tcPr>
            <w:tcW w:type="dxa" w:w="4819"/>
          </w:tcPr>
          <w:p>
            <w:pPr>
              <w:spacing w:after="60" w:line="276" w:lineRule="auto"/>
            </w:pPr>
            <w:r>
              <w:rPr>
                <w:rFonts w:ascii="Times New Roman" w:hAnsi="Times New Roman" w:eastAsia="宋体"/>
                <w:b w:val="0"/>
                <w:sz w:val="19"/>
              </w:rPr>
              <w:t>遮挡程度</w:t>
            </w:r>
          </w:p>
        </w:tc>
        <w:tc>
          <w:tcPr>
            <w:tcW w:type="dxa" w:w="4819"/>
          </w:tcPr>
          <w:p>
            <w:pPr>
              <w:spacing w:after="60" w:line="276" w:lineRule="auto"/>
            </w:pPr>
            <w:r>
              <w:rPr>
                <w:rFonts w:ascii="Times New Roman" w:hAnsi="Times New Roman" w:eastAsia="宋体"/>
                <w:b w:val="0"/>
                <w:sz w:val="19"/>
              </w:rPr>
              <w:t>none：0；light：1；moderate：2；heavy：3</w:t>
            </w:r>
          </w:p>
        </w:tc>
      </w:tr>
      <w:tr>
        <w:trPr>
          <w:cantSplit/>
        </w:trPr>
        <w:tc>
          <w:tcPr>
            <w:tcW w:type="dxa" w:w="4819"/>
          </w:tcPr>
          <w:p>
            <w:pPr>
              <w:spacing w:after="60" w:line="276" w:lineRule="auto"/>
            </w:pPr>
            <w:r>
              <w:rPr>
                <w:rFonts w:ascii="Times New Roman" w:hAnsi="Times New Roman" w:eastAsia="宋体"/>
                <w:b w:val="0"/>
                <w:sz w:val="19"/>
              </w:rPr>
              <w:t>截断程度</w:t>
            </w:r>
          </w:p>
        </w:tc>
        <w:tc>
          <w:tcPr>
            <w:tcW w:type="dxa" w:w="4819"/>
          </w:tcPr>
          <w:p>
            <w:pPr>
              <w:spacing w:after="60" w:line="276" w:lineRule="auto"/>
            </w:pPr>
            <w:r>
              <w:rPr>
                <w:rFonts w:ascii="Times New Roman" w:hAnsi="Times New Roman" w:eastAsia="宋体"/>
                <w:b w:val="0"/>
                <w:sz w:val="19"/>
              </w:rPr>
              <w:t>none：0；light：0.5；moderate：1；heavy：2</w:t>
            </w:r>
          </w:p>
        </w:tc>
      </w:tr>
      <w:tr>
        <w:trPr>
          <w:cantSplit/>
        </w:trPr>
        <w:tc>
          <w:tcPr>
            <w:tcW w:type="dxa" w:w="4819"/>
          </w:tcPr>
          <w:p>
            <w:pPr>
              <w:spacing w:after="60" w:line="276" w:lineRule="auto"/>
            </w:pPr>
            <w:r>
              <w:rPr>
                <w:rFonts w:ascii="Times New Roman" w:hAnsi="Times New Roman" w:eastAsia="宋体"/>
                <w:b w:val="0"/>
                <w:sz w:val="19"/>
              </w:rPr>
              <w:t>身体朝向</w:t>
            </w:r>
          </w:p>
        </w:tc>
        <w:tc>
          <w:tcPr>
            <w:tcW w:type="dxa" w:w="4819"/>
          </w:tcPr>
          <w:p>
            <w:pPr>
              <w:spacing w:after="60" w:line="276" w:lineRule="auto"/>
            </w:pPr>
            <w:r>
              <w:rPr>
                <w:rFonts w:ascii="Times New Roman" w:hAnsi="Times New Roman" w:eastAsia="宋体"/>
                <w:b w:val="0"/>
                <w:sz w:val="19"/>
              </w:rPr>
              <w:t>front／left_side／right_side／three_quarter：0；back：1；overhead_or_unusual：2</w:t>
            </w:r>
          </w:p>
        </w:tc>
      </w:tr>
    </w:tbl>
    <w:p>
      <w:pPr>
        <w:spacing w:after="0"/>
      </w:pPr>
    </w:p>
    <w:p>
      <w:pPr>
        <w:keepLines/>
        <w:spacing w:line="312" w:lineRule="auto" w:after="100"/>
      </w:pPr>
      <w:r>
        <w:rPr>
          <w:rFonts w:ascii="Times New Roman" w:hAnsi="Times New Roman" w:eastAsia="宋体"/>
          <w:b w:val="0"/>
          <w:sz w:val="18"/>
        </w:rPr>
        <w:t>表1　预定义风险映射。五项分值相加后的范围为0—13；a为目标框面积与原始图像面积之比。</w:t>
      </w:r>
    </w:p>
    <w:p>
      <w:pPr>
        <w:keepLines/>
        <w:spacing w:line="312" w:lineRule="auto" w:after="100"/>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pPr>
        <w:pStyle w:val="Heading2"/>
        <w:spacing w:before="180" w:after="100"/>
      </w:pPr>
      <w:r>
        <w:t>3.4.2 类别内分层与风险混合</w:t>
      </w:r>
    </w:p>
    <w:p>
      <w:pPr>
        <w:keepLines/>
        <w:spacing w:line="312" w:lineRule="auto" w:after="100"/>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pPr>
        <w:keepNext/>
        <w:keepLines/>
        <w:spacing w:line="312" w:lineRule="auto" w:after="100"/>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 xml:space="preserve">m</m:t>
        </m:r>
      </m:oMath>
      <w:r>
        <w:rPr>
          <w:rFonts w:ascii="Times New Roman" w:hAnsi="Times New Roman" w:eastAsia="宋体"/>
          <w:b w:val="0"/>
          <w:sz w:val="22"/>
        </w:rPr>
        <w:t>，并调节高风险占比</w:t>
      </w:r>
      <m:oMath>
        <m:r>
          <w:rPr>
            <w:rFonts w:ascii="Cambria Math" w:hAnsi="Cambria Math"/>
            <w:sz w:val="22"/>
          </w:rPr>
          <m:t xml:space="preserve">ρ</m:t>
        </m:r>
      </m:oMath>
      <w:r>
        <w:rPr>
          <w:rFonts w:ascii="Times New Roman" w:hAnsi="Times New Roman" w:eastAsia="宋体"/>
          <w:b w:val="0"/>
          <w:sz w:val="22"/>
        </w:rPr>
        <w:t>。主分析从Q5抽取</w:t>
      </w:r>
      <m:oMath>
        <m:r>
          <w:rPr>
            <w:rFonts w:ascii="Cambria Math" w:hAnsi="Cambria Math"/>
            <w:sz w:val="22"/>
          </w:rPr>
          <m:t xml:space="preserve">ρm</m:t>
        </m:r>
      </m:oMath>
      <w:r>
        <w:rPr>
          <w:rFonts w:ascii="Times New Roman" w:hAnsi="Times New Roman" w:eastAsia="宋体"/>
          <w:b w:val="0"/>
          <w:sz w:val="22"/>
        </w:rPr>
        <w:t>个目标，从Q1至Q4的并集抽取其余目标：</w:t>
      </w:r>
    </w:p>
    <w:p>
      <w:pPr>
        <w:spacing w:before="80" w:after="140"/>
        <w:jc w:val="center"/>
      </w:pPr>
      <m:oMathPara>
        <m:oMath>
          <m:sSubSup>
            <m:e>
              <m:r>
                <w:rPr>
                  <w:rFonts w:ascii="Cambria Math" w:hAnsi="Cambria Math"/>
                  <w:sz w:val="22"/>
                </w:rPr>
                <m:t xml:space="preserve">T</m:t>
              </m:r>
            </m:e>
            <m:sub>
              <m:r>
                <w:rPr>
                  <w:rFonts w:ascii="Cambria Math" w:hAnsi="Cambria Math"/>
                  <w:sz w:val="22"/>
                </w:rPr>
                <m:t xml:space="preserve">c</m:t>
              </m:r>
            </m:sub>
            <m:sup>
              <m:r>
                <w:rPr>
                  <w:rFonts w:ascii="Cambria Math" w:hAnsi="Cambria Math"/>
                  <w:sz w:val="22"/>
                </w:rPr>
                <m:t xml:space="preserve">(r)</m:t>
              </m:r>
            </m:sup>
          </m:sSubSup>
          <m:d>
            <m:dPr>
              <m:begChr m:val="("/>
              <m:endChr m:val=")"/>
            </m:dPr>
            <m:e>
              <m:r>
                <w:rPr>
                  <w:rFonts w:ascii="Cambria Math" w:hAnsi="Cambria Math"/>
                  <w:sz w:val="22"/>
                </w:rPr>
                <m:t xml:space="preserve">ρ</m:t>
              </m:r>
            </m:e>
          </m:d>
          <m:r>
            <w:rPr>
              <w:rFonts w:ascii="Cambria Math" w:hAnsi="Cambria Math"/>
              <w:sz w:val="22"/>
            </w:rPr>
            <m:t xml:space="preserve">=</m:t>
          </m:r>
          <m:r>
            <m:rPr>
              <m:sty m:val="p"/>
            </m:rPr>
            <w:rPr>
              <w:rFonts w:ascii="Cambria Math" w:hAnsi="Cambria Math"/>
              <w:sz w:val="22"/>
            </w:rPr>
            <m:t xml:space="preserve">Sample</m:t>
          </m:r>
          <m:d>
            <m:dPr>
              <m:begChr m:val="("/>
              <m:endChr m:val=")"/>
            </m:dPr>
            <m:e>
              <m:sSubSup>
                <m:e>
                  <m:r>
                    <w:rPr>
                      <w:rFonts w:ascii="Cambria Math" w:hAnsi="Cambria Math"/>
                      <w:sz w:val="22"/>
                    </w:rPr>
                    <m:t xml:space="preserve">Q</m:t>
                  </m:r>
                </m:e>
                <m:sub>
                  <m:r>
                    <w:rPr>
                      <w:rFonts w:ascii="Cambria Math" w:hAnsi="Cambria Math"/>
                      <w:sz w:val="22"/>
                    </w:rPr>
                    <m:t xml:space="preserve">c,5</m:t>
                  </m:r>
                </m:sub>
                <m:sup>
                  <m:r>
                    <w:rPr>
                      <w:rFonts w:ascii="Cambria Math" w:hAnsi="Cambria Math"/>
                      <w:sz w:val="22"/>
                    </w:rPr>
                    <m:t xml:space="preserve">(r)</m:t>
                  </m:r>
                </m:sup>
              </m:sSubSup>
              <m:r>
                <w:rPr>
                  <w:rFonts w:ascii="Cambria Math" w:hAnsi="Cambria Math"/>
                  <w:sz w:val="22"/>
                </w:rPr>
                <m:t xml:space="preserve">,ρm</m:t>
              </m:r>
            </m:e>
          </m:d>
          <m:r>
            <w:rPr>
              <w:rFonts w:ascii="Cambria Math" w:hAnsi="Cambria Math"/>
              <w:sz w:val="22"/>
            </w:rPr>
            <m:t xml:space="preserve">∪</m:t>
          </m:r>
          <m:r>
            <m:rPr>
              <m:sty m:val="p"/>
            </m:rPr>
            <w:rPr>
              <w:rFonts w:ascii="Cambria Math" w:hAnsi="Cambria Math"/>
              <w:sz w:val="22"/>
            </w:rPr>
            <m:t xml:space="preserve">Sample</m:t>
          </m:r>
          <m:d>
            <m:dPr>
              <m:begChr m:val="("/>
              <m:endChr m:val=")"/>
            </m:dPr>
            <m:e>
              <m:nary>
                <m:naryPr>
                  <m:chr m:val="⋃"/>
                  <m:limLoc m:val="undOvr"/>
                  <m:subHide m:val="0"/>
                  <m:supHide m:val="0"/>
                </m:naryPr>
                <m:sub>
                  <m:r>
                    <w:rPr>
                      <w:rFonts w:ascii="Cambria Math" w:hAnsi="Cambria Math"/>
                      <w:sz w:val="22"/>
                    </w:rPr>
                    <m:t xml:space="preserve">ℓ=1</m:t>
                  </m:r>
                </m:sub>
                <m:sup>
                  <m:r>
                    <w:rPr>
                      <w:rFonts w:ascii="Cambria Math" w:hAnsi="Cambria Math"/>
                      <w:sz w:val="22"/>
                    </w:rPr>
                    <m:t xml:space="preserve">4</m:t>
                  </m:r>
                </m:sup>
                <m:e>
                  <m:sSubSup>
                    <m:e>
                      <m:r>
                        <w:rPr>
                          <w:rFonts w:ascii="Cambria Math" w:hAnsi="Cambria Math"/>
                          <w:sz w:val="22"/>
                        </w:rPr>
                        <m:t xml:space="preserve">Q</m:t>
                      </m:r>
                    </m:e>
                    <m:sub>
                      <m:r>
                        <w:rPr>
                          <w:rFonts w:ascii="Cambria Math" w:hAnsi="Cambria Math"/>
                          <w:sz w:val="22"/>
                        </w:rPr>
                        <m:t xml:space="preserve">c,ℓ</m:t>
                      </m:r>
                    </m:sub>
                    <m:sup>
                      <m:r>
                        <w:rPr>
                          <w:rFonts w:ascii="Cambria Math" w:hAnsi="Cambria Math"/>
                          <w:sz w:val="22"/>
                        </w:rPr>
                        <m:t xml:space="preserve">(r)</m:t>
                      </m:r>
                    </m:sup>
                  </m:sSubSup>
                </m:e>
              </m:nary>
              <m:r>
                <w:rPr>
                  <w:rFonts w:ascii="Cambria Math" w:hAnsi="Cambria Math"/>
                  <w:sz w:val="22"/>
                </w:rPr>
                <m:t xml:space="preserve">,</m:t>
              </m:r>
              <m:d>
                <m:dPr>
                  <m:begChr m:val="("/>
                  <m:endChr m:val=")"/>
                </m:dPr>
                <m:e>
                  <m:r>
                    <w:rPr>
                      <w:rFonts w:ascii="Cambria Math" w:hAnsi="Cambria Math"/>
                      <w:sz w:val="22"/>
                    </w:rPr>
                    <m:t xml:space="preserve">1−ρ</m:t>
                  </m:r>
                </m:e>
              </m:d>
              <m:r>
                <w:rPr>
                  <w:rFonts w:ascii="Cambria Math" w:hAnsi="Cambria Math"/>
                  <w:sz w:val="22"/>
                </w:rPr>
                <m:t xml:space="preserve">m</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Sample表示无放回抽样，</w:t>
      </w:r>
      <m:oMath>
        <m:r>
          <w:rPr>
            <w:rFonts w:ascii="Cambria Math" w:hAnsi="Cambria Math"/>
            <w:sz w:val="22"/>
          </w:rPr>
          <m:t xml:space="preserve">ρ</m:t>
        </m:r>
      </m:oMath>
      <w:r>
        <w:rPr>
          <w:rFonts w:ascii="Times New Roman" w:hAnsi="Times New Roman" w:eastAsia="宋体"/>
          <w:b w:val="0"/>
          <w:sz w:val="22"/>
        </w:rPr>
        <w:t>取能够产生整数样本数且不超出各层容量的值。将各类别目标合并为测试集</w:t>
      </w:r>
      <m:oMath>
        <m:sSup>
          <m:e>
            <m:r>
              <w:rPr>
                <w:rFonts w:ascii="Cambria Math" w:hAnsi="Cambria Math"/>
                <w:sz w:val="22"/>
              </w:rPr>
              <m:t xml:space="preserve">T</m:t>
            </m:r>
          </m:e>
          <m:sup>
            <m:r>
              <w:rPr>
                <w:rFonts w:ascii="Cambria Math" w:hAnsi="Cambria Math"/>
                <w:sz w:val="22"/>
              </w:rPr>
              <m:t xml:space="preserve">(r)</m:t>
            </m:r>
          </m:sup>
        </m:sSup>
        <m:d>
          <m:dPr>
            <m:begChr m:val="("/>
            <m:endChr m:val=")"/>
          </m:dPr>
          <m:e>
            <m:r>
              <w:rPr>
                <w:rFonts w:ascii="Cambria Math" w:hAnsi="Cambria Math"/>
                <w:sz w:val="22"/>
              </w:rPr>
              <m:t xml:space="preserve">ρ</m:t>
            </m:r>
          </m:e>
        </m:d>
      </m:oMath>
      <w:r>
        <w:rPr>
          <w:rFonts w:ascii="Times New Roman" w:hAnsi="Times New Roman" w:eastAsia="宋体"/>
          <w:b w:val="0"/>
          <w:sz w:val="22"/>
        </w:rPr>
        <w:t>，使测试总量</w:t>
      </w:r>
      <m:oMath>
        <m:r>
          <w:rPr>
            <w:rFonts w:ascii="Cambria Math" w:hAnsi="Cambria Math"/>
            <w:sz w:val="22"/>
          </w:rPr>
          <m:t xml:space="preserve">Km</m:t>
        </m:r>
      </m:oMath>
      <w:r>
        <w:rPr>
          <w:rFonts w:ascii="Times New Roman" w:hAnsi="Times New Roman" w:eastAsia="宋体"/>
          <w:b w:val="0"/>
          <w:sz w:val="22"/>
        </w:rPr>
        <w:t>和类别比例保持一致。对各比例重复抽样，在相同测试样本上比较各模型的性能响应及模型间排名变化。模型扩展分析采用Q1与Q5混合；两种混合协议对应的模型组、抽样设置和结果在实验章节分别说明。</w:t>
      </w:r>
    </w:p>
    <w:p>
      <w:pPr>
        <w:keepLines/>
        <w:spacing w:line="312" w:lineRule="auto" w:after="100"/>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pPr>
        <w:pStyle w:val="Heading1"/>
        <w:spacing w:before="180" w:after="100"/>
      </w:pPr>
      <w:r>
        <w:t>3.5 视觉条件评价与失败信息广度</w:t>
      </w:r>
    </w:p>
    <w:p>
      <w:pPr>
        <w:pStyle w:val="Heading2"/>
        <w:spacing w:before="180" w:after="100"/>
      </w:pPr>
      <w:r>
        <w:t>3.5.1 整体与状态条件表现</w:t>
      </w:r>
    </w:p>
    <w:p>
      <w:pPr>
        <w:keepLines/>
        <w:spacing w:line="312" w:lineRule="auto" w:after="100"/>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f</m:t>
            </m:r>
          </m:e>
          <m:sub>
            <m:r>
              <w:rPr>
                <w:rFonts w:ascii="Cambria Math" w:hAnsi="Cambria Math"/>
                <w:sz w:val="22"/>
              </w:rPr>
              <m:t xml:space="preserve">θ</m:t>
            </m:r>
          </m:sub>
        </m:sSub>
        <m:d>
          <m:dPr>
            <m:begChr m:val="("/>
            <m:endChr m:val=")"/>
          </m:dPr>
          <m:e>
            <m:sSub>
              <m:e>
                <m:r>
                  <w:rPr>
                    <w:rFonts w:ascii="Cambria Math" w:hAnsi="Cambria Math"/>
                    <w:sz w:val="22"/>
                  </w:rPr>
                  <m:t xml:space="preserve">x</m:t>
                </m:r>
              </m:e>
              <m:sub>
                <m:r>
                  <w:rPr>
                    <w:rFonts w:ascii="Cambria Math" w:hAnsi="Cambria Math"/>
                    <w:sz w:val="22"/>
                  </w:rPr>
                  <m:t xml:space="preserve">i</m:t>
                </m:r>
              </m:sub>
            </m:sSub>
          </m:e>
        </m:d>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pPr>
        <w:keepNext/>
        <w:keepLines/>
        <w:spacing w:line="312" w:lineRule="auto" w:after="100"/>
        <w:ind w:firstLine="425"/>
      </w:pPr>
      <w:r>
        <w:rPr>
          <w:rFonts w:ascii="Times New Roman" w:hAnsi="Times New Roman" w:eastAsia="宋体"/>
          <w:b w:val="0"/>
          <w:sz w:val="22"/>
        </w:rPr>
        <w:t>进一步在真实类别</w:t>
      </w:r>
      <m:oMath>
        <m:r>
          <w:rPr>
            <w:rFonts w:ascii="Cambria Math" w:hAnsi="Cambria Math"/>
            <w:sz w:val="22"/>
          </w:rPr>
          <m:t xml:space="preserve">c</m:t>
        </m:r>
      </m:oMath>
      <w:r>
        <w:rPr>
          <w:rFonts w:ascii="Times New Roman" w:hAnsi="Times New Roman" w:eastAsia="宋体"/>
          <w:b w:val="0"/>
          <w:sz w:val="22"/>
        </w:rPr>
        <w:t>内，统计状态</w:t>
      </w:r>
      <m:oMath>
        <m:r>
          <w:rPr>
            <w:rFonts w:ascii="Cambria Math" w:hAnsi="Cambria Math"/>
            <w:sz w:val="22"/>
          </w:rPr>
          <m:t xml:space="preserve">s</m:t>
        </m:r>
      </m:oMath>
      <w:r>
        <w:rPr>
          <w:rFonts w:ascii="Times New Roman" w:hAnsi="Times New Roman" w:eastAsia="宋体"/>
          <w:b w:val="0"/>
          <w:sz w:val="22"/>
        </w:rPr>
        <w:t>的条件Recall：</w:t>
      </w:r>
    </w:p>
    <w:p>
      <w:pPr>
        <w:spacing w:before="80" w:after="140"/>
        <w:jc w:val="center"/>
      </w:pPr>
      <m:oMathPara>
        <m:oMath>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f>
            <m:num>
              <m:nary>
                <m:naryPr>
                  <m:chr m:val="∑"/>
                  <m:limLoc m:val="undOvr"/>
                  <m:subHide m:val="0"/>
                  <m:supHide m:val="1"/>
                </m:naryPr>
                <m:sub>
                  <m:r>
                    <w:rPr>
                      <w:rFonts w:ascii="Cambria Math" w:hAnsi="Cambria Math"/>
                      <w:sz w:val="22"/>
                    </w:rPr>
                    <m:t xml:space="preserve">i∈T</m:t>
                  </m:r>
                </m:sub>
                <m:sup/>
                <m:e>
                  <m:r>
                    <m:rPr>
                      <m:sty m:val="p"/>
                    </m:rPr>
                    <w:rPr>
                      <w:rFonts w:ascii="Cambria Math" w:hAnsi="Cambria Math"/>
                      <w:sz w:val="22"/>
                    </w:rPr>
                    <m:t xml:space="preserve">1</m:t>
                  </m:r>
                  <m:d>
                    <m:dPr>
                      <m:begChr m:val="["/>
                      <m:endChr m:val="]"/>
                    </m:dPr>
                    <m:e>
                      <m:sSub>
                        <m:e>
                          <m:r>
                            <w:rPr>
                              <w:rFonts w:ascii="Cambria Math" w:hAnsi="Cambria Math"/>
                              <w:sz w:val="22"/>
                            </w:rPr>
                            <m:t xml:space="preserve">y</m:t>
                          </m:r>
                        </m:e>
                        <m:sub>
                          <m:r>
                            <w:rPr>
                              <w:rFonts w:ascii="Cambria Math" w:hAnsi="Cambria Math"/>
                              <w:sz w:val="22"/>
                            </w:rPr>
                            <m:t xml:space="preserve">i</m:t>
                          </m:r>
                        </m:sub>
                      </m:sSub>
                      <m:r>
                        <w:rPr>
                          <w:rFonts w:ascii="Cambria Math" w:hAnsi="Cambria Math"/>
                          <w:sz w:val="22"/>
                        </w:rPr>
                        <m:t xml:space="preserve">=c</m:t>
                      </m:r>
                    </m:e>
                  </m:d>
                  <m:r>
                    <m:rPr>
                      <m:sty m:val="p"/>
                    </m:rPr>
                    <w:rPr>
                      <w:rFonts w:ascii="Cambria Math" w:hAnsi="Cambria Math"/>
                      <w:sz w:val="22"/>
                    </w:rPr>
                    <m:t xml:space="preserve">1</m:t>
                  </m:r>
                  <m:d>
                    <m:dPr>
                      <m:begChr m:val="["/>
                      <m:endChr m:val="]"/>
                    </m:dPr>
                    <m:e>
                      <m:r>
                        <w:rPr>
                          <w:rFonts w:ascii="Cambria Math" w:hAnsi="Cambria Math"/>
                          <w:sz w:val="22"/>
                        </w:rPr>
                        <m:t xml:space="preserve">s∈</m:t>
                      </m:r>
                      <m:sSubSup>
                        <m:e>
                          <m:r>
                            <w:rPr>
                              <w:rFonts w:ascii="Cambria Math" w:hAnsi="Cambria Math"/>
                              <w:sz w:val="22"/>
                            </w:rPr>
                            <m:t xml:space="preserve">A</m:t>
                          </m:r>
                        </m:e>
                        <m:sub>
                          <m:r>
                            <w:rPr>
                              <w:rFonts w:ascii="Cambria Math" w:hAnsi="Cambria Math"/>
                              <w:sz w:val="22"/>
                            </w:rPr>
                            <m:t xml:space="preserve">i</m:t>
                          </m:r>
                        </m:sub>
                        <m:sup>
                          <m:r>
                            <w:rPr>
                              <w:rFonts w:ascii="Cambria Math" w:hAnsi="Cambria Math"/>
                              <w:sz w:val="22"/>
                            </w:rPr>
                            <m:t xml:space="preserve">(r)</m:t>
                          </m:r>
                        </m:sup>
                      </m:sSubSup>
                    </m:e>
                  </m:d>
                  <m:r>
                    <m:rPr>
                      <m:sty m:val="p"/>
                    </m:rPr>
                    <w:rPr>
                      <w:rFonts w:ascii="Cambria Math" w:hAnsi="Cambria Math"/>
                      <w:sz w:val="22"/>
                    </w:rPr>
                    <m:t xml:space="preserve">1</m:t>
                  </m:r>
                  <m:d>
                    <m:dPr>
                      <m:begChr m:val="["/>
                      <m:endChr m:val="]"/>
                    </m:dPr>
                    <m:e>
                      <m:sSub>
                        <m:e>
                          <m:acc>
                            <m:accPr>
                              <m:chr m:val="̂"/>
                            </m:accPr>
                            <m:e>
                              <m:r>
                                <w:rPr>
                                  <w:rFonts w:ascii="Cambria Math" w:hAnsi="Cambria Math"/>
                                  <w:sz w:val="22"/>
                                </w:rPr>
                                <m:t xml:space="preserve">y</m:t>
                              </m:r>
                            </m:e>
                          </m:acc>
                        </m:e>
                        <m:sub>
                          <m:r>
                            <w:rPr>
                              <w:rFonts w:ascii="Cambria Math" w:hAnsi="Cambria Math"/>
                              <w:sz w:val="22"/>
                            </w:rPr>
                            <m:t xml:space="preserve">i</m:t>
                          </m:r>
                        </m:sub>
                      </m:sSub>
                      <m:r>
                        <w:rPr>
                          <w:rFonts w:ascii="Cambria Math" w:hAnsi="Cambria Math"/>
                          <w:sz w:val="22"/>
                        </w:rPr>
                        <m:t xml:space="preserve">=</m:t>
                      </m:r>
                      <m:sSub>
                        <m:e>
                          <m:r>
                            <w:rPr>
                              <w:rFonts w:ascii="Cambria Math" w:hAnsi="Cambria Math"/>
                              <w:sz w:val="22"/>
                            </w:rPr>
                            <m:t xml:space="preserve">y</m:t>
                          </m:r>
                        </m:e>
                        <m:sub>
                          <m:r>
                            <w:rPr>
                              <w:rFonts w:ascii="Cambria Math" w:hAnsi="Cambria Math"/>
                              <w:sz w:val="22"/>
                            </w:rPr>
                            <m:t xml:space="preserve">i</m:t>
                          </m:r>
                        </m:sub>
                      </m:sSub>
                    </m:e>
                  </m:d>
                </m:e>
              </m:nary>
            </m:num>
            <m:den>
              <m:sSubSup>
                <m:e>
                  <m:r>
                    <w:rPr>
                      <w:rFonts w:ascii="Cambria Math" w:hAnsi="Cambria Math"/>
                      <w:sz w:val="22"/>
                    </w:rPr>
                    <m:t xml:space="preserve">n</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den>
          </m:f>
          <m:r>
            <w:rPr>
              <w:rFonts w:ascii="Cambria Math" w:hAnsi="Cambria Math"/>
              <w:sz w:val="22"/>
            </w:rPr>
            <m:t xml:space="preserve">.</m:t>
          </m:r>
        </m:oMath>
      </m:oMathPara>
    </w:p>
    <w:p>
      <w:pPr>
        <w:keepNext/>
        <w:keepLines/>
        <w:spacing w:line="312" w:lineRule="auto" w:after="100"/>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pPr>
        <w:spacing w:before="80" w:after="140"/>
        <w:jc w:val="center"/>
      </w:pPr>
      <m:oMathPara>
        <m:oMath>
          <m:sSubSup>
            <m:e>
              <m:r>
                <w:rPr>
                  <w:rFonts w:ascii="Cambria Math" w:hAnsi="Cambria Math"/>
                  <w:sz w:val="22"/>
                </w:rPr>
                <m:t xml:space="preserve">Δ</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Sup>
            <m:e>
              <m:r>
                <m:rPr>
                  <m:sty m:val="p"/>
                </m:rPr>
                <w:rPr>
                  <w:rFonts w:ascii="Cambria Math" w:hAnsi="Cambria Math"/>
                  <w:sz w:val="22"/>
                </w:rPr>
                <m:t xml:space="preserve">Rec</m:t>
              </m:r>
            </m:e>
            <m:sub>
              <m:r>
                <w:rPr>
                  <w:rFonts w:ascii="Cambria Math" w:hAnsi="Cambria Math"/>
                  <w:sz w:val="22"/>
                </w:rPr>
                <m:t xml:space="preserve">c,s</m:t>
              </m:r>
            </m:sub>
            <m:sup>
              <m:r>
                <w:rPr>
                  <w:rFonts w:ascii="Cambria Math" w:hAnsi="Cambria Math"/>
                  <w:sz w:val="22"/>
                </w:rPr>
                <m:t xml:space="preserve">(r)</m:t>
              </m:r>
            </m:sup>
          </m:sSubSup>
          <m:d>
            <m:dPr>
              <m:begChr m:val="("/>
              <m:endChr m:val=")"/>
            </m:dPr>
            <m:e>
              <m:r>
                <w:rPr>
                  <w:rFonts w:ascii="Cambria Math" w:hAnsi="Cambria Math"/>
                  <w:sz w:val="22"/>
                </w:rPr>
                <m:t xml:space="preserve">T</m:t>
              </m:r>
            </m:e>
          </m:d>
          <m:r>
            <w:rPr>
              <w:rFonts w:ascii="Cambria Math" w:hAnsi="Cambria Math"/>
              <w:sz w:val="22"/>
            </w:rPr>
            <m:t xml:space="preserve">−</m:t>
          </m:r>
          <m:sSub>
            <m:e>
              <m:r>
                <m:rPr>
                  <m:sty m:val="p"/>
                </m:rPr>
                <w:rPr>
                  <w:rFonts w:ascii="Cambria Math" w:hAnsi="Cambria Math"/>
                  <w:sz w:val="22"/>
                </w:rPr>
                <m:t xml:space="preserve">Rec</m:t>
              </m:r>
            </m:e>
            <m:sub>
              <m:r>
                <w:rPr>
                  <w:rFonts w:ascii="Cambria Math" w:hAnsi="Cambria Math"/>
                  <w:sz w:val="22"/>
                </w:rPr>
                <m:t xml:space="preserve">c</m:t>
              </m:r>
            </m:sub>
          </m:sSub>
          <m:d>
            <m:dPr>
              <m:begChr m:val="("/>
              <m:endChr m:val=")"/>
            </m:dPr>
            <m:e>
              <m:r>
                <w:rPr>
                  <w:rFonts w:ascii="Cambria Math" w:hAnsi="Cambria Math"/>
                  <w:sz w:val="22"/>
                </w:rPr>
                <m:t xml:space="preserve">T</m:t>
              </m:r>
            </m:e>
          </m:d>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pPr>
        <w:pStyle w:val="Heading2"/>
        <w:spacing w:before="180" w:after="100"/>
      </w:pPr>
      <w:r>
        <w:t>3.5.2 错误数量与失败信息的区分</w:t>
      </w:r>
    </w:p>
    <w:p>
      <w:pPr>
        <w:keepLines/>
        <w:spacing w:line="312" w:lineRule="auto" w:after="100"/>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 xml:space="preserve">U</m:t>
            </m:r>
          </m:e>
          <m:sub>
            <m:r>
              <w:rPr>
                <w:rFonts w:ascii="Cambria Math" w:hAnsi="Cambria Math"/>
                <w:sz w:val="22"/>
              </w:rPr>
              <m:t xml:space="preserve">c</m:t>
            </m:r>
          </m:sub>
        </m:sSub>
      </m:oMath>
      <w:r>
        <w:rPr>
          <w:rFonts w:ascii="Times New Roman" w:hAnsi="Times New Roman" w:eastAsia="宋体"/>
          <w:b w:val="0"/>
          <w:sz w:val="22"/>
        </w:rPr>
        <w:t>的比例，再进行类别宏平均。该支持门槛用于判断状态是否具有基本测试支持，与第3.6节的薄弱条件筛选门槛分别设置，具体数值在实验章节说明。</w:t>
      </w:r>
    </w:p>
    <w:p>
      <w:pPr>
        <w:keepLines/>
        <w:spacing w:line="312" w:lineRule="auto" w:after="100"/>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表征来源与聚类配置按实验说明；表征簇用于描述错误目标的表征多样性，不解释为独立缺陷根因。</w:t>
      </w:r>
    </w:p>
    <w:p>
      <w:pPr>
        <w:keepNext/>
        <w:keepLines/>
        <w:spacing w:line="312" w:lineRule="auto" w:after="100"/>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w:rPr>
            <w:rFonts w:ascii="Cambria Math" w:hAnsi="Cambria Math"/>
            <w:sz w:val="22"/>
          </w:rPr>
          <m:t xml:space="preserve">q</m:t>
        </m:r>
      </m:oMath>
      <w:r>
        <w:rPr>
          <w:rFonts w:ascii="Times New Roman" w:hAnsi="Times New Roman" w:eastAsia="宋体"/>
          <w:b w:val="0"/>
          <w:sz w:val="22"/>
        </w:rPr>
        <w:t>。设某方法共有</w:t>
      </w:r>
      <m:oMath>
        <m:r>
          <w:rPr>
            <w:rFonts w:ascii="Cambria Math" w:hAnsi="Cambria Math"/>
            <w:sz w:val="22"/>
          </w:rPr>
          <m:t xml:space="preserve">N</m:t>
        </m:r>
      </m:oMath>
      <w:r>
        <w:rPr>
          <w:rFonts w:ascii="Times New Roman" w:hAnsi="Times New Roman" w:eastAsia="宋体"/>
          <w:b w:val="0"/>
          <w:sz w:val="22"/>
        </w:rPr>
        <w:t>个错误，其中一种混淆类型或表征簇出现</w:t>
      </w:r>
      <m:oMath>
        <m:r>
          <w:rPr>
            <w:rFonts w:ascii="Cambria Math" w:hAnsi="Cambria Math"/>
            <w:sz w:val="22"/>
          </w:rPr>
          <m:t xml:space="preserve">e</m:t>
        </m:r>
      </m:oMath>
      <w:r>
        <w:rPr>
          <w:rFonts w:ascii="Times New Roman" w:hAnsi="Times New Roman" w:eastAsia="宋体"/>
          <w:b w:val="0"/>
          <w:sz w:val="22"/>
        </w:rPr>
        <w:t>次，则无放回抽取</w:t>
      </w:r>
      <m:oMath>
        <m:r>
          <w:rPr>
            <w:rFonts w:ascii="Cambria Math" w:hAnsi="Cambria Math"/>
            <w:sz w:val="22"/>
          </w:rPr>
          <m:t xml:space="preserve">q</m:t>
        </m:r>
      </m:oMath>
      <w:r>
        <w:rPr>
          <w:rFonts w:ascii="Times New Roman" w:hAnsi="Times New Roman" w:eastAsia="宋体"/>
          <w:b w:val="0"/>
          <w:sz w:val="22"/>
        </w:rPr>
        <w:t>个错误后观察到该类型的期望贡献为：</w:t>
      </w:r>
    </w:p>
    <w:p>
      <w:pPr>
        <w:spacing w:before="80" w:after="140"/>
        <w:jc w:val="center"/>
      </w:pPr>
      <m:oMathPara>
        <m:oMath>
          <m:r>
            <w:rPr>
              <w:rFonts w:ascii="Cambria Math" w:hAnsi="Cambria Math"/>
              <w:sz w:val="22"/>
            </w:rPr>
            <m:t xml:space="preserve">𝔼</m:t>
          </m:r>
          <m:d>
            <m:dPr>
              <m:begChr m:val="["/>
              <m:endChr m:val="]"/>
            </m:dPr>
            <m:e>
              <m:r>
                <m:rPr>
                  <m:sty m:val="p"/>
                </m:rPr>
                <w:rPr>
                  <w:rFonts w:ascii="Cambria Math" w:hAnsi="Cambria Math"/>
                  <w:sz w:val="22"/>
                </w:rPr>
                <m:t xml:space="preserve">1</m:t>
              </m:r>
              <m:d>
                <m:dPr>
                  <m:begChr m:val="("/>
                  <m:endChr m:val=")"/>
                </m:dPr>
                <m:e>
                  <m:r>
                    <m:rPr>
                      <m:sty m:val="p"/>
                    </m:rPr>
                    <w:rPr>
                      <w:rFonts w:ascii="Cambria Math" w:hAnsi="Cambria Math"/>
                      <w:sz w:val="22"/>
                    </w:rPr>
                    <m:t xml:space="preserve">type observed</m:t>
                  </m:r>
                </m:e>
              </m:d>
            </m:e>
          </m:d>
          <m:r>
            <w:rPr>
              <w:rFonts w:ascii="Cambria Math" w:hAnsi="Cambria Math"/>
              <w:sz w:val="22"/>
            </w:rPr>
            <m:t xml:space="preserve">=1−</m:t>
          </m:r>
          <m:f>
            <m:num>
              <m:d>
                <m:dPr>
                  <m:begChr m:val="("/>
                  <m:endChr m:val=")"/>
                </m:dPr>
                <m:e>
                  <m:f>
                    <m:fPr>
                      <m:type m:val="noBar"/>
                    </m:fPr>
                    <m:num>
                      <m:r>
                        <w:rPr>
                          <w:rFonts w:ascii="Cambria Math" w:hAnsi="Cambria Math"/>
                          <w:sz w:val="22"/>
                        </w:rPr>
                        <m:t xml:space="preserve">N−e</m:t>
                      </m:r>
                    </m:num>
                    <m:den>
                      <m:r>
                        <w:rPr>
                          <w:rFonts w:ascii="Cambria Math" w:hAnsi="Cambria Math"/>
                          <w:sz w:val="22"/>
                        </w:rPr>
                        <m:t xml:space="preserve">q</m:t>
                      </m:r>
                    </m:den>
                  </m:f>
                </m:e>
              </m:d>
            </m:num>
            <m:den>
              <m:d>
                <m:dPr>
                  <m:begChr m:val="("/>
                  <m:endChr m:val=")"/>
                </m:dPr>
                <m:e>
                  <m:f>
                    <m:fPr>
                      <m:type m:val="noBar"/>
                    </m:fPr>
                    <m:num>
                      <m:r>
                        <w:rPr>
                          <w:rFonts w:ascii="Cambria Math" w:hAnsi="Cambria Math"/>
                          <w:sz w:val="22"/>
                        </w:rPr>
                        <m:t xml:space="preserve">N</m:t>
                      </m:r>
                    </m:num>
                    <m:den>
                      <m:r>
                        <w:rPr>
                          <w:rFonts w:ascii="Cambria Math" w:hAnsi="Cambria Math"/>
                          <w:sz w:val="22"/>
                        </w:rPr>
                        <m:t xml:space="preserve">q</m:t>
                      </m:r>
                    </m:den>
                  </m:f>
                </m:e>
              </m:d>
            </m:den>
          </m:f>
          <m:r>
            <w:rPr>
              <w:rFonts w:ascii="Cambria Math" w:hAnsi="Cambria Math"/>
              <w:sz w:val="22"/>
            </w:rPr>
            <m:t xml:space="preserve">.</m:t>
          </m:r>
        </m:oMath>
      </m:oMathPara>
    </w:p>
    <w:p>
      <w:pPr>
        <w:keepLines/>
        <w:spacing w:line="312" w:lineRule="auto" w:after="100"/>
        <w:ind w:firstLine="425"/>
      </w:pPr>
      <w:r>
        <w:rPr>
          <w:rFonts w:ascii="Times New Roman" w:hAnsi="Times New Roman" w:eastAsia="宋体"/>
          <w:b w:val="0"/>
          <w:sz w:val="22"/>
        </w:rPr>
        <w:t>分别对两类指标的类型贡献求和，按上述完整候选池中的类型数或簇数归一化，再进行类别宏平均。若</w:t>
      </w:r>
      <m:oMath>
        <m:r>
          <w:rPr>
            <w:rFonts w:ascii="Cambria Math" w:hAnsi="Cambria Math"/>
            <w:sz w:val="22"/>
          </w:rPr>
          <m:t xml:space="preserve">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pPr>
        <w:keepLines/>
        <w:spacing w:line="312" w:lineRule="auto" w:after="100"/>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pPr>
        <w:pStyle w:val="Heading1"/>
        <w:spacing w:before="180" w:after="100"/>
      </w:pPr>
      <w:r>
        <w:t>3.6 条件能力报告与薄弱条件复查</w:t>
      </w:r>
    </w:p>
    <w:p>
      <w:pPr>
        <w:keepLines/>
        <w:spacing w:line="312" w:lineRule="auto" w:after="100"/>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pPr>
        <w:keepLines/>
        <w:spacing w:line="312" w:lineRule="auto" w:after="100"/>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sectPr w:rsidR="00FC693F" w:rsidRPr="0006063C" w:rsidSect="00034616">
      <w:footerReference w:type="default" r:id="rId9"/>
      <w:pgSz w:w="11906" w:h="16838"/>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研究方法：视觉状态驱动的模型测试</dc:title>
  <dc:subject/>
  <dc:creator>QE项目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