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30DD">
      <w:pPr>
        <w:pStyle w:val="31"/>
        <w:spacing w:before="0" w:after="100"/>
        <w:rPr>
          <w:rFonts w:hint="eastAsia" w:ascii="黑体" w:hAnsi="黑体" w:eastAsia="黑体" w:cs="黑体"/>
        </w:rPr>
      </w:pPr>
      <w:r>
        <w:rPr>
          <w:rFonts w:hint="eastAsia" w:ascii="黑体" w:hAnsi="黑体" w:eastAsia="黑体" w:cs="黑体"/>
        </w:rPr>
        <w:t>3 研究方法</w:t>
      </w:r>
    </w:p>
    <w:p w14:paraId="5F733F15">
      <w:pPr>
        <w:keepLines/>
        <w:spacing w:after="100" w:line="312" w:lineRule="auto"/>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14:paraId="3FDB4EEB">
      <w:pPr>
        <w:keepNext/>
        <w:jc w:val="center"/>
      </w:pPr>
      <w:r>
        <w:drawing>
          <wp:inline distT="0" distB="0" distL="114300" distR="114300">
            <wp:extent cx="6110605" cy="2242820"/>
            <wp:effectExtent l="0" t="0" r="1079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10605" cy="2242820"/>
                    </a:xfrm>
                    <a:prstGeom prst="rect">
                      <a:avLst/>
                    </a:prstGeom>
                    <a:noFill/>
                    <a:ln>
                      <a:noFill/>
                    </a:ln>
                  </pic:spPr>
                </pic:pic>
              </a:graphicData>
            </a:graphic>
          </wp:inline>
        </w:drawing>
      </w:r>
    </w:p>
    <w:p w14:paraId="12548379">
      <w:pPr>
        <w:keepLines/>
        <w:spacing w:after="100" w:line="312" w:lineRule="auto"/>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14:paraId="439D839F">
      <w:pPr>
        <w:pStyle w:val="3"/>
        <w:spacing w:before="180" w:after="100"/>
        <w:rPr>
          <w:rFonts w:hint="eastAsia" w:ascii="黑体" w:hAnsi="黑体" w:eastAsia="黑体" w:cs="黑体"/>
        </w:rPr>
      </w:pPr>
      <w:r>
        <w:rPr>
          <w:rFonts w:hint="eastAsia" w:ascii="黑体" w:hAnsi="黑体" w:eastAsia="黑体" w:cs="黑体"/>
        </w:rPr>
        <w:t>3.1 问</w:t>
      </w:r>
      <w:r>
        <w:rPr>
          <w:rFonts w:hint="eastAsia" w:ascii="黑体" w:hAnsi="黑体" w:eastAsia="黑体" w:cs="黑体"/>
        </w:rPr>
        <w:t>题定义与信息分工</w:t>
      </w:r>
    </w:p>
    <w:p w14:paraId="3DCD3C22">
      <w:pPr>
        <w:keepLines/>
        <w:spacing w:after="100" w:line="312" w:lineRule="auto"/>
        <w:ind w:firstLine="425"/>
      </w:pPr>
      <w:r>
        <w:rPr>
          <w:rFonts w:ascii="Times New Roman" w:hAnsi="Times New Roman" w:eastAsia="宋体"/>
          <w:b w:val="0"/>
          <w:sz w:val="22"/>
        </w:rPr>
        <w:t>设候选目标集合为</w:t>
      </w:r>
      <m:oMath>
        <m:r>
          <m:rPr/>
          <w:rPr>
            <w:rFonts w:ascii="Cambria Math" w:hAnsi="Cambria Math"/>
            <w:sz w:val="22"/>
          </w:rPr>
          <m:t>P</m:t>
        </m:r>
      </m:oMath>
      <w:r>
        <w:rPr>
          <w:rFonts w:ascii="Times New Roman" w:hAnsi="Times New Roman" w:eastAsia="宋体"/>
          <w:b w:val="0"/>
          <w:sz w:val="22"/>
        </w:rPr>
        <w:t>，每个目标由原始图像</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、官方目标框</w:t>
      </w:r>
      <m:oMath>
        <m:sSub>
          <m:sSubPr/>
          <m:e>
            <m:r>
              <m:rPr/>
              <w:rPr>
                <w:rFonts w:ascii="Cambria Math" w:hAnsi="Cambria Math"/>
                <w:sz w:val="22"/>
              </w:rPr>
              <m:t>b</m:t>
            </m:r>
          </m:e>
          <m:sub>
            <m:r>
              <m:rPr/>
              <w:rPr>
                <w:rFonts w:ascii="Cambria Math" w:hAnsi="Cambria Math"/>
                <w:sz w:val="22"/>
              </w:rPr>
              <m:t>i</m:t>
            </m:r>
          </m:sub>
        </m:sSub>
      </m:oMath>
      <w:r>
        <w:rPr>
          <w:rFonts w:ascii="Times New Roman" w:hAnsi="Times New Roman" w:eastAsia="宋体"/>
          <w:b w:val="0"/>
          <w:sz w:val="22"/>
        </w:rPr>
        <w:t>及类别标签</w:t>
      </w:r>
      <m:oMath>
        <m:sSub>
          <m:sSubPr/>
          <m:e>
            <m:r>
              <m:rPr/>
              <w:rPr>
                <w:rFonts w:ascii="Cambria Math" w:hAnsi="Cambria Math"/>
                <w:sz w:val="22"/>
              </w:rPr>
              <m:t>y</m:t>
            </m:r>
          </m:e>
          <m:sub>
            <m:r>
              <m:rPr/>
              <w:rPr>
                <w:rFonts w:ascii="Cambria Math" w:hAnsi="Cambria Math"/>
                <w:sz w:val="22"/>
              </w:rPr>
              <m:t>i</m:t>
            </m:r>
          </m:sub>
        </m:sSub>
      </m:oMath>
      <w:r>
        <w:rPr>
          <w:rFonts w:ascii="Times New Roman" w:hAnsi="Times New Roman" w:eastAsia="宋体"/>
          <w:b w:val="0"/>
          <w:sz w:val="22"/>
        </w:rPr>
        <w:t>组成。类别集合包含犬、猫、马、羊、人和车，类别数记为</w:t>
      </w:r>
      <m:oMath>
        <m:r>
          <m:rPr/>
          <w:rPr>
            <w:rFonts w:ascii="Cambria Math" w:hAnsi="Cambria Math"/>
            <w:sz w:val="22"/>
          </w:rPr>
          <m:t>K</m:t>
        </m:r>
      </m:oMath>
      <w:r>
        <w:rPr>
          <w:rFonts w:ascii="Times New Roman" w:hAnsi="Times New Roman" w:eastAsia="宋体"/>
          <w:b w:val="0"/>
          <w:sz w:val="22"/>
        </w:rPr>
        <w:t>，当前实现中</w:t>
      </w:r>
      <m:oMath>
        <m:r>
          <m:rPr/>
          <w:rPr>
            <w:rFonts w:ascii="Cambria Math" w:hAnsi="Cambria Math"/>
            <w:sz w:val="22"/>
          </w:rPr>
          <m:t>K=6</m:t>
        </m:r>
      </m:oMath>
      <w:r>
        <w:rPr>
          <w:rFonts w:ascii="Times New Roman" w:hAnsi="Times New Roman" w:eastAsia="宋体"/>
          <w:b w:val="0"/>
          <w:sz w:val="22"/>
        </w:rPr>
        <w:t>。根据目标框生成原图、目标框标记图和裁剪图；被测分类器使用经既定预处理后的目标裁剪图</w:t>
      </w:r>
      <m:oMath>
        <m:sSub>
          <m:sSubPr/>
          <m:e>
            <m:r>
              <m:rPr/>
              <w:rPr>
                <w:rFonts w:ascii="Cambria Math" w:hAnsi="Cambria Math"/>
                <w:sz w:val="22"/>
              </w:rPr>
              <m:t>x</m:t>
            </m:r>
          </m:e>
          <m:sub>
            <m:r>
              <m:rPr/>
              <w:rPr>
                <w:rFonts w:ascii="Cambria Math" w:hAnsi="Cambria Math"/>
                <w:sz w:val="22"/>
              </w:rPr>
              <m:t>i</m:t>
            </m:r>
          </m:sub>
        </m:sSub>
      </m:oMath>
      <w:r>
        <w:rPr>
          <w:rFonts w:ascii="Times New Roman" w:hAnsi="Times New Roman" w:eastAsia="宋体"/>
          <w:b w:val="0"/>
          <w:sz w:val="22"/>
        </w:rPr>
        <w:t>。</w:t>
      </w:r>
    </w:p>
    <w:p w14:paraId="6C011176">
      <w:pPr>
        <w:keepLines/>
        <w:spacing w:after="100" w:line="312" w:lineRule="auto"/>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14:paraId="6A0F6F5B">
      <w:pPr>
        <w:keepLines/>
        <w:spacing w:after="100" w:line="312" w:lineRule="auto"/>
        <w:ind w:firstLine="425"/>
      </w:pPr>
      <w:r>
        <w:rPr>
          <w:rFonts w:ascii="Times New Roman" w:hAnsi="Times New Roman" w:eastAsia="宋体"/>
          <w:b w:val="0"/>
          <w:sz w:val="22"/>
        </w:rPr>
        <w:t>记被测模型为</w:t>
      </w:r>
      <m:oMath>
        <m:sSub>
          <m:sSubPr/>
          <m:e>
            <m:r>
              <m:rPr/>
              <w:rPr>
                <w:rFonts w:ascii="Cambria Math" w:hAnsi="Cambria Math"/>
                <w:sz w:val="22"/>
              </w:rPr>
              <m:t>f</m:t>
            </m:r>
          </m:e>
          <m:sub>
            <m:r>
              <m:rPr/>
              <w:rPr>
                <w:rFonts w:ascii="Cambria Math" w:hAnsi="Cambria Math"/>
                <w:sz w:val="22"/>
              </w:rPr>
              <m:t>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pPr>
        <w:keepNext w:val="0"/>
        <w:keepLines/>
        <w:spacing w:line="312" w:lineRule="auto" w:after="100"/>
        <w:ind w:firstLine="425"/>
      </w:pPr>
      <w:r>
        <w:rPr>
          <w:rFonts w:ascii="Times New Roman" w:hAnsi="Times New Roman" w:eastAsia="宋体"/>
          <w:b w:val="0"/>
          <w:sz w:val="22"/>
        </w:rPr>
        <w:t>主要符号及含义见表1，后文沿用同一记号。</w:t>
      </w:r>
    </w:p>
    <w:p>
      <w:pPr>
        <w:keepNext/>
        <w:keepLines/>
        <w:spacing w:line="312" w:lineRule="auto" w:after="100"/>
        <w:ind w:firstLine="0"/>
      </w:pPr>
      <w:r>
        <w:rPr>
          <w:rFonts w:ascii="Times New Roman" w:hAnsi="Times New Roman" w:eastAsia="宋体"/>
          <w:b w:val="0"/>
          <w:sz w:val="18"/>
        </w:rPr>
        <w:t>表1　主要符号及含义。</w:t>
      </w:r>
    </w:p>
    <w:tbl>
      <w:tblPr>
        <w:tblStyle w:val="33"/>
        <w:tblW w:type="auto" w:w="0"/>
        <w:jc w:val="center"/>
        <w:tblLayout w:type="fixed"/>
        <w:tblLook w:firstColumn="1" w:firstRow="1" w:lastColumn="0" w:lastRow="0" w:noHBand="0" w:noVBand="1" w:val="04A0"/>
      </w:tblPr>
      <w:tblGrid>
        <w:gridCol w:w="3515"/>
        <w:gridCol w:w="6123"/>
      </w:tblGrid>
      <w:tr>
        <w:trPr>
          <w:cantSplit/>
          <w:tblHeader/>
        </w:trPr>
        <w:tc>
          <w:tcPr>
            <w:tcW w:type="dxa" w:w="4819"/>
          </w:tcPr>
          <w:p>
            <w:pPr>
              <w:spacing w:line="264" w:lineRule="auto" w:after="60"/>
            </w:pPr>
            <w:r>
              <w:rPr>
                <w:rFonts w:ascii="Times New Roman" w:hAnsi="Times New Roman" w:eastAsia="宋体"/>
                <w:b/>
                <w:sz w:val="19"/>
              </w:rPr>
              <w:t>符号</w:t>
            </w:r>
          </w:p>
        </w:tc>
        <w:tc>
          <w:tcPr>
            <w:tcW w:type="dxa" w:w="4819"/>
          </w:tcPr>
          <w:p>
            <w:pPr>
              <w:spacing w:line="264" w:lineRule="auto" w:after="60"/>
            </w:pPr>
            <w:r>
              <w:rPr>
                <w:rFonts w:ascii="Times New Roman" w:hAnsi="Times New Roman" w:eastAsia="宋体"/>
                <w:b/>
                <w:sz w:val="19"/>
              </w:rPr>
              <w:t>含义</w:t>
            </w:r>
          </w:p>
        </w:tc>
      </w:tr>
      <w:tr>
        <w:trPr>
          <w:cantSplit/>
        </w:trPr>
        <w:tc>
          <w:tcPr>
            <w:tcW w:type="dxa" w:w="4819"/>
          </w:tcPr>
          <w:p>
            <w:pPr>
              <w:spacing w:line="264" w:lineRule="auto" w:after="60"/>
            </w:pPr>
            <w:r>
              <w:rPr>
                <w:rFonts w:ascii="Times New Roman" w:hAnsi="Times New Roman" w:eastAsia="宋体"/>
                <w:b w:val="0"/>
                <w:sz w:val="19"/>
              </w:rPr>
            </w:r>
            <m:oMath>
              <m:r>
                <w:rPr>
                  <w:rFonts w:ascii="Cambria Math" w:hAnsi="Cambria Math"/>
                  <w:sz w:val="22"/>
                </w:rPr>
                <m:t xml:space="preserve">P</m:t>
              </m:r>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候选目标集合。</w:t>
            </w:r>
          </w:p>
        </w:tc>
      </w:tr>
      <w:tr>
        <w:trPr>
          <w:cantSplit/>
        </w:trPr>
        <w:tc>
          <w:tcPr>
            <w:tcW w:type="dxa" w:w="4819"/>
          </w:tcPr>
          <w:p>
            <w:pPr>
              <w:spacing w:line="264" w:lineRule="auto" w:after="60"/>
            </w:pPr>
            <w:r>
              <w:rPr>
                <w:rFonts w:ascii="Times New Roman" w:hAnsi="Times New Roman" w:eastAsia="宋体"/>
                <w:b w:val="0"/>
                <w:sz w:val="19"/>
              </w:rPr>
            </w:r>
            <m:oMath>
              <m:sSub>
                <m:e>
                  <m:r>
                    <w:rPr>
                      <w:rFonts w:ascii="Cambria Math" w:hAnsi="Cambria Math"/>
                      <w:sz w:val="22"/>
                    </w:rPr>
                    <m:t xml:space="preserve">I</m:t>
                  </m:r>
                </m:e>
                <m:sub>
                  <m:r>
                    <w:rPr>
                      <w:rFonts w:ascii="Cambria Math" w:hAnsi="Cambria Math"/>
                      <w:sz w:val="22"/>
                    </w:rPr>
                    <m:t xml:space="preserve">i</m:t>
                  </m:r>
                </m:sub>
              </m:sSub>
            </m:oMath>
            <w:r>
              <w:rPr>
                <w:rFonts w:ascii="Times New Roman" w:hAnsi="Times New Roman" w:eastAsia="宋体"/>
                <w:b w:val="0"/>
                <w:sz w:val="19"/>
              </w:rPr>
              <w:t>、</w:t>
            </w:r>
            <m:oMath>
              <m:sSub>
                <m:e>
                  <m:r>
                    <w:rPr>
                      <w:rFonts w:ascii="Cambria Math" w:hAnsi="Cambria Math"/>
                      <w:sz w:val="22"/>
                    </w:rPr>
                    <m:t xml:space="preserve">M</m:t>
                  </m:r>
                </m:e>
                <m:sub>
                  <m:r>
                    <w:rPr>
                      <w:rFonts w:ascii="Cambria Math" w:hAnsi="Cambria Math"/>
                      <w:sz w:val="22"/>
                    </w:rPr>
                    <m:t xml:space="preserve">i</m:t>
                  </m:r>
                </m:sub>
              </m:sSub>
            </m:oMath>
            <w:r>
              <w:rPr>
                <w:rFonts w:ascii="Times New Roman" w:hAnsi="Times New Roman" w:eastAsia="宋体"/>
                <w:b w:val="0"/>
                <w:sz w:val="19"/>
              </w:rPr>
              <w:t>、</w:t>
            </w:r>
            <m:oMath>
              <m:sSub>
                <m:e>
                  <m:r>
                    <w:rPr>
                      <w:rFonts w:ascii="Cambria Math" w:hAnsi="Cambria Math"/>
                      <w:sz w:val="22"/>
                    </w:rPr>
                    <m:t xml:space="preserve">V</m:t>
                  </m:r>
                </m:e>
                <m:sub>
                  <m:r>
                    <w:rPr>
                      <w:rFonts w:ascii="Cambria Math" w:hAnsi="Cambria Math"/>
                      <w:sz w:val="22"/>
                    </w:rPr>
                    <m:t xml:space="preserve">i</m:t>
                  </m:r>
                </m:sub>
              </m:sSub>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第</w:t>
            </w:r>
            <m:oMath>
              <m:r>
                <w:rPr>
                  <w:rFonts w:ascii="Cambria Math" w:hAnsi="Cambria Math"/>
                  <w:sz w:val="22"/>
                </w:rPr>
                <m:t xml:space="preserve">i</m:t>
              </m:r>
            </m:oMath>
            <w:r>
              <w:rPr>
                <w:rFonts w:ascii="Times New Roman" w:hAnsi="Times New Roman" w:eastAsia="宋体"/>
                <w:b w:val="0"/>
                <w:sz w:val="19"/>
              </w:rPr>
              <w:t>个目标的原图、目标框标记图与放大裁剪图。</w:t>
            </w:r>
          </w:p>
        </w:tc>
      </w:tr>
      <w:tr>
        <w:trPr>
          <w:cantSplit/>
        </w:trPr>
        <w:tc>
          <w:tcPr>
            <w:tcW w:type="dxa" w:w="4819"/>
          </w:tcPr>
          <w:p>
            <w:pPr>
              <w:spacing w:line="264" w:lineRule="auto" w:after="60"/>
            </w:pPr>
            <w:r>
              <w:rPr>
                <w:rFonts w:ascii="Times New Roman" w:hAnsi="Times New Roman" w:eastAsia="宋体"/>
                <w:b w:val="0"/>
                <w:sz w:val="19"/>
              </w:rPr>
            </w:r>
            <m:oMath>
              <m:sSub>
                <m:e>
                  <m:r>
                    <w:rPr>
                      <w:rFonts w:ascii="Cambria Math" w:hAnsi="Cambria Math"/>
                      <w:sz w:val="22"/>
                    </w:rPr>
                    <m:t xml:space="preserve">b</m:t>
                  </m:r>
                </m:e>
                <m:sub>
                  <m:r>
                    <w:rPr>
                      <w:rFonts w:ascii="Cambria Math" w:hAnsi="Cambria Math"/>
                      <w:sz w:val="22"/>
                    </w:rPr>
                    <m:t xml:space="preserve">i</m:t>
                  </m:r>
                </m:sub>
              </m:sSub>
            </m:oMath>
            <w:r>
              <w:rPr>
                <w:rFonts w:ascii="Times New Roman" w:hAnsi="Times New Roman" w:eastAsia="宋体"/>
                <w:b w:val="0"/>
                <w:sz w:val="19"/>
              </w:rPr>
              <w:t>、</w:t>
            </w:r>
            <m:oMath>
              <m:sSub>
                <m:e>
                  <m:r>
                    <w:rPr>
                      <w:rFonts w:ascii="Cambria Math" w:hAnsi="Cambria Math"/>
                      <w:sz w:val="22"/>
                    </w:rPr>
                    <m:t xml:space="preserve">y</m:t>
                  </m:r>
                </m:e>
                <m:sub>
                  <m:r>
                    <w:rPr>
                      <w:rFonts w:ascii="Cambria Math" w:hAnsi="Cambria Math"/>
                      <w:sz w:val="22"/>
                    </w:rPr>
                    <m:t xml:space="preserve">i</m:t>
                  </m:r>
                </m:sub>
              </m:sSub>
            </m:oMath>
            <w:r>
              <w:rPr>
                <w:rFonts w:ascii="Times New Roman" w:hAnsi="Times New Roman" w:eastAsia="宋体"/>
                <w:b w:val="0"/>
                <w:sz w:val="19"/>
              </w:rPr>
              <w:t>、</w:t>
            </w:r>
            <m:oMath>
              <m:sSub>
                <m:e>
                  <m:r>
                    <w:rPr>
                      <w:rFonts w:ascii="Cambria Math" w:hAnsi="Cambria Math"/>
                      <w:sz w:val="22"/>
                    </w:rPr>
                    <m:t xml:space="preserve">x</m:t>
                  </m:r>
                </m:e>
                <m:sub>
                  <m:r>
                    <w:rPr>
                      <w:rFonts w:ascii="Cambria Math" w:hAnsi="Cambria Math"/>
                      <w:sz w:val="22"/>
                    </w:rPr>
                    <m:t xml:space="preserve">i</m:t>
                  </m:r>
                </m:sub>
              </m:sSub>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官方目标框、类别真值与分类器预处理后的目标裁剪图。</w:t>
            </w:r>
          </w:p>
        </w:tc>
      </w:tr>
      <w:tr>
        <w:trPr>
          <w:cantSplit/>
        </w:trPr>
        <w:tc>
          <w:tcPr>
            <w:tcW w:type="dxa" w:w="4819"/>
          </w:tcPr>
          <w:p>
            <w:pPr>
              <w:spacing w:line="264" w:lineRule="auto" w:after="60"/>
            </w:pPr>
            <w:r>
              <w:rPr>
                <w:rFonts w:ascii="Times New Roman" w:hAnsi="Times New Roman" w:eastAsia="宋体"/>
                <w:b w:val="0"/>
                <w:sz w:val="19"/>
              </w:rPr>
            </w:r>
            <m:oMath>
              <m:r>
                <w:rPr>
                  <w:rFonts w:ascii="Cambria Math" w:hAnsi="Cambria Math"/>
                  <w:sz w:val="22"/>
                </w:rPr>
                <m:t xml:space="preserve">c</m:t>
              </m:r>
            </m:oMath>
            <w:r>
              <w:rPr>
                <w:rFonts w:ascii="Times New Roman" w:hAnsi="Times New Roman" w:eastAsia="宋体"/>
                <w:b w:val="0"/>
                <w:sz w:val="19"/>
              </w:rPr>
              <w:t>、</w:t>
            </w:r>
            <m:oMath>
              <m:r>
                <w:rPr>
                  <w:rFonts w:ascii="Cambria Math" w:hAnsi="Cambria Math"/>
                  <w:sz w:val="22"/>
                </w:rPr>
                <m:t xml:space="preserve">K</m:t>
              </m:r>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真实类别索引与类别数。</w:t>
            </w:r>
          </w:p>
        </w:tc>
      </w:tr>
      <w:tr>
        <w:trPr>
          <w:cantSplit/>
        </w:trPr>
        <w:tc>
          <w:tcPr>
            <w:tcW w:type="dxa" w:w="4819"/>
          </w:tcPr>
          <w:p>
            <w:pPr>
              <w:spacing w:line="264" w:lineRule="auto" w:after="60"/>
            </w:pPr>
            <w:r>
              <w:rPr>
                <w:rFonts w:ascii="Times New Roman" w:hAnsi="Times New Roman" w:eastAsia="宋体"/>
                <w:b w:val="0"/>
                <w:sz w:val="19"/>
              </w:rPr>
            </w:r>
            <m:oMath>
              <m:r>
                <w:rPr>
                  <w:rFonts w:ascii="Cambria Math" w:hAnsi="Cambria Math"/>
                  <w:sz w:val="22"/>
                </w:rPr>
                <m:t xml:space="preserve">r</m:t>
              </m:r>
            </m:oMath>
            <w:r>
              <w:rPr>
                <w:rFonts w:ascii="Times New Roman" w:hAnsi="Times New Roman" w:eastAsia="宋体"/>
                <w:b w:val="0"/>
                <w:sz w:val="19"/>
              </w:rPr>
              <w:t>、</w:t>
            </w:r>
            <m:oMath>
              <m:sSub>
                <m:e>
                  <m:r>
                    <w:rPr>
                      <w:rFonts w:ascii="Cambria Math" w:hAnsi="Cambria Math"/>
                      <w:sz w:val="22"/>
                    </w:rPr>
                    <m:t xml:space="preserve">φ</m:t>
                  </m:r>
                </m:e>
                <m:sub>
                  <m:r>
                    <w:rPr>
                      <w:rFonts w:ascii="Cambria Math" w:hAnsi="Cambria Math"/>
                      <w:sz w:val="22"/>
                    </w:rPr>
                    <m:t xml:space="preserve">r</m:t>
                  </m:r>
                </m:sub>
              </m:sSub>
            </m:oMath>
            <w:r>
              <w:rPr>
                <w:rFonts w:ascii="Times New Roman" w:hAnsi="Times New Roman" w:eastAsia="宋体"/>
                <w:b w:val="0"/>
                <w:sz w:val="19"/>
              </w:rPr>
              <w:t>、</w:t>
            </w:r>
            <m:oMath>
              <m:sSubSup>
                <m:e>
                  <m:r>
                    <w:rPr>
                      <w:rFonts w:ascii="Cambria Math" w:hAnsi="Cambria Math"/>
                      <w:sz w:val="22"/>
                    </w:rPr>
                    <m:t xml:space="preserve">z</m:t>
                  </m:r>
                </m:e>
                <m:sub>
                  <m:r>
                    <w:rPr>
                      <w:rFonts w:ascii="Cambria Math" w:hAnsi="Cambria Math"/>
                      <w:sz w:val="22"/>
                    </w:rPr>
                    <m:t xml:space="preserve">i</m:t>
                  </m:r>
                </m:sub>
                <m:sup>
                  <m:r>
                    <w:rPr>
                      <w:rFonts w:ascii="Cambria Math" w:hAnsi="Cambria Math"/>
                      <w:sz w:val="22"/>
                    </w:rPr>
                    <m:t xml:space="preserve">(r)</m:t>
                  </m:r>
                </m:sup>
              </m:sSubSup>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标注来源、对应状态描述器及目标的结构化状态输出。</w:t>
            </w:r>
          </w:p>
        </w:tc>
      </w:tr>
      <w:tr>
        <w:trPr>
          <w:cantSplit/>
        </w:trPr>
        <w:tc>
          <w:tcPr>
            <w:tcW w:type="dxa" w:w="4819"/>
          </w:tcPr>
          <w:p>
            <w:pPr>
              <w:spacing w:line="264" w:lineRule="auto" w:after="60"/>
            </w:pPr>
            <w:r>
              <w:rPr>
                <w:rFonts w:ascii="Times New Roman" w:hAnsi="Times New Roman" w:eastAsia="宋体"/>
                <w:b w:val="0"/>
                <w:sz w:val="19"/>
              </w:rPr>
            </w:r>
            <m:oMath>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来源</w:t>
            </w:r>
            <m:oMath>
              <m:r>
                <w:rPr>
                  <w:rFonts w:ascii="Cambria Math" w:hAnsi="Cambria Math"/>
                  <w:sz w:val="22"/>
                </w:rPr>
                <m:t xml:space="preserve">r</m:t>
              </m:r>
            </m:oMath>
            <w:r>
              <w:rPr>
                <w:rFonts w:ascii="Times New Roman" w:hAnsi="Times New Roman" w:eastAsia="宋体"/>
                <w:b w:val="0"/>
                <w:sz w:val="19"/>
              </w:rPr>
              <w:t>下目标</w:t>
            </w:r>
            <m:oMath>
              <m:r>
                <w:rPr>
                  <w:rFonts w:ascii="Cambria Math" w:hAnsi="Cambria Math"/>
                  <w:sz w:val="22"/>
                </w:rPr>
                <m:t xml:space="preserve">i</m:t>
              </m:r>
            </m:oMath>
            <w:r>
              <w:rPr>
                <w:rFonts w:ascii="Times New Roman" w:hAnsi="Times New Roman" w:eastAsia="宋体"/>
                <w:b w:val="0"/>
                <w:sz w:val="19"/>
              </w:rPr>
              <w:t>激活的已知视觉状态集合。</w:t>
            </w:r>
          </w:p>
        </w:tc>
      </w:tr>
      <w:tr>
        <w:trPr>
          <w:cantSplit/>
        </w:trPr>
        <w:tc>
          <w:tcPr>
            <w:tcW w:type="dxa" w:w="4819"/>
          </w:tcPr>
          <w:p>
            <w:pPr>
              <w:spacing w:line="264" w:lineRule="auto" w:after="60"/>
            </w:pPr>
            <w:r>
              <w:rPr>
                <w:rFonts w:ascii="Times New Roman" w:hAnsi="Times New Roman" w:eastAsia="宋体"/>
                <w:b w:val="0"/>
                <w:sz w:val="19"/>
              </w:rPr>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类别</w:t>
            </w:r>
            <m:oMath>
              <m:r>
                <w:rPr>
                  <w:rFonts w:ascii="Cambria Math" w:hAnsi="Cambria Math"/>
                  <w:sz w:val="22"/>
                </w:rPr>
                <m:t xml:space="preserve">c</m:t>
              </m:r>
            </m:oMath>
            <w:r>
              <w:rPr>
                <w:rFonts w:ascii="Times New Roman" w:hAnsi="Times New Roman" w:eastAsia="宋体"/>
                <w:b w:val="0"/>
                <w:sz w:val="19"/>
              </w:rPr>
              <w:t>内两来源观察到的已知状态并集，用于共同词表与分母。</w:t>
            </w:r>
          </w:p>
        </w:tc>
      </w:tr>
      <w:tr>
        <w:trPr>
          <w:cantSplit/>
        </w:trPr>
        <w:tc>
          <w:tcPr>
            <w:tcW w:type="dxa" w:w="4819"/>
          </w:tcPr>
          <w:p>
            <w:pPr>
              <w:spacing w:line="264" w:lineRule="auto" w:after="60"/>
            </w:pPr>
            <w:r>
              <w:rPr>
                <w:rFonts w:ascii="Times New Roman" w:hAnsi="Times New Roman" w:eastAsia="宋体"/>
                <w:b w:val="0"/>
                <w:sz w:val="19"/>
              </w:rPr>
            </w:r>
            <m:oMath>
              <m:r>
                <w:rPr>
                  <w:rFonts w:ascii="Cambria Math" w:hAnsi="Cambria Math"/>
                  <w:sz w:val="22"/>
                </w:rPr>
                <m:t xml:space="preserve">S</m:t>
              </m:r>
            </m:oMath>
            <w:r>
              <w:rPr>
                <w:rFonts w:ascii="Times New Roman" w:hAnsi="Times New Roman" w:eastAsia="宋体"/>
                <w:b w:val="0"/>
                <w:sz w:val="19"/>
              </w:rPr>
              <w:t>、</w:t>
            </w:r>
            <m:oMath>
              <m:r>
                <w:rPr>
                  <w:rFonts w:ascii="Cambria Math" w:hAnsi="Cambria Math"/>
                  <w:sz w:val="22"/>
                </w:rPr>
                <m:t xml:space="preserve">T</m:t>
              </m:r>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已选目标索引集合与用于评价的目标索引集合。</w:t>
            </w:r>
          </w:p>
        </w:tc>
      </w:tr>
      <w:tr>
        <w:trPr>
          <w:cantSplit/>
        </w:trPr>
        <w:tc>
          <w:tcPr>
            <w:tcW w:type="dxa" w:w="4819"/>
          </w:tcPr>
          <w:p>
            <w:pPr>
              <w:spacing w:line="264" w:lineRule="auto" w:after="60"/>
            </w:pPr>
            <w:r>
              <w:rPr>
                <w:rFonts w:ascii="Times New Roman" w:hAnsi="Times New Roman" w:eastAsia="宋体"/>
                <w:b w:val="0"/>
                <w:sz w:val="19"/>
              </w:rPr>
            </w:r>
            <m:oMath>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已选集合中类别</w:t>
            </w:r>
            <m:oMath>
              <m:r>
                <w:rPr>
                  <w:rFonts w:ascii="Cambria Math" w:hAnsi="Cambria Math"/>
                  <w:sz w:val="22"/>
                </w:rPr>
                <m:t xml:space="preserve">c</m:t>
              </m:r>
            </m:oMath>
            <w:r>
              <w:rPr>
                <w:rFonts w:ascii="Times New Roman" w:hAnsi="Times New Roman" w:eastAsia="宋体"/>
                <w:b w:val="0"/>
                <w:sz w:val="19"/>
              </w:rPr>
              <w:t>、来源</w:t>
            </w:r>
            <m:oMath>
              <m:r>
                <w:rPr>
                  <w:rFonts w:ascii="Cambria Math" w:hAnsi="Cambria Math"/>
                  <w:sz w:val="22"/>
                </w:rPr>
                <m:t xml:space="preserve">r</m:t>
              </m:r>
            </m:oMath>
            <w:r>
              <w:rPr>
                <w:rFonts w:ascii="Times New Roman" w:hAnsi="Times New Roman" w:eastAsia="宋体"/>
                <w:b w:val="0"/>
                <w:sz w:val="19"/>
              </w:rPr>
              <w:t>、状态</w:t>
            </w:r>
            <m:oMath>
              <m:r>
                <w:rPr>
                  <w:rFonts w:ascii="Cambria Math" w:hAnsi="Cambria Math"/>
                  <w:sz w:val="22"/>
                </w:rPr>
                <m:t xml:space="preserve">s</m:t>
              </m:r>
            </m:oMath>
            <w:r>
              <w:rPr>
                <w:rFonts w:ascii="Times New Roman" w:hAnsi="Times New Roman" w:eastAsia="宋体"/>
                <w:b w:val="0"/>
                <w:sz w:val="19"/>
              </w:rPr>
              <w:t>的支持数。</w:t>
            </w:r>
          </w:p>
        </w:tc>
      </w:tr>
      <w:tr>
        <w:trPr>
          <w:cantSplit/>
        </w:trPr>
        <w:tc>
          <w:tcPr>
            <w:tcW w:type="dxa" w:w="4819"/>
          </w:tcPr>
          <w:p>
            <w:pPr>
              <w:spacing w:line="264" w:lineRule="auto" w:after="60"/>
            </w:pPr>
            <w:r>
              <w:rPr>
                <w:rFonts w:ascii="Times New Roman" w:hAnsi="Times New Roman" w:eastAsia="宋体"/>
                <w:b w:val="0"/>
                <w:sz w:val="19"/>
              </w:rPr>
            </w:r>
            <m:oMath>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oMath>
            <w:r>
              <w:rPr>
                <w:rFonts w:ascii="Times New Roman" w:hAnsi="Times New Roman" w:eastAsia="宋体"/>
                <w:b w:val="0"/>
                <w:sz w:val="19"/>
              </w:rPr>
              <w:t>、</w:t>
            </w:r>
            <m:oMath>
              <m:sSup>
                <m:e>
                  <m:r>
                    <w:rPr>
                      <w:rFonts w:ascii="Cambria Math" w:hAnsi="Cambria Math"/>
                      <w:sz w:val="22"/>
                    </w:rPr>
                    <m:t xml:space="preserve">C</m:t>
                  </m:r>
                </m:e>
                <m:sup>
                  <m:r>
                    <w:rPr>
                      <w:rFonts w:ascii="Cambria Math" w:hAnsi="Cambria Math"/>
                      <w:sz w:val="22"/>
                    </w:rPr>
                    <m:t xml:space="preserve">(r)</m:t>
                  </m:r>
                </m:sup>
              </m:sSup>
              <m:d>
                <m:dPr>
                  <m:begChr m:val="("/>
                  <m:endChr m:val=")"/>
                </m:dPr>
                <m:e>
                  <m:r>
                    <w:rPr>
                      <w:rFonts w:ascii="Cambria Math" w:hAnsi="Cambria Math"/>
                      <w:sz w:val="22"/>
                    </w:rPr>
                    <m:t xml:space="preserve">S</m:t>
                  </m:r>
                </m:e>
              </m:d>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类别内频次覆盖与类别宏平均覆盖。</w:t>
            </w:r>
          </w:p>
        </w:tc>
      </w:tr>
      <w:tr>
        <w:trPr>
          <w:cantSplit/>
        </w:trPr>
        <w:tc>
          <w:tcPr>
            <w:tcW w:type="dxa" w:w="4819"/>
          </w:tcPr>
          <w:p>
            <w:pPr>
              <w:spacing w:line="264" w:lineRule="auto" w:after="60"/>
            </w:pPr>
            <w:r>
              <w:rPr>
                <w:rFonts w:ascii="Times New Roman" w:hAnsi="Times New Roman" w:eastAsia="宋体"/>
                <w:b w:val="0"/>
                <w:sz w:val="19"/>
              </w:rPr>
            </w:r>
            <m:oMath>
              <m:r>
                <w:rPr>
                  <w:rFonts w:ascii="Cambria Math" w:hAnsi="Cambria Math"/>
                  <w:sz w:val="22"/>
                </w:rPr>
                <m:t xml:space="preserve">τ</m:t>
              </m:r>
            </m:oMath>
            <w:r>
              <w:rPr>
                <w:rFonts w:ascii="Times New Roman" w:hAnsi="Times New Roman" w:eastAsia="宋体"/>
                <w:b w:val="0"/>
                <w:sz w:val="19"/>
              </w:rPr>
              <w:t>、</w:t>
            </w:r>
            <m:oMath>
              <m:sSubSup>
                <m:e>
                  <m:r>
                    <w:rPr>
                      <w:rFonts w:ascii="Cambria Math" w:hAnsi="Cambria Math"/>
                      <w:sz w:val="22"/>
                    </w:rPr>
                    <m:t xml:space="preserve">g</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i|S</m:t>
                  </m:r>
                </m:e>
              </m:d>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覆盖饱和阈值与候选目标的稀缺状态增益。</w:t>
            </w:r>
          </w:p>
        </w:tc>
      </w:tr>
      <w:tr>
        <w:trPr>
          <w:cantSplit/>
        </w:trPr>
        <w:tc>
          <w:tcPr>
            <w:tcW w:type="dxa" w:w="4819"/>
          </w:tcPr>
          <w:p>
            <w:pPr>
              <w:spacing w:line="264" w:lineRule="auto" w:after="60"/>
            </w:pPr>
            <w:r>
              <w:rPr>
                <w:rFonts w:ascii="Times New Roman" w:hAnsi="Times New Roman" w:eastAsia="宋体"/>
                <w:b w:val="0"/>
                <w:sz w:val="19"/>
              </w:rPr>
            </w:r>
            <m:oMath>
              <m:r>
                <w:rPr>
                  <w:rFonts w:ascii="Cambria Math" w:hAnsi="Cambria Math"/>
                  <w:sz w:val="22"/>
                </w:rPr>
                <m:t xml:space="preserve">D</m:t>
              </m:r>
            </m:oMath>
            <w:r>
              <w:rPr>
                <w:rFonts w:ascii="Times New Roman" w:hAnsi="Times New Roman" w:eastAsia="宋体"/>
                <w:b w:val="0"/>
                <w:sz w:val="19"/>
              </w:rPr>
              <w:t>、</w:t>
            </w:r>
            <m:oMath>
              <m:sSub>
                <m:e>
                  <m:r>
                    <w:rPr>
                      <w:rFonts w:ascii="Cambria Math" w:hAnsi="Cambria Math"/>
                      <w:sz w:val="22"/>
                    </w:rPr>
                    <m:t xml:space="preserve">h</m:t>
                  </m:r>
                </m:e>
                <m:sub>
                  <m:r>
                    <w:rPr>
                      <w:rFonts w:ascii="Cambria Math" w:hAnsi="Cambria Math"/>
                      <w:sz w:val="22"/>
                    </w:rPr>
                    <m:t xml:space="preserve">d</m:t>
                  </m:r>
                </m:sub>
              </m:sSub>
            </m:oMath>
            <w:r>
              <w:rPr>
                <w:rFonts w:ascii="Times New Roman" w:hAnsi="Times New Roman" w:eastAsia="宋体"/>
                <w:b w:val="0"/>
                <w:sz w:val="19"/>
              </w:rPr>
              <w:t>、</w:t>
            </w:r>
            <m:oMath>
              <m:sSubSup>
                <m:e>
                  <m:r>
                    <w:rPr>
                      <w:rFonts w:ascii="Cambria Math" w:hAnsi="Cambria Math"/>
                      <w:sz w:val="22"/>
                    </w:rPr>
                    <m:t xml:space="preserve">H</m:t>
                  </m:r>
                </m:e>
                <m:sub>
                  <m:r>
                    <w:rPr>
                      <w:rFonts w:ascii="Cambria Math" w:hAnsi="Cambria Math"/>
                      <w:sz w:val="22"/>
                    </w:rPr>
                    <m:t xml:space="preserve">i</m:t>
                  </m:r>
                </m:sub>
                <m:sup>
                  <m:r>
                    <w:rPr>
                      <w:rFonts w:ascii="Cambria Math" w:hAnsi="Cambria Math"/>
                      <w:sz w:val="22"/>
                    </w:rPr>
                    <m:t xml:space="preserve">(r)</m:t>
                  </m:r>
                </m:sup>
              </m:sSubSup>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风险维度集合、维度分值映射与综合风险。</w:t>
            </w:r>
          </w:p>
        </w:tc>
      </w:tr>
      <w:tr>
        <w:trPr>
          <w:cantSplit/>
        </w:trPr>
        <w:tc>
          <w:tcPr>
            <w:tcW w:type="dxa" w:w="4819"/>
          </w:tcPr>
          <w:p>
            <w:pPr>
              <w:spacing w:line="264" w:lineRule="auto" w:after="60"/>
            </w:pPr>
            <w:r>
              <w:rPr>
                <w:rFonts w:ascii="Times New Roman" w:hAnsi="Times New Roman" w:eastAsia="宋体"/>
                <w:b w:val="0"/>
                <w:sz w:val="19"/>
              </w:rPr>
            </w:r>
            <m:oMath>
              <m:sSubSup>
                <m:e>
                  <m:r>
                    <w:rPr>
                      <w:rFonts w:ascii="Cambria Math" w:hAnsi="Cambria Math"/>
                      <w:sz w:val="22"/>
                    </w:rPr>
                    <m:t xml:space="preserve">Q</m:t>
                  </m:r>
                </m:e>
                <m:sub>
                  <m:r>
                    <w:rPr>
                      <w:rFonts w:ascii="Cambria Math" w:hAnsi="Cambria Math"/>
                      <w:sz w:val="22"/>
                    </w:rPr>
                    <m:t xml:space="preserve">c,ℓ</m:t>
                  </m:r>
                </m:sub>
                <m:sup>
                  <m:r>
                    <w:rPr>
                      <w:rFonts w:ascii="Cambria Math" w:hAnsi="Cambria Math"/>
                      <w:sz w:val="22"/>
                    </w:rPr>
                    <m:t xml:space="preserve">(r)</m:t>
                  </m:r>
                </m:sup>
              </m:sSubSup>
            </m:oMath>
            <w:r>
              <w:rPr>
                <w:rFonts w:ascii="Times New Roman" w:hAnsi="Times New Roman" w:eastAsia="宋体"/>
                <w:b w:val="0"/>
                <w:sz w:val="19"/>
              </w:rPr>
              <w:t>、</w:t>
            </w:r>
            <m:oMath>
              <m:r>
                <w:rPr>
                  <w:rFonts w:ascii="Cambria Math" w:hAnsi="Cambria Math"/>
                  <w:sz w:val="22"/>
                </w:rPr>
                <m:t xml:space="preserve">ρ</m:t>
              </m:r>
            </m:oMath>
            <w:r>
              <w:rPr>
                <w:rFonts w:ascii="Times New Roman" w:hAnsi="Times New Roman" w:eastAsia="宋体"/>
                <w:b w:val="0"/>
                <w:sz w:val="19"/>
              </w:rPr>
              <w:t>、</w:t>
            </w:r>
            <m:oMath>
              <m:r>
                <w:rPr>
                  <w:rFonts w:ascii="Cambria Math" w:hAnsi="Cambria Math"/>
                  <w:sz w:val="22"/>
                </w:rPr>
                <m:t xml:space="preserve">m</m:t>
              </m:r>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第</w:t>
            </w:r>
            <m:oMath>
              <m:r>
                <w:rPr>
                  <w:rFonts w:ascii="Cambria Math" w:hAnsi="Cambria Math"/>
                  <w:sz w:val="22"/>
                </w:rPr>
                <m:t xml:space="preserve">ℓ</m:t>
              </m:r>
            </m:oMath>
            <w:r>
              <w:rPr>
                <w:rFonts w:ascii="Times New Roman" w:hAnsi="Times New Roman" w:eastAsia="宋体"/>
                <w:b w:val="0"/>
                <w:sz w:val="19"/>
              </w:rPr>
              <w:t>个风险层、高风险占比与混合测试每类目标数。</w:t>
            </w:r>
          </w:p>
        </w:tc>
      </w:tr>
      <w:tr>
        <w:trPr>
          <w:cantSplit/>
        </w:trPr>
        <w:tc>
          <w:tcPr>
            <w:tcW w:type="dxa" w:w="4819"/>
          </w:tcPr>
          <w:p>
            <w:pPr>
              <w:spacing w:line="264" w:lineRule="auto" w:after="60"/>
            </w:pPr>
            <w:r>
              <w:rPr>
                <w:rFonts w:ascii="Times New Roman" w:hAnsi="Times New Roman" w:eastAsia="宋体"/>
                <w:b w:val="0"/>
                <w:sz w:val="19"/>
              </w:rPr>
            </w:r>
            <m:oMath>
              <m:sSub>
                <m:e>
                  <m:r>
                    <w:rPr>
                      <w:rFonts w:ascii="Cambria Math" w:hAnsi="Cambria Math"/>
                      <w:sz w:val="22"/>
                    </w:rPr>
                    <m:t xml:space="preserve">f</m:t>
                  </m:r>
                </m:e>
                <m:sub>
                  <m:r>
                    <w:rPr>
                      <w:rFonts w:ascii="Cambria Math" w:hAnsi="Cambria Math"/>
                      <w:sz w:val="22"/>
                    </w:rPr>
                    <m:t xml:space="preserve">θ</m:t>
                  </m:r>
                </m:sub>
              </m:sSub>
            </m:oMath>
            <w:r>
              <w:rPr>
                <w:rFonts w:ascii="Times New Roman" w:hAnsi="Times New Roman" w:eastAsia="宋体"/>
                <w:b w:val="0"/>
                <w:sz w:val="19"/>
              </w:rPr>
              <w:t>、</w:t>
            </w:r>
            <m:oMath>
              <m:sSub>
                <m:e>
                  <m:acc>
                    <m:accPr>
                      <m:chr m:val="̂"/>
                    </m:accPr>
                    <m:e>
                      <m:r>
                        <w:rPr>
                          <w:rFonts w:ascii="Cambria Math" w:hAnsi="Cambria Math"/>
                          <w:sz w:val="22"/>
                        </w:rPr>
                        <m:t xml:space="preserve">y</m:t>
                      </m:r>
                    </m:e>
                  </m:acc>
                </m:e>
                <m:sub>
                  <m:r>
                    <w:rPr>
                      <w:rFonts w:ascii="Cambria Math" w:hAnsi="Cambria Math"/>
                      <w:sz w:val="22"/>
                    </w:rPr>
                    <m:t xml:space="preserve">i</m:t>
                  </m:r>
                </m:sub>
              </m:sSub>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被测分类器与目标的类别预测。</w:t>
            </w:r>
          </w:p>
        </w:tc>
      </w:tr>
      <w:tr>
        <w:trPr>
          <w:cantSplit/>
        </w:trPr>
        <w:tc>
          <w:tcPr>
            <w:tcW w:type="dxa" w:w="4819"/>
          </w:tcPr>
          <w:p>
            <w:pPr>
              <w:spacing w:line="264" w:lineRule="auto" w:after="60"/>
            </w:pPr>
            <w:r>
              <w:rPr>
                <w:rFonts w:ascii="Times New Roman" w:hAnsi="Times New Roman" w:eastAsia="宋体"/>
                <w:b w:val="0"/>
                <w:sz w:val="19"/>
              </w:rPr>
            </w:r>
            <m:oMath>
              <m:r>
                <w:rPr>
                  <w:rFonts w:ascii="Cambria Math" w:hAnsi="Cambria Math"/>
                  <w:sz w:val="22"/>
                </w:rPr>
                <m:t xml:space="preserve">n</m:t>
              </m:r>
            </m:oMath>
            <w:r>
              <w:rPr>
                <w:rFonts w:ascii="Times New Roman" w:hAnsi="Times New Roman" w:eastAsia="宋体"/>
                <w:b w:val="0"/>
                <w:sz w:val="19"/>
              </w:rPr>
              <w:t>、</w:t>
            </w:r>
            <m:oMath>
              <m:r>
                <w:rPr>
                  <w:rFonts w:ascii="Cambria Math" w:hAnsi="Cambria Math"/>
                  <w:sz w:val="22"/>
                </w:rPr>
                <m:t xml:space="preserve">v</m:t>
              </m:r>
            </m:oMath>
            <w:r>
              <w:rPr>
                <w:rFonts w:ascii="Times New Roman" w:hAnsi="Times New Roman" w:eastAsia="宋体"/>
                <w:b w:val="0"/>
                <w:sz w:val="19"/>
              </w:rPr>
              <w:t>、</w:t>
            </w:r>
            <m:oMath>
              <m:r>
                <w:rPr>
                  <w:rFonts w:ascii="Cambria Math" w:hAnsi="Cambria Math"/>
                  <w:sz w:val="22"/>
                </w:rPr>
                <m:t xml:space="preserve">t</m:t>
              </m:r>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复杂度分析中的候选数、状态数与选出目标数。</w:t>
            </w:r>
          </w:p>
        </w:tc>
      </w:tr>
      <w:tr>
        <w:trPr>
          <w:cantSplit/>
        </w:trPr>
        <w:tc>
          <w:tcPr>
            <w:tcW w:type="dxa" w:w="4819"/>
          </w:tcPr>
          <w:p>
            <w:pPr>
              <w:spacing w:line="264" w:lineRule="auto" w:after="60"/>
            </w:pPr>
            <w:r>
              <w:rPr>
                <w:rFonts w:ascii="Times New Roman" w:hAnsi="Times New Roman" w:eastAsia="宋体"/>
                <w:b w:val="0"/>
                <w:sz w:val="19"/>
              </w:rPr>
            </w:r>
            <m:oMath>
              <m:r>
                <w:rPr>
                  <w:rFonts w:ascii="Cambria Math" w:hAnsi="Cambria Math"/>
                  <w:sz w:val="22"/>
                </w:rPr>
                <m:t xml:space="preserve">N</m:t>
              </m:r>
            </m:oMath>
            <w:r>
              <w:rPr>
                <w:rFonts w:ascii="Times New Roman" w:hAnsi="Times New Roman" w:eastAsia="宋体"/>
                <w:b w:val="0"/>
                <w:sz w:val="19"/>
              </w:rPr>
              <w:t>、</w:t>
            </w:r>
            <m:oMath>
              <m:r>
                <w:rPr>
                  <w:rFonts w:ascii="Cambria Math" w:hAnsi="Cambria Math"/>
                  <w:sz w:val="22"/>
                </w:rPr>
                <m:t xml:space="preserve">q</m:t>
              </m:r>
            </m:oMath>
            <w:r>
              <w:rPr>
                <w:rFonts w:ascii="Times New Roman" w:hAnsi="Times New Roman" w:eastAsia="宋体"/>
                <w:b w:val="0"/>
                <w:sz w:val="19"/>
              </w:rPr>
              <w:t>、</w:t>
            </w:r>
            <m:oMath>
              <m:r>
                <w:rPr>
                  <w:rFonts w:ascii="Cambria Math" w:hAnsi="Cambria Math"/>
                  <w:sz w:val="22"/>
                </w:rPr>
                <m:t xml:space="preserve">e</m:t>
              </m:r>
            </m:oMath>
            <w:r>
              <w:rPr>
                <w:rFonts w:ascii="Times New Roman" w:hAnsi="Times New Roman" w:eastAsia="宋体"/>
                <w:b w:val="0"/>
                <w:sz w:val="19"/>
              </w:rPr>
            </w:r>
          </w:p>
        </w:tc>
        <w:tc>
          <w:tcPr>
            <w:tcW w:type="dxa" w:w="4819"/>
          </w:tcPr>
          <w:p>
            <w:pPr>
              <w:spacing w:line="264" w:lineRule="auto" w:after="60"/>
            </w:pPr>
            <w:r>
              <w:rPr>
                <w:rFonts w:ascii="Times New Roman" w:hAnsi="Times New Roman" w:eastAsia="宋体"/>
                <w:b w:val="0"/>
                <w:sz w:val="19"/>
              </w:rPr>
              <w:t>某方法的错误数、两方法匹配错误数与指定类型的错误频数。</w:t>
            </w:r>
          </w:p>
        </w:tc>
      </w:tr>
    </w:tbl>
    <w:p w14:paraId="3CF5BB45">
      <w:pPr>
        <w:pStyle w:val="3"/>
        <w:spacing w:before="180" w:after="100"/>
        <w:rPr>
          <w:rFonts w:hint="eastAsia" w:ascii="黑体" w:hAnsi="黑体" w:eastAsia="黑体" w:cs="黑体"/>
        </w:rPr>
      </w:pPr>
      <w:r>
        <w:rPr>
          <w:rFonts w:hint="eastAsia" w:ascii="黑体" w:hAnsi="黑体" w:eastAsia="黑体" w:cs="黑体"/>
        </w:rPr>
        <w:t>3.2 多视图视觉状态表示</w:t>
      </w:r>
    </w:p>
    <w:p w14:paraId="07B18897">
      <w:pPr>
        <w:keepNext/>
        <w:keepLines/>
        <w:spacing w:after="100" w:line="312" w:lineRule="auto"/>
        <w:ind w:firstLine="425"/>
      </w:pPr>
      <w:r>
        <w:rPr>
          <w:rFonts w:ascii="Times New Roman" w:hAnsi="Times New Roman" w:eastAsia="宋体"/>
          <w:b w:val="0"/>
          <w:sz w:val="22"/>
        </w:rPr>
        <w:t>为同时获得场景信息和目标细节，将原图</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、目标框标记图</w:t>
      </w:r>
      <m:oMath>
        <m:sSub>
          <m:sSubPr/>
          <m:e>
            <m:r>
              <m:rPr/>
              <w:rPr>
                <w:rFonts w:ascii="Cambria Math" w:hAnsi="Cambria Math"/>
                <w:sz w:val="22"/>
              </w:rPr>
              <m:t>M</m:t>
            </m:r>
          </m:e>
          <m:sub>
            <m:r>
              <m:rPr/>
              <w:rPr>
                <w:rFonts w:ascii="Cambria Math" w:hAnsi="Cambria Math"/>
                <w:sz w:val="22"/>
              </w:rPr>
              <m:t>i</m:t>
            </m:r>
          </m:sub>
        </m:sSub>
      </m:oMath>
      <w:r>
        <w:rPr>
          <w:rFonts w:ascii="Times New Roman" w:hAnsi="Times New Roman" w:eastAsia="宋体"/>
          <w:b w:val="0"/>
          <w:sz w:val="22"/>
        </w:rPr>
        <w:t>及放大裁剪图</w:t>
      </w:r>
      <m:oMath>
        <m:sSub>
          <m:sSubPr/>
          <m:e>
            <m:r>
              <m:rPr/>
              <w:rPr>
                <w:rFonts w:ascii="Cambria Math" w:hAnsi="Cambria Math"/>
                <w:sz w:val="22"/>
              </w:rPr>
              <m:t>V</m:t>
            </m:r>
          </m:e>
          <m:sub>
            <m:r>
              <m:rPr/>
              <w:rPr>
                <w:rFonts w:ascii="Cambria Math" w:hAnsi="Cambria Math"/>
                <w:sz w:val="22"/>
              </w:rPr>
              <m:t>i</m:t>
            </m:r>
          </m:sub>
        </m:sSub>
      </m:oMath>
      <w:r>
        <w:rPr>
          <w:rFonts w:ascii="Times New Roman" w:hAnsi="Times New Roman" w:eastAsia="宋体"/>
          <w:b w:val="0"/>
          <w:sz w:val="22"/>
        </w:rPr>
        <w:t>输入状态描述器。设标注来源为</w:t>
      </w:r>
      <m:oMath>
        <m:r>
          <m:rPr/>
          <w:rPr>
            <w:rFonts w:ascii="Cambria Math" w:hAnsi="Cambria Math"/>
            <w:sz w:val="22"/>
          </w:rPr>
          <m:t>r∈</m:t>
        </m:r>
        <m:d>
          <m:dPr>
            <m:begChr m:val="{"/>
            <m:endChr m:val="}"/>
          </m:dPr>
          <m:e>
            <m:r>
              <m:rPr>
                <m:sty m:val="p"/>
              </m:rPr>
              <w:rPr>
                <w:rFonts w:ascii="Cambria Math" w:hAnsi="Cambria Math"/>
                <w:sz w:val="22"/>
              </w:rPr>
              <m:t>local</m:t>
            </m:r>
            <m:r>
              <m:rPr/>
              <w:rPr>
                <w:rFonts w:ascii="Cambria Math" w:hAnsi="Cambria Math"/>
                <w:sz w:val="22"/>
              </w:rPr>
              <m:t>,</m:t>
            </m:r>
            <m:r>
              <m:rPr>
                <m:sty m:val="p"/>
              </m:rPr>
              <w:rPr>
                <w:rFonts w:ascii="Cambria Math" w:hAnsi="Cambria Math"/>
                <w:sz w:val="22"/>
              </w:rPr>
              <m:t>online</m:t>
            </m:r>
          </m:e>
        </m:d>
      </m:oMath>
      <w:r>
        <w:rPr>
          <w:rFonts w:ascii="Times New Roman" w:hAnsi="Times New Roman" w:eastAsia="宋体"/>
          <w:b w:val="0"/>
          <w:sz w:val="22"/>
        </w:rPr>
        <w:t>，其输出为：</w:t>
      </w:r>
    </w:p>
    <w:p w14:paraId="2F7286E6">
      <w:pPr>
        <w:spacing w:before="80" w:after="140"/>
        <w:jc w:val="center"/>
      </w:pPr>
      <m:oMathPara>
        <m:oMath>
          <m:sSubSup>
            <m:e>
              <m:r>
                <w:rPr>
                  <w:rFonts w:ascii="Cambria Math" w:hAnsi="Cambria Math"/>
                  <w:sz w:val="22"/>
                </w:rPr>
                <m:t xml:space="preserve">z</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m:t>
          </m:r>
          <m:sSub>
            <m:e>
              <m:r>
                <w:rPr>
                  <w:rFonts w:ascii="Cambria Math" w:hAnsi="Cambria Math"/>
                  <w:sz w:val="22"/>
                </w:rPr>
                <m:t xml:space="preserve">φ</m:t>
              </m:r>
            </m:e>
            <m:sub>
              <m:r>
                <w:rPr>
                  <w:rFonts w:ascii="Cambria Math" w:hAnsi="Cambria Math"/>
                  <w:sz w:val="22"/>
                </w:rPr>
                <m:t xml:space="preserve">r</m:t>
              </m:r>
            </m:sub>
          </m:sSub>
          <m:d>
            <m:dPr>
              <m:begChr m:val="("/>
              <m:endChr m:val=")"/>
            </m:dPr>
            <m:e>
              <m:sSub>
                <m:e>
                  <m:r>
                    <w:rPr>
                      <w:rFonts w:ascii="Cambria Math" w:hAnsi="Cambria Math"/>
                      <w:sz w:val="22"/>
                    </w:rPr>
                    <m:t xml:space="preserve">I</m:t>
                  </m:r>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M</m:t>
                  </m:r>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V</m:t>
                  </m:r>
                </m:e>
                <m:sub>
                  <m:r>
                    <w:rPr>
                      <w:rFonts w:ascii="Cambria Math" w:hAnsi="Cambria Math"/>
                      <w:sz w:val="22"/>
                    </w:rPr>
                    <m:t xml:space="preserve">i</m:t>
                  </m:r>
                </m:sub>
              </m:sSub>
            </m:e>
          </m:d>
          <m:r>
            <w:rPr>
              <w:rFonts w:ascii="Cambria Math" w:hAnsi="Cambria Math"/>
              <w:sz w:val="22"/>
            </w:rPr>
            <m:t xml:space="preserve">.</m:t>
          </m:r>
        </m:oMath>
      </m:oMathPara>
    </w:p>
    <w:p w14:paraId="0576E509">
      <w:pPr>
        <w:keepLines/>
        <w:spacing w:after="100" w:line="312" w:lineRule="auto"/>
        <w:ind w:firstLine="425"/>
      </w:pPr>
      <w:r>
        <w:rPr>
          <w:rFonts w:ascii="Times New Roman" w:hAnsi="Times New Roman" w:eastAsia="宋体"/>
          <w:b w:val="0"/>
          <w:sz w:val="22"/>
        </w:rPr>
        <w:t>其中，</w:t>
      </w:r>
      <m:oMath>
        <m:sSub>
          <m:sSubPr/>
          <m:e>
            <m:r>
              <m:rPr/>
              <w:rPr>
                <w:rFonts w:ascii="Cambria Math" w:hAnsi="Cambria Math"/>
                <w:sz w:val="22"/>
              </w:rPr>
              <m:t>φ</m:t>
            </m:r>
          </m:e>
          <m:sub>
            <m:r>
              <m:rPr/>
              <w:rPr>
                <w:rFonts w:ascii="Cambria Math" w:hAnsi="Cambria Math"/>
                <w:sz w:val="22"/>
              </w:rPr>
              <m:t>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14:paraId="11ABE6A2">
      <w:pPr>
        <w:keepLines/>
        <w:spacing w:after="100" w:line="312" w:lineRule="auto"/>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14:paraId="2C5FF4E0">
      <w:pPr>
        <w:keepLines/>
        <w:spacing w:after="100" w:line="312" w:lineRule="auto"/>
        <w:ind w:firstLine="425"/>
      </w:pPr>
      <w:r>
        <w:rPr>
          <w:rFonts w:ascii="Times New Roman" w:hAnsi="Times New Roman" w:eastAsia="宋体"/>
          <w:b w:val="0"/>
          <w:sz w:val="22"/>
        </w:rPr>
        <w:t>将“字段—枚举值”对定义为视觉状态。例如，“身体朝向—背向”表示一种状态。目标</w:t>
      </w:r>
      <m:oMath>
        <m:r>
          <m:rPr/>
          <w:rPr>
            <w:rFonts w:ascii="Cambria Math" w:hAnsi="Cambria Math"/>
            <w:sz w:val="22"/>
          </w:rPr>
          <m:t>i</m:t>
        </m:r>
      </m:oMath>
      <w:r>
        <w:rPr>
          <w:rFonts w:ascii="Times New Roman" w:hAnsi="Times New Roman" w:eastAsia="宋体"/>
          <w:b w:val="0"/>
          <w:sz w:val="22"/>
        </w:rPr>
        <w:t>在来源</w:t>
      </w:r>
      <m:oMath>
        <m:r>
          <m:rPr/>
          <w:rPr>
            <w:rFonts w:ascii="Cambria Math" w:hAnsi="Cambria Math"/>
            <w:sz w:val="22"/>
          </w:rPr>
          <m:t>r</m:t>
        </m:r>
      </m:oMath>
      <w:r>
        <w:rPr>
          <w:rFonts w:ascii="Times New Roman" w:hAnsi="Times New Roman" w:eastAsia="宋体"/>
          <w:b w:val="0"/>
          <w:sz w:val="22"/>
        </w:rPr>
        <w:t>下激活的已知状态集合记为</w:t>
      </w:r>
      <m:oMath>
        <m:sSubSup>
          <m:sSubSupPr/>
          <m:e>
            <m:r>
              <m:rPr/>
              <w:rPr>
                <w:rFonts w:ascii="Cambria Math" w:hAnsi="Cambria Math"/>
                <w:sz w:val="22"/>
              </w:rPr>
              <m:t>A</m:t>
            </m:r>
          </m:e>
          <m:sub>
            <m:r>
              <m:rPr/>
              <w:rPr>
                <w:rFonts w:ascii="Cambria Math" w:hAnsi="Cambria Math"/>
                <w:sz w:val="22"/>
              </w:rPr>
              <m:t>i</m:t>
            </m:r>
          </m:sub>
          <m:sup>
            <m:r>
              <m:rPr/>
              <w:rPr>
                <w:rFonts w:ascii="Cambria Math" w:hAnsi="Cambria Math"/>
                <w:sz w:val="22"/>
              </w:rPr>
              <m:t>(r)</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14:paraId="7E4114EB">
      <w:pPr>
        <w:pStyle w:val="3"/>
        <w:spacing w:before="180" w:after="100"/>
        <w:rPr>
          <w:rFonts w:hint="eastAsia" w:ascii="黑体" w:hAnsi="黑体" w:eastAsia="黑体" w:cs="黑体"/>
        </w:rPr>
      </w:pPr>
      <w:r>
        <w:rPr>
          <w:rFonts w:hint="eastAsia" w:ascii="黑体" w:hAnsi="黑体" w:eastAsia="黑体" w:cs="黑体"/>
        </w:rPr>
        <w:t>3.3 状态覆盖度量与稀缺状态选样</w:t>
      </w:r>
    </w:p>
    <w:p w14:paraId="20537B25">
      <w:pPr>
        <w:pStyle w:val="4"/>
        <w:spacing w:before="180" w:after="100"/>
        <w:rPr>
          <w:rFonts w:hint="eastAsia" w:ascii="黑体" w:hAnsi="黑体" w:eastAsia="黑体" w:cs="黑体"/>
        </w:rPr>
      </w:pPr>
      <w:r>
        <w:rPr>
          <w:rFonts w:hint="eastAsia" w:ascii="黑体" w:hAnsi="黑体" w:eastAsia="黑体" w:cs="黑体"/>
        </w:rPr>
        <w:t>3.3.1 状态支持与频次覆盖</w:t>
      </w:r>
    </w:p>
    <w:p w14:paraId="223C924F">
      <w:pPr>
        <w:keepNext/>
        <w:keepLines/>
        <w:spacing w:after="100" w:line="312" w:lineRule="auto"/>
        <w:ind w:firstLine="425"/>
      </w:pPr>
      <w:r>
        <w:rPr>
          <w:rFonts w:ascii="Times New Roman" w:hAnsi="Times New Roman" w:eastAsia="宋体"/>
          <w:b w:val="0"/>
          <w:sz w:val="22"/>
        </w:rPr>
        <w:t>对同一候选池，在类别</w:t>
      </w:r>
      <m:oMath>
        <m:r>
          <w:rPr>
            <w:rFonts w:ascii="Cambria Math" w:hAnsi="Cambria Math"/>
            <w:sz w:val="22"/>
          </w:rPr>
          <m:t xml:space="preserve">c</m:t>
        </m:r>
      </m:oMath>
      <w:r>
        <w:rPr>
          <w:rFonts w:ascii="Times New Roman" w:hAnsi="Times New Roman" w:eastAsia="宋体"/>
          <w:b w:val="0"/>
          <w:sz w:val="22"/>
        </w:rPr>
        <w:t>内将两种标注来源观察到的已知状态取并集，记为状态集合</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。该并集仅统一类别状态词表和覆盖分母，不合并同一目标的两份标注；每个目标仍使用来源</w:t>
      </w:r>
      <m:oMath>
        <m:r>
          <w:rPr>
            <w:rFonts w:ascii="Cambria Math" w:hAnsi="Cambria Math"/>
            <w:sz w:val="22"/>
          </w:rPr>
          <m:t xml:space="preserve">r</m:t>
        </m:r>
      </m:oMath>
      <w:r>
        <w:rPr>
          <w:rFonts w:ascii="Times New Roman" w:hAnsi="Times New Roman" w:eastAsia="宋体"/>
          <w:b w:val="0"/>
          <w:sz w:val="22"/>
        </w:rPr>
        <w:t>的</w:t>
      </w:r>
      <m:oMath>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oMath>
      <w:r>
        <w:rPr>
          <w:rFonts w:ascii="Times New Roman" w:hAnsi="Times New Roman" w:eastAsia="宋体"/>
          <w:b w:val="0"/>
          <w:sz w:val="22"/>
        </w:rPr>
        <w:t>。某状态只在另一来源中出现时，其在当前来源中的支持数为零。当前来源零支持的状态仍计入分母，以保证同一候选池内跨来源覆盖值使用共同词表；本文不另报仅当前来源词表的分母敏感性结果。比较不同选样规模与方法时使用相同的</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。对于已选目标索引集合</w:t>
      </w:r>
      <m:oMath>
        <m:r>
          <w:rPr>
            <w:rFonts w:ascii="Cambria Math" w:hAnsi="Cambria Math"/>
            <w:sz w:val="22"/>
          </w:rPr>
          <m:t xml:space="preserve">S</m:t>
        </m:r>
      </m:oMath>
      <w:r>
        <w:rPr>
          <w:rFonts w:ascii="Times New Roman" w:hAnsi="Times New Roman" w:eastAsia="宋体"/>
          <w:b w:val="0"/>
          <w:sz w:val="22"/>
        </w:rPr>
        <w:t>，状态</w:t>
      </w:r>
      <m:oMath>
        <m:r>
          <w:rPr>
            <w:rFonts w:ascii="Cambria Math" w:hAnsi="Cambria Math"/>
            <w:sz w:val="22"/>
          </w:rPr>
          <m:t xml:space="preserve">s</m:t>
        </m:r>
      </m:oMath>
      <w:r>
        <w:rPr>
          <w:rFonts w:ascii="Times New Roman" w:hAnsi="Times New Roman" w:eastAsia="宋体"/>
          <w:b w:val="0"/>
          <w:sz w:val="22"/>
        </w:rPr>
        <w:t>的支持数定义为：</w:t>
      </w:r>
    </w:p>
    <w:p w14:paraId="6567BA44">
      <w:pPr>
        <w:spacing w:before="80" w:after="140"/>
        <w:jc w:val="center"/>
      </w:pPr>
      <m:oMathPara>
        <m:oMath>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m:t>
          </m:r>
          <m:nary>
            <m:naryPr>
              <m:chr m:val="∑"/>
              <m:limLoc m:val="undOvr"/>
              <m:subHide m:val="0"/>
              <m:supHide m:val="1"/>
            </m:naryPr>
            <m:sub>
              <m:r>
                <w:rPr>
                  <w:rFonts w:ascii="Cambria Math" w:hAnsi="Cambria Math"/>
                  <w:sz w:val="22"/>
                </w:rPr>
                <m:t xml:space="preserve">i∈S</m:t>
              </m:r>
            </m:sub>
            <m:sup/>
            <m:e>
              <m:r>
                <m:rPr>
                  <m:sty m:val="b"/>
                </m:rPr>
                <w:rPr>
                  <w:rFonts w:ascii="Cambria Math" w:hAnsi="Cambria Math"/>
                  <w:sz w:val="22"/>
                </w:rPr>
                <m:t xml:space="preserve">1</m:t>
              </m:r>
              <m:d>
                <m:dPr>
                  <m:begChr m:val="{"/>
                  <m:endChr m:val="}"/>
                </m:dPr>
                <m:e>
                  <m:sSub>
                    <m:e>
                      <m:r>
                        <w:rPr>
                          <w:rFonts w:ascii="Cambria Math" w:hAnsi="Cambria Math"/>
                          <w:sz w:val="22"/>
                        </w:rPr>
                        <m:t xml:space="preserve">y</m:t>
                      </m:r>
                    </m:e>
                    <m:sub>
                      <m:r>
                        <w:rPr>
                          <w:rFonts w:ascii="Cambria Math" w:hAnsi="Cambria Math"/>
                          <w:sz w:val="22"/>
                        </w:rPr>
                        <m:t xml:space="preserve">i</m:t>
                      </m:r>
                    </m:sub>
                  </m:sSub>
                  <m:r>
                    <w:rPr>
                      <w:rFonts w:ascii="Cambria Math" w:hAnsi="Cambria Math"/>
                      <w:sz w:val="22"/>
                    </w:rPr>
                    <m:t xml:space="preserve">=c</m:t>
                  </m:r>
                </m:e>
              </m:d>
              <m:r>
                <m:rPr>
                  <m:sty m:val="b"/>
                </m:rPr>
                <w:rPr>
                  <w:rFonts w:ascii="Cambria Math" w:hAnsi="Cambria Math"/>
                  <w:sz w:val="22"/>
                </w:rPr>
                <m:t xml:space="preserve">1</m:t>
              </m:r>
              <m:d>
                <m:dPr>
                  <m:begChr m:val="{"/>
                  <m:endChr m:val="}"/>
                </m:dPr>
                <m:e>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e>
              </m:d>
            </m:e>
          </m:nary>
          <m:r>
            <w:rPr>
              <w:rFonts w:ascii="Cambria Math" w:hAnsi="Cambria Math"/>
              <w:sz w:val="22"/>
            </w:rPr>
            <m:t xml:space="preserve">.</m:t>
          </m:r>
        </m:oMath>
      </m:oMathPara>
    </w:p>
    <w:p w14:paraId="354C7E18">
      <w:pPr>
        <w:keepNext/>
        <w:keepLines/>
        <w:spacing w:after="100" w:line="312" w:lineRule="auto"/>
        <w:ind w:firstLine="425"/>
      </w:pPr>
      <w:r>
        <w:rPr>
          <w:rFonts w:ascii="Times New Roman" w:hAnsi="Times New Roman" w:eastAsia="宋体"/>
          <w:b w:val="0"/>
          <w:sz w:val="22"/>
        </w:rPr>
        <w:t>其中，</w:t>
      </w:r>
      <m:oMath>
        <m:r>
          <m:rPr>
            <m:sty m:val="b"/>
          </m:rPr>
          <w:rPr>
            <w:rFonts w:ascii="Cambria Math" w:hAnsi="Cambria Math"/>
            <w:sz w:val="22"/>
          </w:rPr>
          <m:t xml:space="preserve">1</m:t>
        </m:r>
        <m:d>
          <m:dPr>
            <m:begChr m:val="{"/>
            <m:endChr m:val="}"/>
          </m:dPr>
          <m:e>
            <m:r>
              <w:rPr>
                <w:rFonts w:ascii="Cambria Math" w:hAnsi="Cambria Math"/>
                <w:sz w:val="22"/>
              </w:rPr>
              <m:t xml:space="preserve">·</m:t>
            </m:r>
          </m:e>
        </m:d>
      </m:oMath>
      <w:r>
        <w:rPr>
          <w:rFonts w:ascii="Times New Roman" w:hAnsi="Times New Roman" w:eastAsia="宋体"/>
          <w:b w:val="0"/>
          <w:sz w:val="22"/>
        </w:rPr>
        <w:t>为指示函数。采用支持数饱和的频次覆盖指标：</w:t>
      </w:r>
    </w:p>
    <w:p w14:paraId="356B7B4A">
      <w:pPr>
        <w:spacing w:before="80" w:after="140"/>
        <w:jc w:val="center"/>
      </w:pPr>
      <m:oMathPara>
        <m:oMath>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m:t>
          </m:r>
          <m:f>
            <m:num>
              <m:r>
                <w:rPr>
                  <w:rFonts w:ascii="Cambria Math" w:hAnsi="Cambria Math"/>
                  <w:sz w:val="22"/>
                </w:rPr>
                <m:t xml:space="preserve">1</m:t>
              </m:r>
            </m:num>
            <m:den>
              <m:d>
                <m:dPr>
                  <m:begChr m:val="|"/>
                  <m:endChr m:val="|"/>
                </m:dPr>
                <m:e>
                  <m:sSub>
                    <m:e>
                      <m:r>
                        <w:rPr>
                          <w:rFonts w:ascii="Cambria Math" w:hAnsi="Cambria Math"/>
                          <w:sz w:val="22"/>
                        </w:rPr>
                        <m:t xml:space="preserve">U</m:t>
                      </m:r>
                    </m:e>
                    <m:sub>
                      <m:r>
                        <w:rPr>
                          <w:rFonts w:ascii="Cambria Math" w:hAnsi="Cambria Math"/>
                          <w:sz w:val="22"/>
                        </w:rPr>
                        <m:t xml:space="preserve">c</m:t>
                      </m:r>
                    </m:sub>
                  </m:sSub>
                </m:e>
              </m:d>
            </m:den>
          </m:f>
          <m:nary>
            <m:naryPr>
              <m:chr m:val="∑"/>
              <m:limLoc m:val="undOvr"/>
              <m:subHide m:val="0"/>
              <m:supHide m:val="1"/>
            </m:naryPr>
            <m:sub>
              <m:r>
                <w:rPr>
                  <w:rFonts w:ascii="Cambria Math" w:hAnsi="Cambria Math"/>
                  <w:sz w:val="22"/>
                </w:rPr>
                <m:t xml:space="preserve">s∈</m:t>
              </m:r>
              <m:sSub>
                <m:e>
                  <m:r>
                    <w:rPr>
                      <w:rFonts w:ascii="Cambria Math" w:hAnsi="Cambria Math"/>
                      <w:sz w:val="22"/>
                    </w:rPr>
                    <m:t xml:space="preserve">U</m:t>
                  </m:r>
                </m:e>
                <m:sub>
                  <m:r>
                    <w:rPr>
                      <w:rFonts w:ascii="Cambria Math" w:hAnsi="Cambria Math"/>
                      <w:sz w:val="22"/>
                    </w:rPr>
                    <m:t xml:space="preserve">c</m:t>
                  </m:r>
                </m:sub>
              </m:sSub>
            </m:sub>
            <m:sup/>
            <m:e>
              <m:r>
                <m:rPr>
                  <m:sty m:val="p"/>
                </m:rPr>
                <w:rPr>
                  <w:rFonts w:ascii="Cambria Math" w:hAnsi="Cambria Math"/>
                  <w:sz w:val="22"/>
                </w:rPr>
                <m:t xml:space="preserve">min</m:t>
              </m:r>
              <m:d>
                <m:dPr>
                  <m:begChr m:val="("/>
                  <m:endChr m:val=")"/>
                </m:dPr>
                <m:e>
                  <m:f>
                    <m:num>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num>
                    <m:den>
                      <m:r>
                        <w:rPr>
                          <w:rFonts w:ascii="Cambria Math" w:hAnsi="Cambria Math"/>
                          <w:sz w:val="22"/>
                        </w:rPr>
                        <m:t xml:space="preserve">τ</m:t>
                      </m:r>
                    </m:den>
                  </m:f>
                  <m:r>
                    <w:rPr>
                      <w:rFonts w:ascii="Cambria Math" w:hAnsi="Cambria Math"/>
                      <w:sz w:val="22"/>
                    </w:rPr>
                    <m:t xml:space="preserve">,1</m:t>
                  </m:r>
                </m:e>
              </m:d>
            </m:e>
          </m:nary>
          <m:r>
            <w:rPr>
              <w:rFonts w:ascii="Cambria Math" w:hAnsi="Cambria Math"/>
              <w:sz w:val="22"/>
            </w:rPr>
            <m:t xml:space="preserve">,   </m:t>
          </m:r>
          <m:sSup>
            <m:e>
              <m:r>
                <w:rPr>
                  <w:rFonts w:ascii="Cambria Math" w:hAnsi="Cambria Math"/>
                  <w:sz w:val="22"/>
                </w:rPr>
                <m:t xml:space="preserve">C</m:t>
              </m:r>
            </m:e>
            <m:sup>
              <m:r>
                <w:rPr>
                  <w:rFonts w:ascii="Cambria Math" w:hAnsi="Cambria Math"/>
                  <w:sz w:val="22"/>
                </w:rPr>
                <m:t xml:space="preserve">(r)</m:t>
              </m:r>
            </m:sup>
          </m:sSup>
          <m:d>
            <m:dPr>
              <m:begChr m:val="("/>
              <m:endChr m:val=")"/>
            </m:dPr>
            <m:e>
              <m:r>
                <w:rPr>
                  <w:rFonts w:ascii="Cambria Math" w:hAnsi="Cambria Math"/>
                  <w:sz w:val="22"/>
                </w:rPr>
                <m:t xml:space="preserve">S</m:t>
              </m:r>
            </m:e>
          </m:d>
          <m:r>
            <w:rPr>
              <w:rFonts w:ascii="Cambria Math" w:hAnsi="Cambria Math"/>
              <w:sz w:val="22"/>
            </w:rPr>
            <m:t xml:space="preserve">=</m:t>
          </m:r>
          <m:f>
            <m:num>
              <m:r>
                <w:rPr>
                  <w:rFonts w:ascii="Cambria Math" w:hAnsi="Cambria Math"/>
                  <w:sz w:val="22"/>
                </w:rPr>
                <m:t xml:space="preserve">1</m:t>
              </m:r>
            </m:num>
            <m:den>
              <m:r>
                <w:rPr>
                  <w:rFonts w:ascii="Cambria Math" w:hAnsi="Cambria Math"/>
                  <w:sz w:val="22"/>
                </w:rPr>
                <m:t xml:space="preserve">K</m:t>
              </m:r>
            </m:den>
          </m:f>
          <m:nary>
            <m:naryPr>
              <m:chr m:val="∑"/>
              <m:limLoc m:val="undOvr"/>
              <m:subHide m:val="0"/>
              <m:supHide m:val="0"/>
            </m:naryPr>
            <m:sub>
              <m:r>
                <w:rPr>
                  <w:rFonts w:ascii="Cambria Math" w:hAnsi="Cambria Math"/>
                  <w:sz w:val="22"/>
                </w:rPr>
                <m:t xml:space="preserve">c=1</m:t>
              </m:r>
            </m:sub>
            <m:sup>
              <m:r>
                <w:rPr>
                  <w:rFonts w:ascii="Cambria Math" w:hAnsi="Cambria Math"/>
                  <w:sz w:val="22"/>
                </w:rPr>
                <m:t xml:space="preserve">K</m:t>
              </m:r>
            </m:sup>
            <m:e>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e>
          </m:nary>
          <m:r>
            <w:rPr>
              <w:rFonts w:ascii="Cambria Math" w:hAnsi="Cambria Math"/>
              <w:sz w:val="22"/>
            </w:rPr>
            <m:t xml:space="preserve">.</m:t>
          </m:r>
        </m:oMath>
      </m:oMathPara>
    </w:p>
    <w:p w14:paraId="71668F71">
      <w:pPr>
        <w:keepLines/>
        <w:spacing w:after="100" w:line="312" w:lineRule="auto"/>
        <w:ind w:firstLine="425"/>
      </w:pPr>
      <m:oMath>
        <m:r>
          <m:rPr/>
          <w:rPr>
            <w:rFonts w:ascii="Cambria Math" w:hAnsi="Cambria Math"/>
            <w:sz w:val="22"/>
          </w:rPr>
          <m:t>τ</m:t>
        </m:r>
      </m:oMath>
      <w:r>
        <w:rPr>
          <w:rFonts w:ascii="Times New Roman" w:hAnsi="Times New Roman" w:eastAsia="宋体"/>
          <w:b w:val="0"/>
          <w:sz w:val="22"/>
        </w:rPr>
        <w:t>为状态支持的饱和阈值，当前取20。状态支持达到</w:t>
      </w:r>
      <m:oMath>
        <m:r>
          <m:rPr/>
          <w:rPr>
            <w:rFonts w:ascii="Cambria Math" w:hAnsi="Cambria Math"/>
            <w:sz w:val="22"/>
          </w:rPr>
          <m:t>τ</m:t>
        </m:r>
      </m:oMath>
      <w:r>
        <w:rPr>
          <w:rFonts w:ascii="Times New Roman" w:hAnsi="Times New Roman" w:eastAsia="宋体"/>
          <w:b w:val="0"/>
          <w:sz w:val="22"/>
        </w:rPr>
        <w:t>后，其覆盖贡献不再增加。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14:paraId="3EF2AFA8">
      <w:pPr>
        <w:pStyle w:val="4"/>
        <w:spacing w:before="180" w:after="100"/>
        <w:rPr>
          <w:rFonts w:hint="eastAsia" w:ascii="黑体" w:hAnsi="黑体" w:eastAsia="黑体" w:cs="黑体"/>
        </w:rPr>
      </w:pPr>
      <w:r>
        <w:rPr>
          <w:rFonts w:hint="eastAsia" w:ascii="黑体" w:hAnsi="黑体" w:eastAsia="黑体" w:cs="黑体"/>
        </w:rPr>
        <w:t>3.3.2 稀缺状态增益与贪心选样</w:t>
      </w:r>
    </w:p>
    <w:p w14:paraId="52041E7D">
      <w:pPr>
        <w:keepNext/>
        <w:keepLines/>
        <w:spacing w:after="100" w:line="312" w:lineRule="auto"/>
        <w:ind w:firstLine="425"/>
      </w:pPr>
      <w:r>
        <w:rPr>
          <w:rFonts w:ascii="Times New Roman" w:hAnsi="Times New Roman" w:eastAsia="宋体"/>
          <w:b w:val="0"/>
          <w:sz w:val="22"/>
        </w:rPr>
        <w:t>为优先增加支持不足状态的测试证据，在类别</w:t>
      </w:r>
      <m:oMath>
        <m:r>
          <m:rPr/>
          <w:rPr>
            <w:rFonts w:ascii="Cambria Math" w:hAnsi="Cambria Math"/>
            <w:sz w:val="22"/>
          </w:rPr>
          <m:t>c</m:t>
        </m:r>
      </m:oMath>
      <w:r>
        <w:rPr>
          <w:rFonts w:ascii="Times New Roman" w:hAnsi="Times New Roman" w:eastAsia="宋体"/>
          <w:b w:val="0"/>
          <w:sz w:val="22"/>
        </w:rPr>
        <w:t>内计算候选目标</w:t>
      </w:r>
      <m:oMath>
        <m:r>
          <m:rPr/>
          <w:rPr>
            <w:rFonts w:ascii="Cambria Math" w:hAnsi="Cambria Math"/>
            <w:sz w:val="22"/>
          </w:rPr>
          <m:t>i</m:t>
        </m:r>
      </m:oMath>
      <w:r>
        <w:rPr>
          <w:rFonts w:ascii="Times New Roman" w:hAnsi="Times New Roman" w:eastAsia="宋体"/>
          <w:b w:val="0"/>
          <w:sz w:val="22"/>
        </w:rPr>
        <w:t>相对于当前集合</w:t>
      </w:r>
      <m:oMath>
        <m:r>
          <m:rPr/>
          <w:rPr>
            <w:rFonts w:ascii="Cambria Math" w:hAnsi="Cambria Math"/>
            <w:sz w:val="22"/>
          </w:rPr>
          <m:t>S</m:t>
        </m:r>
      </m:oMath>
      <w:r>
        <w:rPr>
          <w:rFonts w:ascii="Times New Roman" w:hAnsi="Times New Roman" w:eastAsia="宋体"/>
          <w:b w:val="0"/>
          <w:sz w:val="22"/>
        </w:rPr>
        <w:t>的增益：</w:t>
      </w:r>
    </w:p>
    <w:p w14:paraId="3173EC3C">
      <w:pPr>
        <w:spacing w:before="80" w:after="140"/>
        <w:jc w:val="center"/>
      </w:pPr>
      <m:oMathPara>
        <m:oMath>
          <m:sSubSup>
            <m:e>
              <m:r>
                <w:rPr>
                  <w:rFonts w:ascii="Cambria Math" w:hAnsi="Cambria Math"/>
                  <w:sz w:val="22"/>
                </w:rPr>
                <m:t xml:space="preserve">g</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i|S</m:t>
              </m:r>
            </m:e>
          </m:d>
          <m:r>
            <w:rPr>
              <w:rFonts w:ascii="Cambria Math" w:hAnsi="Cambria Math"/>
              <w:sz w:val="22"/>
            </w:rPr>
            <m:t xml:space="preserve">=</m:t>
          </m:r>
          <m:nary>
            <m:naryPr>
              <m:chr m:val="∑"/>
              <m:limLoc m:val="undOvr"/>
              <m:subHide m:val="0"/>
              <m:supHide m:val="1"/>
            </m:naryPr>
            <m:sub>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 </m:t>
              </m:r>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&lt;τ</m:t>
              </m:r>
            </m:sub>
            <m:sup/>
            <m:e>
              <m:d>
                <m:dPr>
                  <m:begChr m:val="["/>
                  <m:endChr m:val="]"/>
                </m:dPr>
                <m:e>
                  <m:r>
                    <m:rPr>
                      <m:sty m:val="p"/>
                    </m:rPr>
                    <w:rPr>
                      <w:rFonts w:ascii="Cambria Math" w:hAnsi="Cambria Math"/>
                      <w:sz w:val="22"/>
                    </w:rPr>
                    <m:t xml:space="preserve">log</m:t>
                  </m:r>
                  <m:d>
                    <m:dPr>
                      <m:begChr m:val="("/>
                      <m:endChr m:val=")"/>
                    </m:dPr>
                    <m:e>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+2</m:t>
                      </m:r>
                    </m:e>
                  </m:d>
                  <m:r>
                    <w:rPr>
                      <w:rFonts w:ascii="Cambria Math" w:hAnsi="Cambria Math"/>
                      <w:sz w:val="22"/>
                    </w:rPr>
                    <m:t xml:space="preserve">−</m:t>
                  </m:r>
                  <m:r>
                    <m:rPr>
                      <m:sty m:val="p"/>
                    </m:rPr>
                    <w:rPr>
                      <w:rFonts w:ascii="Cambria Math" w:hAnsi="Cambria Math"/>
                      <w:sz w:val="22"/>
                    </w:rPr>
                    <m:t xml:space="preserve">log</m:t>
                  </m:r>
                  <m:d>
                    <m:dPr>
                      <m:begChr m:val="("/>
                      <m:endChr m:val=")"/>
                    </m:dPr>
                    <m:e>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+1</m:t>
                      </m:r>
                    </m:e>
                  </m:d>
                </m:e>
              </m:d>
            </m:e>
          </m:nary>
          <m:r>
            <w:rPr>
              <w:rFonts w:ascii="Cambria Math" w:hAnsi="Cambria Math"/>
              <w:sz w:val="22"/>
            </w:rPr>
            <m:t xml:space="preserve">.</m:t>
          </m:r>
        </m:oMath>
      </m:oMathPara>
    </w:p>
    <w:p w14:paraId="5D85C129">
      <w:pPr>
        <w:keepLines/>
        <w:spacing w:after="100" w:line="312" w:lineRule="auto"/>
        <w:ind w:firstLine="425"/>
      </w:pPr>
      <w:r>
        <w:rPr>
          <w:rFonts w:ascii="Times New Roman" w:hAnsi="Times New Roman" w:eastAsia="宋体"/>
          <w:b w:val="0"/>
          <w:sz w:val="22"/>
        </w:rPr>
        <w:t>每个未饱和状态的增益为</w:t>
      </w:r>
      <m:oMath>
        <m:r>
          <m:rPr>
            <m:sty m:val="p"/>
          </m:rPr>
          <w:rPr>
            <w:rFonts w:ascii="Cambria Math" w:hAnsi="Cambria Math"/>
            <w:sz w:val="22"/>
          </w:rPr>
          <m:t xml:space="preserve">log</m:t>
        </m:r>
        <m:d>
          <m:dPr>
            <m:begChr m:val="("/>
            <m:endChr m:val=")"/>
          </m:dPr>
          <m:e>
            <m:r>
              <w:rPr>
                <w:rFonts w:ascii="Cambria Math" w:hAnsi="Cambria Math"/>
                <w:sz w:val="22"/>
              </w:rPr>
              <m:t xml:space="preserve">n+2</m:t>
            </m:r>
          </m:e>
        </m:d>
        <m:r>
          <w:rPr>
            <w:rFonts w:ascii="Cambria Math" w:hAnsi="Cambria Math"/>
            <w:sz w:val="22"/>
          </w:rPr>
          <m:t xml:space="preserve">−</m:t>
        </m:r>
        <m:r>
          <m:rPr>
            <m:sty m:val="p"/>
          </m:rPr>
          <w:rPr>
            <w:rFonts w:ascii="Cambria Math" w:hAnsi="Cambria Math"/>
            <w:sz w:val="22"/>
          </w:rPr>
          <m:t xml:space="preserve">log</m:t>
        </m:r>
        <m:d>
          <m:dPr>
            <m:begChr m:val="("/>
            <m:endChr m:val=")"/>
          </m:dPr>
          <m:e>
            <m:r>
              <w:rPr>
                <w:rFonts w:ascii="Cambria Math" w:hAnsi="Cambria Math"/>
                <w:sz w:val="22"/>
              </w:rPr>
              <m:t xml:space="preserve">n+1</m:t>
            </m:r>
          </m:e>
        </m:d>
      </m:oMath>
      <w:r>
        <w:rPr>
          <w:rFonts w:ascii="Times New Roman" w:hAnsi="Times New Roman" w:eastAsia="宋体"/>
          <w:b w:val="0"/>
          <w:sz w:val="22"/>
        </w:rPr>
        <w:t>，随已有支持数</w:t>
      </w:r>
      <m:oMath>
        <m:r>
          <w:rPr>
            <w:rFonts w:ascii="Cambria Math" w:hAnsi="Cambria Math"/>
            <w:sz w:val="22"/>
          </w:rPr>
          <m:t xml:space="preserve">n</m:t>
        </m:r>
      </m:oMath>
      <w:r>
        <w:rPr>
          <w:rFonts w:ascii="Times New Roman" w:hAnsi="Times New Roman" w:eastAsia="宋体"/>
          <w:b w:val="0"/>
          <w:sz w:val="22"/>
        </w:rPr>
        <w:t>增加而减小，因此支持较少的状态获得较大的边际增益。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14:paraId="7A1D209F">
      <w:pPr>
        <w:keepLines/>
        <w:spacing w:after="100" w:line="312" w:lineRule="auto"/>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14:paraId="3B718656">
      <w:pPr>
        <w:keepNext/>
        <w:keepLines/>
        <w:spacing w:after="100" w:line="312" w:lineRule="auto"/>
      </w:pPr>
      <w:r>
        <w:rPr>
          <w:rFonts w:ascii="Times New Roman" w:hAnsi="Times New Roman" w:eastAsia="宋体"/>
          <w:b w:val="0"/>
          <w:sz w:val="18"/>
        </w:rPr>
        <w:t>算法1给出主覆盖选样的执行过程。设单一来源、单一类别的候选数为</w:t>
      </w:r>
      <m:oMath>
        <m:r>
          <m:rPr/>
          <w:rPr>
            <w:rFonts w:ascii="Cambria Math" w:hAnsi="Cambria Math"/>
            <w:sz w:val="22"/>
          </w:rPr>
          <m:t>n</m:t>
        </m:r>
      </m:oMath>
      <w:r>
        <w:rPr>
          <w:rFonts w:ascii="Times New Roman" w:hAnsi="Times New Roman" w:eastAsia="宋体"/>
          <w:b w:val="0"/>
          <w:sz w:val="18"/>
        </w:rPr>
        <w:t>，状态数为</w:t>
      </w:r>
      <m:oMath>
        <m:r>
          <m:rPr/>
          <w:rPr>
            <w:rFonts w:ascii="Cambria Math" w:hAnsi="Cambria Math"/>
            <w:sz w:val="22"/>
          </w:rPr>
          <m:t>v</m:t>
        </m:r>
      </m:oMath>
      <w:r>
        <w:rPr>
          <w:rFonts w:ascii="Times New Roman" w:hAnsi="Times New Roman" w:eastAsia="宋体"/>
          <w:b w:val="0"/>
          <w:sz w:val="18"/>
        </w:rPr>
        <w:t>，选出目标数为</w:t>
      </w:r>
      <m:oMath>
        <m:r>
          <m:rPr/>
          <w:rPr>
            <w:rFonts w:ascii="Cambria Math" w:hAnsi="Cambria Math"/>
            <w:sz w:val="22"/>
          </w:rPr>
          <m:t>t</m:t>
        </m:r>
      </m:oMath>
      <w:r>
        <w:rPr>
          <w:rFonts w:ascii="Times New Roman" w:hAnsi="Times New Roman" w:eastAsia="宋体"/>
          <w:b w:val="0"/>
          <w:sz w:val="18"/>
        </w:rPr>
        <w:t>。当前实现逐轮扫描可行目标并重新计算状态增益，贪心部分时间上界为</w:t>
      </w:r>
      <m:oMath>
        <m:r>
          <m:rPr/>
          <w:rPr>
            <w:rFonts w:ascii="Cambria Math" w:hAnsi="Cambria Math"/>
            <w:sz w:val="22"/>
          </w:rPr>
          <m:t>O</m:t>
        </m:r>
        <m:d>
          <m:dPr>
            <m:begChr m:val="("/>
            <m:endChr m:val=")"/>
          </m:dPr>
          <m:e>
            <m:r>
              <m:rPr/>
              <w:rPr>
                <w:rFonts w:ascii="Cambria Math" w:hAnsi="Cambria Math"/>
                <w:sz w:val="22"/>
              </w:rPr>
              <m:t>tnv</m:t>
            </m:r>
          </m:e>
        </m:d>
      </m:oMath>
      <w:r>
        <w:rPr>
          <w:rFonts w:ascii="Times New Roman" w:hAnsi="Times New Roman" w:eastAsia="宋体"/>
          <w:b w:val="0"/>
          <w:sz w:val="18"/>
        </w:rPr>
        <w:t>；风险排序另需</w:t>
      </w:r>
      <m:oMath>
        <m:r>
          <m:rPr/>
          <w:rPr>
            <w:rFonts w:ascii="Cambria Math" w:hAnsi="Cambria Math"/>
            <w:sz w:val="22"/>
          </w:rPr>
          <m:t>O</m:t>
        </m:r>
        <m:d>
          <m:dPr>
            <m:begChr m:val="("/>
            <m:endChr m:val=")"/>
          </m:dPr>
          <m:e>
            <m:r>
              <m:rPr/>
              <w:rPr>
                <w:rFonts w:ascii="Cambria Math" w:hAnsi="Cambria Math"/>
                <w:sz w:val="22"/>
              </w:rPr>
              <m:t>n</m:t>
            </m:r>
            <m:r>
              <m:rPr>
                <m:sty m:val="p"/>
              </m:rPr>
              <w:rPr>
                <w:rFonts w:ascii="Cambria Math" w:hAnsi="Cambria Math"/>
                <w:sz w:val="22"/>
              </w:rPr>
              <m:t>log</m:t>
            </m:r>
            <m:r>
              <m:rPr/>
              <w:rPr>
                <w:rFonts w:ascii="Cambria Math" w:hAnsi="Cambria Math"/>
                <w:sz w:val="22"/>
              </w:rPr>
              <m:t xml:space="preserve"> n</m:t>
            </m:r>
          </m:e>
        </m:d>
      </m:oMath>
      <w:r>
        <w:rPr>
          <w:rFonts w:ascii="Times New Roman" w:hAnsi="Times New Roman" w:eastAsia="宋体"/>
          <w:b w:val="0"/>
          <w:sz w:val="18"/>
        </w:rPr>
        <w:t>。稠密状态矩阵及选样记录的空间上界为</w:t>
      </w:r>
      <m:oMath>
        <m:r>
          <m:rPr/>
          <w:rPr>
            <w:rFonts w:ascii="Cambria Math" w:hAnsi="Cambria Math"/>
            <w:sz w:val="22"/>
          </w:rPr>
          <m:t>O</m:t>
        </m:r>
        <m:d>
          <m:dPr>
            <m:begChr m:val="("/>
            <m:endChr m:val=")"/>
          </m:dPr>
          <m:e>
            <m:r>
              <m:rPr/>
              <w:rPr>
                <w:rFonts w:ascii="Cambria Math" w:hAnsi="Cambria Math"/>
                <w:sz w:val="22"/>
              </w:rPr>
              <m:t>nv+n+t</m:t>
            </m:r>
          </m:e>
        </m:d>
      </m:oMath>
      <w:r>
        <w:rPr>
          <w:rFonts w:ascii="Times New Roman" w:hAnsi="Times New Roman" w:eastAsia="宋体"/>
          <w:b w:val="0"/>
          <w:sz w:val="18"/>
        </w:rPr>
        <w:t>。该分析不包含VLM标注和分类器表征提取的计算成本。</w:t>
      </w:r>
    </w:p>
    <w:p w14:paraId="7FD2F210">
      <w:pPr>
        <w:keepNext/>
        <w:keepLines/>
        <w:spacing w:after="100" w:line="312" w:lineRule="auto"/>
      </w:pPr>
      <w:r>
        <w:rPr>
          <w:rFonts w:ascii="Times New Roman" w:hAnsi="Times New Roman" w:eastAsia="宋体"/>
          <w:b w:val="0"/>
          <w:sz w:val="18"/>
        </w:rPr>
        <w:t>算法1　共同风险配额约束下的覆盖引导贪心选择。</w:t>
      </w:r>
    </w:p>
    <w:p>
      <w:pPr>
        <w:keepNext/>
        <w:keepLines/>
        <w:spacing w:line="276" w:lineRule="auto" w:after="40"/>
        <w:ind w:firstLine="0" w:left="0"/>
      </w:pPr>
      <w:r>
        <w:rPr>
          <w:rFonts w:ascii="Times New Roman" w:hAnsi="Times New Roman" w:eastAsia="宋体"/>
          <w:b w:val="0"/>
          <w:sz w:val="20"/>
        </w:rPr>
        <w:t>输入：指定来源</w:t>
      </w:r>
      <m:oMath>
        <m:r>
          <w:rPr>
            <w:rFonts w:ascii="Cambria Math" w:hAnsi="Cambria Math"/>
            <w:sz w:val="22"/>
          </w:rPr>
          <m:t xml:space="preserve">r</m:t>
        </m:r>
      </m:oMath>
      <w:r>
        <w:rPr>
          <w:rFonts w:ascii="Times New Roman" w:hAnsi="Times New Roman" w:eastAsia="宋体"/>
          <w:b w:val="0"/>
          <w:sz w:val="20"/>
        </w:rPr>
        <w:t>、类别</w:t>
      </w:r>
      <m:oMath>
        <m:r>
          <w:rPr>
            <w:rFonts w:ascii="Cambria Math" w:hAnsi="Cambria Math"/>
            <w:sz w:val="22"/>
          </w:rPr>
          <m:t xml:space="preserve">c</m:t>
        </m:r>
      </m:oMath>
      <w:r>
        <w:rPr>
          <w:rFonts w:ascii="Times New Roman" w:hAnsi="Times New Roman" w:eastAsia="宋体"/>
          <w:b w:val="0"/>
          <w:sz w:val="20"/>
        </w:rPr>
        <w:t>的状态矩阵、风险层、风险格及格内配额。</w:t>
      </w:r>
    </w:p>
    <w:p>
      <w:pPr>
        <w:keepNext/>
        <w:keepLines/>
        <w:spacing w:line="276" w:lineRule="auto" w:after="40"/>
        <w:ind w:firstLine="0" w:left="0"/>
      </w:pPr>
      <w:r>
        <w:rPr>
          <w:rFonts w:ascii="Times New Roman" w:hAnsi="Times New Roman" w:eastAsia="宋体"/>
          <w:b w:val="0"/>
          <w:sz w:val="20"/>
        </w:rPr>
        <w:t>输出：选样顺序及层配额完成边界处的预算前缀集合。</w:t>
      </w:r>
    </w:p>
    <w:p>
      <w:pPr>
        <w:keepNext/>
        <w:keepLines/>
        <w:spacing w:line="276" w:lineRule="auto" w:after="40"/>
        <w:ind w:firstLine="0" w:left="68"/>
      </w:pPr>
      <w:r>
        <w:rPr>
          <w:rFonts w:ascii="Times New Roman" w:hAnsi="Times New Roman" w:eastAsia="宋体"/>
          <w:b w:val="0"/>
          <w:sz w:val="20"/>
        </w:rPr>
        <w:t>1  初始化：</w:t>
      </w:r>
      <m:oMath>
        <m:r>
          <w:rPr>
            <w:rFonts w:ascii="Cambria Math" w:hAnsi="Cambria Math"/>
            <w:sz w:val="22"/>
          </w:rPr>
          <m:t xml:space="preserve">S=∅</m:t>
        </m:r>
      </m:oMath>
      <w:r>
        <w:rPr>
          <w:rFonts w:ascii="Times New Roman" w:hAnsi="Times New Roman" w:eastAsia="宋体"/>
          <w:b w:val="0"/>
          <w:sz w:val="20"/>
        </w:rPr>
        <w:t>，选样顺序为空，各状态支持数为零。</w:t>
      </w:r>
    </w:p>
    <w:p>
      <w:pPr>
        <w:keepNext/>
        <w:keepLines/>
        <w:spacing w:line="276" w:lineRule="auto" w:after="40"/>
        <w:ind w:firstLine="0" w:left="68"/>
      </w:pPr>
      <w:r>
        <w:rPr>
          <w:rFonts w:ascii="Times New Roman" w:hAnsi="Times New Roman" w:eastAsia="宋体"/>
          <w:b w:val="0"/>
          <w:sz w:val="20"/>
        </w:rPr>
        <w:t xml:space="preserve">2  for </w:t>
      </w:r>
      <m:oMath>
        <m:r>
          <w:rPr>
            <w:rFonts w:ascii="Cambria Math" w:hAnsi="Cambria Math"/>
            <w:sz w:val="22"/>
          </w:rPr>
          <m:t xml:space="preserve">ℓ=1,…,5</m:t>
        </m:r>
      </m:oMath>
      <w:r>
        <w:rPr>
          <w:rFonts w:ascii="Times New Roman" w:hAnsi="Times New Roman" w:eastAsia="宋体"/>
          <w:b w:val="0"/>
          <w:sz w:val="20"/>
        </w:rPr>
        <w:t xml:space="preserve"> do</w:t>
      </w:r>
    </w:p>
    <w:p>
      <w:pPr>
        <w:keepNext/>
        <w:keepLines/>
        <w:spacing w:line="276" w:lineRule="auto" w:after="40"/>
        <w:ind w:firstLine="0" w:left="340"/>
      </w:pPr>
      <w:r>
        <w:rPr>
          <w:rFonts w:ascii="Times New Roman" w:hAnsi="Times New Roman" w:eastAsia="宋体"/>
          <w:b w:val="0"/>
          <w:sz w:val="20"/>
        </w:rPr>
        <w:t>3      将当前风险层内各格的已选用量置零。</w:t>
      </w:r>
    </w:p>
    <w:p>
      <w:pPr>
        <w:keepNext/>
        <w:keepLines/>
        <w:spacing w:line="276" w:lineRule="auto" w:after="40"/>
        <w:ind w:firstLine="0" w:left="340"/>
      </w:pPr>
      <w:r>
        <w:rPr>
          <w:rFonts w:ascii="Times New Roman" w:hAnsi="Times New Roman" w:eastAsia="宋体"/>
          <w:b w:val="0"/>
          <w:sz w:val="20"/>
        </w:rPr>
        <w:t>4      while 当前风险层的配额尚未完成 do</w:t>
      </w:r>
    </w:p>
    <w:p>
      <w:pPr>
        <w:keepNext/>
        <w:keepLines/>
        <w:spacing w:line="276" w:lineRule="auto" w:after="40"/>
        <w:ind w:firstLine="0" w:left="612"/>
      </w:pPr>
      <w:r>
        <w:rPr>
          <w:rFonts w:ascii="Times New Roman" w:hAnsi="Times New Roman" w:eastAsia="宋体"/>
          <w:b w:val="0"/>
          <w:sz w:val="20"/>
        </w:rPr>
        <w:t>5          构造可行集合：当前层内未选中且所在格仍有剩余配额的目标。</w:t>
      </w:r>
    </w:p>
    <w:p>
      <w:pPr>
        <w:keepNext/>
        <w:keepLines/>
        <w:spacing w:line="276" w:lineRule="auto" w:after="40"/>
        <w:ind w:firstLine="0" w:left="612"/>
      </w:pPr>
      <w:r>
        <w:rPr>
          <w:rFonts w:ascii="Times New Roman" w:hAnsi="Times New Roman" w:eastAsia="宋体"/>
          <w:b w:val="0"/>
          <w:sz w:val="20"/>
        </w:rPr>
        <w:t>6          选择</w:t>
      </w:r>
      <m:oMath>
        <m:sSubSup>
          <m:e>
            <m:r>
              <w:rPr>
                <w:rFonts w:ascii="Cambria Math" w:hAnsi="Cambria Math"/>
                <w:sz w:val="22"/>
              </w:rPr>
              <m:t xml:space="preserve">g</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i|S</m:t>
            </m:r>
          </m:e>
        </m:d>
      </m:oMath>
      <w:r>
        <w:rPr>
          <w:rFonts w:ascii="Times New Roman" w:hAnsi="Times New Roman" w:eastAsia="宋体"/>
          <w:b w:val="0"/>
          <w:sz w:val="20"/>
        </w:rPr>
        <w:t>最大的目标，同分按目标ID升序。</w:t>
      </w:r>
    </w:p>
    <w:p>
      <w:pPr>
        <w:keepNext/>
        <w:keepLines/>
        <w:spacing w:line="276" w:lineRule="auto" w:after="40"/>
        <w:ind w:firstLine="0" w:left="612"/>
      </w:pPr>
      <w:r>
        <w:rPr>
          <w:rFonts w:ascii="Times New Roman" w:hAnsi="Times New Roman" w:eastAsia="宋体"/>
          <w:b w:val="0"/>
          <w:sz w:val="20"/>
        </w:rPr>
        <w:t>7          将目标加入</w:t>
      </w:r>
      <m:oMath>
        <m:r>
          <w:rPr>
            <w:rFonts w:ascii="Cambria Math" w:hAnsi="Cambria Math"/>
            <w:sz w:val="22"/>
          </w:rPr>
          <m:t xml:space="preserve">S</m:t>
        </m:r>
      </m:oMath>
      <w:r>
        <w:rPr>
          <w:rFonts w:ascii="Times New Roman" w:hAnsi="Times New Roman" w:eastAsia="宋体"/>
          <w:b w:val="0"/>
          <w:sz w:val="20"/>
        </w:rPr>
        <w:t>并追加到选样顺序，更新状态支持数与格内用量。</w:t>
      </w:r>
    </w:p>
    <w:p>
      <w:pPr>
        <w:keepNext/>
        <w:keepLines/>
        <w:spacing w:line="276" w:lineRule="auto" w:after="40"/>
        <w:ind w:firstLine="0" w:left="340"/>
      </w:pPr>
      <w:r>
        <w:rPr>
          <w:rFonts w:ascii="Times New Roman" w:hAnsi="Times New Roman" w:eastAsia="宋体"/>
          <w:b w:val="0"/>
          <w:sz w:val="20"/>
        </w:rPr>
        <w:t>8      end while</w:t>
      </w:r>
    </w:p>
    <w:p>
      <w:pPr>
        <w:keepNext/>
        <w:keepLines/>
        <w:spacing w:line="276" w:lineRule="auto" w:after="40"/>
        <w:ind w:firstLine="0" w:left="340"/>
      </w:pPr>
      <w:r>
        <w:rPr>
          <w:rFonts w:ascii="Times New Roman" w:hAnsi="Times New Roman" w:eastAsia="宋体"/>
          <w:b w:val="0"/>
          <w:sz w:val="20"/>
        </w:rPr>
        <w:t>9      核对当前层的实际风险格频数是否等于预定配额。</w:t>
      </w:r>
    </w:p>
    <w:p>
      <w:pPr>
        <w:keepNext/>
        <w:keepLines/>
        <w:spacing w:line="276" w:lineRule="auto" w:after="40"/>
        <w:ind w:firstLine="0" w:left="0"/>
      </w:pPr>
      <w:r>
        <w:rPr>
          <w:rFonts w:ascii="Times New Roman" w:hAnsi="Times New Roman" w:eastAsia="宋体"/>
          <w:b w:val="0"/>
          <w:sz w:val="20"/>
        </w:rPr>
        <w:t>10 end for</w:t>
      </w:r>
    </w:p>
    <w:p>
      <w:pPr>
        <w:keepNext w:val="0"/>
        <w:keepLines/>
        <w:spacing w:line="276" w:lineRule="auto" w:after="40"/>
        <w:ind w:firstLine="0" w:left="0"/>
      </w:pPr>
      <w:r>
        <w:rPr>
          <w:rFonts w:ascii="Times New Roman" w:hAnsi="Times New Roman" w:eastAsia="宋体"/>
          <w:b w:val="0"/>
          <w:sz w:val="20"/>
        </w:rPr>
        <w:t>11 return 选样顺序及各预算前缀集合。</w:t>
      </w:r>
    </w:p>
    <w:p>
      <w:pPr>
        <w:keepNext w:val="0"/>
        <w:keepLines/>
        <w:spacing w:line="312" w:lineRule="auto" w:after="100"/>
        <w:ind w:firstLine="425"/>
      </w:pPr>
      <w:r>
        <w:rPr>
          <w:rFonts w:ascii="Times New Roman" w:hAnsi="Times New Roman" w:eastAsia="宋体"/>
          <w:b w:val="0"/>
          <w:sz w:val="22"/>
        </w:rPr>
        <w:t>状态计数在风险层循环外初始化，并在各层之间累计。</w:t>
      </w:r>
    </w:p>
    <w:p w14:paraId="09526AA7">
      <w:pPr>
        <w:spacing w:after="0"/>
      </w:pPr>
    </w:p>
    <w:p w14:paraId="118DA510">
      <w:pPr>
        <w:keepLines/>
        <w:spacing w:after="100" w:line="312" w:lineRule="auto"/>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14:paraId="5F2C439C">
      <w:pPr>
        <w:pStyle w:val="3"/>
        <w:spacing w:before="180" w:after="100"/>
        <w:rPr>
          <w:rFonts w:hint="eastAsia" w:ascii="黑体" w:hAnsi="黑体" w:eastAsia="黑体" w:cs="黑体"/>
        </w:rPr>
      </w:pPr>
      <w:r>
        <w:rPr>
          <w:rFonts w:hint="eastAsia" w:ascii="黑体" w:hAnsi="黑体" w:eastAsia="黑体" w:cs="黑体"/>
        </w:rPr>
        <w:t>3.4 类别内风险组织与测试构成调节</w:t>
      </w:r>
    </w:p>
    <w:p w14:paraId="4058BA44">
      <w:pPr>
        <w:pStyle w:val="4"/>
        <w:spacing w:before="180" w:after="100"/>
        <w:rPr>
          <w:rFonts w:hint="eastAsia" w:ascii="黑体" w:hAnsi="黑体" w:eastAsia="黑体" w:cs="黑体"/>
        </w:rPr>
      </w:pPr>
      <w:r>
        <w:rPr>
          <w:rFonts w:hint="eastAsia" w:ascii="黑体" w:hAnsi="黑体" w:eastAsia="黑体" w:cs="黑体"/>
        </w:rPr>
        <w:t>3.4.1 预定义风险评分</w:t>
      </w:r>
    </w:p>
    <w:p w14:paraId="28BD8E42">
      <w:pPr>
        <w:keepNext/>
        <w:keepLines/>
        <w:spacing w:after="100" w:line="312" w:lineRule="auto"/>
        <w:ind w:firstLine="425"/>
      </w:pPr>
      <w:r>
        <w:rPr>
          <w:rFonts w:ascii="Times New Roman" w:hAnsi="Times New Roman" w:eastAsia="宋体"/>
          <w:b w:val="0"/>
          <w:sz w:val="22"/>
        </w:rPr>
        <w:t>选取尺度、身体可见性、遮挡、截断和朝向五个维度构造视觉风险。设风险维度集合为</w:t>
      </w:r>
      <m:oMath>
        <m:r>
          <m:rPr/>
          <w:rPr>
            <w:rFonts w:ascii="Cambria Math" w:hAnsi="Cambria Math"/>
            <w:sz w:val="22"/>
          </w:rPr>
          <m:t>D</m:t>
        </m:r>
      </m:oMath>
      <w:r>
        <w:rPr>
          <w:rFonts w:ascii="Times New Roman" w:hAnsi="Times New Roman" w:eastAsia="宋体"/>
          <w:b w:val="0"/>
          <w:sz w:val="22"/>
        </w:rPr>
        <w:t>，第</w:t>
      </w:r>
      <m:oMath>
        <m:r>
          <m:rPr/>
          <w:rPr>
            <w:rFonts w:ascii="Cambria Math" w:hAnsi="Cambria Math"/>
            <w:sz w:val="22"/>
          </w:rPr>
          <m:t>d</m:t>
        </m:r>
      </m:oMath>
      <w:r>
        <w:rPr>
          <w:rFonts w:ascii="Times New Roman" w:hAnsi="Times New Roman" w:eastAsia="宋体"/>
          <w:b w:val="0"/>
          <w:sz w:val="22"/>
        </w:rPr>
        <w:t>维的映射为</w:t>
      </w:r>
      <m:oMath>
        <m:sSub>
          <m:sSubPr/>
          <m:e>
            <m:r>
              <m:rPr/>
              <w:rPr>
                <w:rFonts w:ascii="Cambria Math" w:hAnsi="Cambria Math"/>
                <w:sz w:val="22"/>
              </w:rPr>
              <m:t>h</m:t>
            </m:r>
          </m:e>
          <m:sub>
            <m:r>
              <m:rPr/>
              <w:rPr>
                <w:rFonts w:ascii="Cambria Math" w:hAnsi="Cambria Math"/>
                <w:sz w:val="22"/>
              </w:rPr>
              <m:t>d</m:t>
            </m:r>
          </m:sub>
        </m:sSub>
      </m:oMath>
      <w:r>
        <w:rPr>
          <w:rFonts w:ascii="Times New Roman" w:hAnsi="Times New Roman" w:eastAsia="宋体"/>
          <w:b w:val="0"/>
          <w:sz w:val="22"/>
        </w:rPr>
        <w:t>，目标的综合风险为：</w:t>
      </w:r>
    </w:p>
    <w:p w14:paraId="704932F5">
      <w:pPr>
        <w:spacing w:before="80" w:after="140"/>
        <w:jc w:val="center"/>
      </w:pPr>
      <m:oMathPara>
        <m:oMath>
          <m:sSubSup>
            <m:e>
              <m:r>
                <w:rPr>
                  <w:rFonts w:ascii="Cambria Math" w:hAnsi="Cambria Math"/>
                  <w:sz w:val="22"/>
                </w:rPr>
                <m:t xml:space="preserve">H</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m:t>
          </m:r>
          <m:nary>
            <m:naryPr>
              <m:chr m:val="∑"/>
              <m:limLoc m:val="undOvr"/>
              <m:subHide m:val="0"/>
              <m:supHide m:val="1"/>
            </m:naryPr>
            <m:sub>
              <m:r>
                <w:rPr>
                  <w:rFonts w:ascii="Cambria Math" w:hAnsi="Cambria Math"/>
                  <w:sz w:val="22"/>
                </w:rPr>
                <m:t xml:space="preserve">d∈D</m:t>
              </m:r>
            </m:sub>
            <m:sup/>
            <m:e>
              <m:sSub>
                <m:e>
                  <m:r>
                    <w:rPr>
                      <w:rFonts w:ascii="Cambria Math" w:hAnsi="Cambria Math"/>
                      <w:sz w:val="22"/>
                    </w:rPr>
                    <m:t xml:space="preserve">h</m:t>
                  </m:r>
                </m:e>
                <m:sub>
                  <m:r>
                    <w:rPr>
                      <w:rFonts w:ascii="Cambria Math" w:hAnsi="Cambria Math"/>
                      <w:sz w:val="22"/>
                    </w:rPr>
                    <m:t xml:space="preserve">d</m:t>
                  </m:r>
                </m:sub>
              </m:sSub>
              <m:d>
                <m:dPr>
                  <m:begChr m:val="("/>
                  <m:endChr m:val=")"/>
                </m:dPr>
                <m:e>
                  <m:r>
                    <w:rPr>
                      <w:rFonts w:ascii="Cambria Math" w:hAnsi="Cambria Math"/>
                      <w:sz w:val="22"/>
                    </w:rPr>
                    <m:t xml:space="preserve">i,r</m:t>
                  </m:r>
                </m:e>
              </m:d>
            </m:e>
          </m:nary>
          <m:r>
            <w:rPr>
              <w:rFonts w:ascii="Cambria Math" w:hAnsi="Cambria Math"/>
              <w:sz w:val="22"/>
            </w:rPr>
            <m:t xml:space="preserve">.</m:t>
          </m:r>
        </m:oMath>
      </m:oMathPara>
    </w:p>
    <w:p w14:paraId="5FB8CF3C">
      <w:pPr>
        <w:keepLines/>
        <w:spacing w:after="100" w:line="312" w:lineRule="auto"/>
        <w:ind w:firstLine="425"/>
      </w:pPr>
      <w:r>
        <w:rPr>
          <w:rFonts w:ascii="Times New Roman" w:hAnsi="Times New Roman" w:eastAsia="宋体"/>
          <w:b w:val="0"/>
          <w:sz w:val="22"/>
        </w:rPr>
        <w:t>各维度映射如表2所示。尺度分值由</w:t>
      </w:r>
      <m:oMath>
        <m:sSub>
          <m:e>
            <m:r>
              <w:rPr>
                <w:rFonts w:ascii="Cambria Math" w:hAnsi="Cambria Math"/>
                <w:sz w:val="22"/>
              </w:rPr>
              <m:t xml:space="preserve">a</m:t>
            </m:r>
          </m:e>
          <m:sub>
            <m:r>
              <w:rPr>
                <w:rFonts w:ascii="Cambria Math" w:hAnsi="Cambria Math"/>
                <w:sz w:val="22"/>
              </w:rPr>
              <m:t xml:space="preserve">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937"/>
      </w:tblGrid>
      <w:tr w14:paraId="39435647">
        <w:trPr>
          <w:cantSplit/>
          <w:jc w:val="center"/>
        </w:trPr>
        <w:tc>
          <w:tcPr>
            <w:tcW w:w="4819" w:type="dxa"/>
          </w:tcPr>
          <w:p w14:paraId="40095313">
            <w:pPr>
              <w:spacing w:after="60" w:line="276" w:lineRule="auto"/>
            </w:pPr>
            <w:r>
              <w:rPr>
                <w:rFonts w:ascii="Times New Roman" w:hAnsi="Times New Roman" w:eastAsia="黑体"/>
                <w:b/>
                <w:sz w:val="19"/>
              </w:rPr>
              <w:t>维度</w:t>
            </w:r>
          </w:p>
        </w:tc>
        <w:tc>
          <w:tcPr>
            <w:tcW w:w="4819" w:type="dxa"/>
          </w:tcPr>
          <w:p w14:paraId="21498E26">
            <w:pPr>
              <w:spacing w:after="60" w:line="276" w:lineRule="auto"/>
            </w:pPr>
            <w:r>
              <w:rPr>
                <w:rFonts w:ascii="Times New Roman" w:hAnsi="Times New Roman" w:eastAsia="黑体"/>
                <w:b/>
                <w:sz w:val="19"/>
              </w:rPr>
              <w:t>状态或区间及对应分值</w:t>
            </w:r>
          </w:p>
        </w:tc>
      </w:tr>
      <w:tr w14:paraId="24630555">
        <w:trPr>
          <w:cantSplit/>
          <w:jc w:val="center"/>
        </w:trPr>
        <w:tc>
          <w:tcPr>
            <w:tcW w:w="4819" w:type="dxa"/>
          </w:tcPr>
          <w:p w14:paraId="6143A7B9">
            <w:pPr>
              <w:spacing w:after="60" w:line="276" w:lineRule="auto"/>
            </w:pPr>
            <w:r>
              <w:rPr>
                <w:rFonts w:ascii="Times New Roman" w:hAnsi="Times New Roman" w:eastAsia="宋体"/>
                <w:b w:val="0"/>
                <w:sz w:val="19"/>
              </w:rPr>
              <w:t>目标尺度</w:t>
            </w:r>
          </w:p>
        </w:tc>
        <w:tc>
          <w:tcPr>
            <w:tcW w:w="4819" w:type="dxa"/>
          </w:tcPr>
          <w:p w14:paraId="0158F60C">
            <w:pPr>
              <w:spacing w:after="60" w:line="276" w:lineRule="auto"/>
            </w:pPr>
            <w:r>
              <w:rPr>
                <w:rFonts w:ascii="Times New Roman" w:hAnsi="Times New Roman" w:eastAsia="宋体"/>
                <w:b w:val="0"/>
                <w:sz w:val="19"/>
              </w:rPr>
              <w:t>a≥0.10：0；0.03≤a&lt;0.10：1；0.01≤a&lt;0.03：2；a&lt;0.01：3</w:t>
            </w:r>
          </w:p>
        </w:tc>
      </w:tr>
      <w:tr w14:paraId="05990001">
        <w:trPr>
          <w:cantSplit/>
          <w:jc w:val="center"/>
        </w:trPr>
        <w:tc>
          <w:tcPr>
            <w:tcW w:w="4819" w:type="dxa"/>
          </w:tcPr>
          <w:p w14:paraId="4A11ABC2">
            <w:pPr>
              <w:spacing w:after="60" w:line="276" w:lineRule="auto"/>
            </w:pPr>
            <w:r>
              <w:rPr>
                <w:rFonts w:ascii="Times New Roman" w:hAnsi="Times New Roman" w:eastAsia="宋体"/>
                <w:b w:val="0"/>
                <w:sz w:val="19"/>
              </w:rPr>
              <w:t>身体可见性</w:t>
            </w:r>
          </w:p>
        </w:tc>
        <w:tc>
          <w:tcPr>
            <w:tcW w:w="4819" w:type="dxa"/>
          </w:tcPr>
          <w:p w14:paraId="7F57BA67">
            <w:pPr>
              <w:spacing w:after="60" w:line="276" w:lineRule="auto"/>
            </w:pPr>
            <w:r>
              <w:rPr>
                <w:rFonts w:ascii="Times New Roman" w:hAnsi="Times New Roman" w:eastAsia="宋体"/>
                <w:b w:val="0"/>
                <w:sz w:val="19"/>
              </w:rPr>
              <w:t>full／most：0；partial：2；minimal：3</w:t>
            </w:r>
          </w:p>
        </w:tc>
      </w:tr>
      <w:tr w14:paraId="5F89594B">
        <w:trPr>
          <w:cantSplit/>
          <w:jc w:val="center"/>
        </w:trPr>
        <w:tc>
          <w:tcPr>
            <w:tcW w:w="4819" w:type="dxa"/>
          </w:tcPr>
          <w:p w14:paraId="73BD3318">
            <w:pPr>
              <w:spacing w:after="60" w:line="276" w:lineRule="auto"/>
            </w:pPr>
            <w:r>
              <w:rPr>
                <w:rFonts w:ascii="Times New Roman" w:hAnsi="Times New Roman" w:eastAsia="宋体"/>
                <w:b w:val="0"/>
                <w:sz w:val="19"/>
              </w:rPr>
              <w:t>遮挡程度</w:t>
            </w:r>
          </w:p>
        </w:tc>
        <w:tc>
          <w:tcPr>
            <w:tcW w:w="4819" w:type="dxa"/>
          </w:tcPr>
          <w:p w14:paraId="76AD6A00">
            <w:pPr>
              <w:spacing w:after="60" w:line="276" w:lineRule="auto"/>
            </w:pPr>
            <w:r>
              <w:rPr>
                <w:rFonts w:ascii="Times New Roman" w:hAnsi="Times New Roman" w:eastAsia="宋体"/>
                <w:b w:val="0"/>
                <w:sz w:val="19"/>
              </w:rPr>
              <w:t>none：0；light：1；moderate：2；heavy：3</w:t>
            </w:r>
          </w:p>
        </w:tc>
      </w:tr>
      <w:tr w14:paraId="77D53BA4">
        <w:trPr>
          <w:cantSplit/>
          <w:jc w:val="center"/>
        </w:trPr>
        <w:tc>
          <w:tcPr>
            <w:tcW w:w="4819" w:type="dxa"/>
          </w:tcPr>
          <w:p w14:paraId="06982641">
            <w:pPr>
              <w:spacing w:after="60" w:line="276" w:lineRule="auto"/>
            </w:pPr>
            <w:r>
              <w:rPr>
                <w:rFonts w:ascii="Times New Roman" w:hAnsi="Times New Roman" w:eastAsia="宋体"/>
                <w:b w:val="0"/>
                <w:sz w:val="19"/>
              </w:rPr>
              <w:t>截断程度</w:t>
            </w:r>
          </w:p>
        </w:tc>
        <w:tc>
          <w:tcPr>
            <w:tcW w:w="4819" w:type="dxa"/>
          </w:tcPr>
          <w:p w14:paraId="0D5B7AAB">
            <w:pPr>
              <w:spacing w:after="60" w:line="276" w:lineRule="auto"/>
            </w:pPr>
            <w:r>
              <w:rPr>
                <w:rFonts w:ascii="Times New Roman" w:hAnsi="Times New Roman" w:eastAsia="宋体"/>
                <w:b w:val="0"/>
                <w:sz w:val="19"/>
              </w:rPr>
              <w:t>none：0；light：0.5；moderate：1；heavy：2</w:t>
            </w:r>
          </w:p>
        </w:tc>
      </w:tr>
      <w:tr w14:paraId="2BDAEB9B">
        <w:trPr>
          <w:cantSplit/>
          <w:jc w:val="center"/>
        </w:trPr>
        <w:tc>
          <w:tcPr>
            <w:tcW w:w="4819" w:type="dxa"/>
          </w:tcPr>
          <w:p w14:paraId="78811C14">
            <w:pPr>
              <w:spacing w:after="60" w:line="276" w:lineRule="auto"/>
            </w:pPr>
            <w:r>
              <w:rPr>
                <w:rFonts w:ascii="Times New Roman" w:hAnsi="Times New Roman" w:eastAsia="宋体"/>
                <w:b w:val="0"/>
                <w:sz w:val="19"/>
              </w:rPr>
              <w:t>身体朝向</w:t>
            </w:r>
          </w:p>
        </w:tc>
        <w:tc>
          <w:tcPr>
            <w:tcW w:w="4819" w:type="dxa"/>
          </w:tcPr>
          <w:p w14:paraId="52FD11C8">
            <w:pPr>
              <w:spacing w:after="60" w:line="276" w:lineRule="auto"/>
            </w:pPr>
            <w:r>
              <w:rPr>
                <w:rFonts w:ascii="Times New Roman" w:hAnsi="Times New Roman" w:eastAsia="宋体"/>
                <w:b w:val="0"/>
                <w:sz w:val="19"/>
              </w:rPr>
              <w:t>front／left_side／right_side／three_quarter：0；back：1；overhead_or_unusual：2</w:t>
            </w:r>
          </w:p>
        </w:tc>
      </w:tr>
    </w:tbl>
    <w:p w14:paraId="1F256DD3">
      <w:pPr>
        <w:spacing w:after="0"/>
      </w:pPr>
    </w:p>
    <w:p w14:paraId="202C7D2D">
      <w:pPr>
        <w:keepLines/>
        <w:spacing w:after="100" w:line="312" w:lineRule="auto"/>
      </w:pPr>
      <w:r>
        <w:rPr>
          <w:rFonts w:ascii="Times New Roman" w:hAnsi="Times New Roman" w:eastAsia="宋体"/>
          <w:b w:val="0"/>
          <w:sz w:val="18"/>
        </w:rPr>
        <w:t>表2　预定义风险映射。五项分值相加后的范围为0—13；a为目标框面积与原始图像面积之比。</w:t>
      </w:r>
    </w:p>
    <w:p w14:paraId="76C987A0">
      <w:pPr>
        <w:keepLines/>
        <w:spacing w:after="100" w:line="312" w:lineRule="auto"/>
        <w:ind w:firstLine="425"/>
      </w:pPr>
      <w:r>
        <w:rPr>
          <w:rFonts w:ascii="Times New Roman" w:hAnsi="Times New Roman" w:eastAsia="宋体"/>
          <w:b w:val="0"/>
          <w:sz w:val="22"/>
        </w:rPr>
        <w:t>当某维度为unknown时，主分析使用该维度最大分值的一半，并记录未知维数；以零值和最大值重新评分、分层，作为未知处理的敏感性分析。未知状态仍不计入覆盖，这与风险评分中的不确定性处理承担不同作用。</w:t>
      </w:r>
    </w:p>
    <w:p w14:paraId="46CFCF07">
      <w:pPr>
        <w:pStyle w:val="4"/>
        <w:spacing w:before="180" w:after="100"/>
        <w:rPr>
          <w:rFonts w:hint="eastAsia" w:ascii="黑体" w:hAnsi="黑体" w:eastAsia="黑体" w:cs="黑体"/>
        </w:rPr>
      </w:pPr>
      <w:r>
        <w:rPr>
          <w:rFonts w:hint="eastAsia" w:ascii="黑体" w:hAnsi="黑体" w:eastAsia="黑体" w:cs="黑体"/>
        </w:rPr>
        <w:t>3.4.2 类别内分层与风险混合</w:t>
      </w:r>
    </w:p>
    <w:p w14:paraId="4FE0F591">
      <w:pPr>
        <w:keepLines/>
        <w:spacing w:after="100" w:line="312" w:lineRule="auto"/>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14:paraId="22E4FB21">
      <w:pPr>
        <w:keepNext/>
        <w:keepLines/>
        <w:spacing w:after="100" w:line="312" w:lineRule="auto"/>
        <w:ind w:firstLine="425"/>
      </w:pPr>
      <w:r>
        <w:rPr>
          <w:rFonts w:ascii="Times New Roman" w:hAnsi="Times New Roman" w:eastAsia="宋体"/>
          <w:b w:val="0"/>
          <w:sz w:val="22"/>
        </w:rPr>
        <w:t>为考察测试构成对测得性能的影响，对每个类别保留相同目标数量</w:t>
      </w:r>
      <m:oMath>
        <m:r>
          <m:rPr/>
          <w:rPr>
            <w:rFonts w:ascii="Cambria Math" w:hAnsi="Cambria Math"/>
            <w:sz w:val="22"/>
          </w:rPr>
          <m:t>m</m:t>
        </m:r>
      </m:oMath>
      <w:r>
        <w:rPr>
          <w:rFonts w:ascii="Times New Roman" w:hAnsi="Times New Roman" w:eastAsia="宋体"/>
          <w:b w:val="0"/>
          <w:sz w:val="22"/>
        </w:rPr>
        <w:t>，并调节高风险占比</w:t>
      </w:r>
      <m:oMath>
        <m:r>
          <m:rPr/>
          <w:rPr>
            <w:rFonts w:ascii="Cambria Math" w:hAnsi="Cambria Math"/>
            <w:sz w:val="22"/>
          </w:rPr>
          <m:t>ρ</m:t>
        </m:r>
      </m:oMath>
      <w:r>
        <w:rPr>
          <w:rFonts w:ascii="Times New Roman" w:hAnsi="Times New Roman" w:eastAsia="宋体"/>
          <w:b w:val="0"/>
          <w:sz w:val="22"/>
        </w:rPr>
        <w:t>。主分析从Q5抽取</w:t>
      </w:r>
      <m:oMath>
        <m:r>
          <m:rPr/>
          <w:rPr>
            <w:rFonts w:ascii="Cambria Math" w:hAnsi="Cambria Math"/>
            <w:sz w:val="22"/>
          </w:rPr>
          <m:t>ρm</m:t>
        </m:r>
      </m:oMath>
      <w:r>
        <w:rPr>
          <w:rFonts w:ascii="Times New Roman" w:hAnsi="Times New Roman" w:eastAsia="宋体"/>
          <w:b w:val="0"/>
          <w:sz w:val="22"/>
        </w:rPr>
        <w:t>个目标，从Q1至Q4的并集抽取其余目标：</w:t>
      </w:r>
    </w:p>
    <w:p w14:paraId="6D45959D">
      <w:pPr>
        <w:spacing w:before="80" w:after="140"/>
        <w:jc w:val="center"/>
      </w:pPr>
      <m:oMathPara>
        <m:oMath>
          <m:sSubSup>
            <m:e>
              <m:r>
                <w:rPr>
                  <w:rFonts w:ascii="Cambria Math" w:hAnsi="Cambria Math"/>
                  <w:sz w:val="22"/>
                </w:rPr>
                <m:t xml:space="preserve">T</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ρ</m:t>
              </m:r>
            </m:e>
          </m:d>
          <m:r>
            <w:rPr>
              <w:rFonts w:ascii="Cambria Math" w:hAnsi="Cambria Math"/>
              <w:sz w:val="22"/>
            </w:rPr>
            <m:t xml:space="preserve">=</m:t>
          </m:r>
          <m:r>
            <m:rPr>
              <m:sty m:val="p"/>
            </m:rPr>
            <w:rPr>
              <w:rFonts w:ascii="Cambria Math" w:hAnsi="Cambria Math"/>
              <w:sz w:val="22"/>
            </w:rPr>
            <m:t xml:space="preserve">Sample</m:t>
          </m:r>
          <m:d>
            <m:dPr>
              <m:begChr m:val="("/>
              <m:endChr m:val=")"/>
            </m:dPr>
            <m:e>
              <m:sSubSup>
                <m:e>
                  <m:r>
                    <w:rPr>
                      <w:rFonts w:ascii="Cambria Math" w:hAnsi="Cambria Math"/>
                      <w:sz w:val="22"/>
                    </w:rPr>
                    <m:t xml:space="preserve">Q</m:t>
                  </m:r>
                </m:e>
                <m:sub>
                  <m:r>
                    <w:rPr>
                      <w:rFonts w:ascii="Cambria Math" w:hAnsi="Cambria Math"/>
                      <w:sz w:val="22"/>
                    </w:rPr>
                    <m:t xml:space="preserve">c,5</m:t>
                  </m:r>
                </m:sub>
                <m:sup>
                  <m:r>
                    <w:rPr>
                      <w:rFonts w:ascii="Cambria Math" w:hAnsi="Cambria Math"/>
                      <w:sz w:val="22"/>
                    </w:rPr>
                    <m:t xml:space="preserve">(r)</m:t>
                  </m:r>
                </m:sup>
              </m:sSubSup>
              <m:r>
                <w:rPr>
                  <w:rFonts w:ascii="Cambria Math" w:hAnsi="Cambria Math"/>
                  <w:sz w:val="22"/>
                </w:rPr>
                <m:t xml:space="preserve">,ρm</m:t>
              </m:r>
            </m:e>
          </m:d>
          <m:r>
            <w:rPr>
              <w:rFonts w:ascii="Cambria Math" w:hAnsi="Cambria Math"/>
              <w:sz w:val="22"/>
            </w:rPr>
            <m:t xml:space="preserve">∪</m:t>
          </m:r>
          <m:r>
            <m:rPr>
              <m:sty m:val="p"/>
            </m:rPr>
            <w:rPr>
              <w:rFonts w:ascii="Cambria Math" w:hAnsi="Cambria Math"/>
              <w:sz w:val="22"/>
            </w:rPr>
            <m:t xml:space="preserve">Sample</m:t>
          </m:r>
          <m:d>
            <m:dPr>
              <m:begChr m:val="("/>
              <m:endChr m:val=")"/>
            </m:dPr>
            <m:e>
              <m:nary>
                <m:naryPr>
                  <m:chr m:val="⋃"/>
                  <m:limLoc m:val="undOvr"/>
                  <m:subHide m:val="0"/>
                  <m:supHide m:val="0"/>
                </m:naryPr>
                <m:sub>
                  <m:r>
                    <w:rPr>
                      <w:rFonts w:ascii="Cambria Math" w:hAnsi="Cambria Math"/>
                      <w:sz w:val="22"/>
                    </w:rPr>
                    <m:t xml:space="preserve">ℓ=1</m:t>
                  </m:r>
                </m:sub>
                <m:sup>
                  <m:r>
                    <w:rPr>
                      <w:rFonts w:ascii="Cambria Math" w:hAnsi="Cambria Math"/>
                      <w:sz w:val="22"/>
                    </w:rPr>
                    <m:t xml:space="preserve">4</m:t>
                  </m:r>
                </m:sup>
                <m:e>
                  <m:sSubSup>
                    <m:e>
                      <m:r>
                        <w:rPr>
                          <w:rFonts w:ascii="Cambria Math" w:hAnsi="Cambria Math"/>
                          <w:sz w:val="22"/>
                        </w:rPr>
                        <m:t xml:space="preserve">Q</m:t>
                      </m:r>
                    </m:e>
                    <m:sub>
                      <m:r>
                        <w:rPr>
                          <w:rFonts w:ascii="Cambria Math" w:hAnsi="Cambria Math"/>
                          <w:sz w:val="22"/>
                        </w:rPr>
                        <m:t xml:space="preserve">c,ℓ</m:t>
                      </m:r>
                    </m:sub>
                    <m:sup>
                      <m:r>
                        <w:rPr>
                          <w:rFonts w:ascii="Cambria Math" w:hAnsi="Cambria Math"/>
                          <w:sz w:val="22"/>
                        </w:rPr>
                        <m:t xml:space="preserve">(r)</m:t>
                      </m:r>
                    </m:sup>
                  </m:sSubSup>
                </m:e>
              </m:nary>
              <m:r>
                <w:rPr>
                  <w:rFonts w:ascii="Cambria Math" w:hAnsi="Cambria Math"/>
                  <w:sz w:val="22"/>
                </w:rPr>
                <m:t xml:space="preserve">,</m:t>
              </m:r>
              <m:d>
                <m:dPr>
                  <m:begChr m:val="("/>
                  <m:endChr m:val=")"/>
                </m:dPr>
                <m:e>
                  <m:r>
                    <w:rPr>
                      <w:rFonts w:ascii="Cambria Math" w:hAnsi="Cambria Math"/>
                      <w:sz w:val="22"/>
                    </w:rPr>
                    <m:t xml:space="preserve">1−ρ</m:t>
                  </m:r>
                </m:e>
              </m:d>
              <m:r>
                <w:rPr>
                  <w:rFonts w:ascii="Cambria Math" w:hAnsi="Cambria Math"/>
                  <w:sz w:val="22"/>
                </w:rPr>
                <m:t xml:space="preserve">m</m:t>
              </m:r>
            </m:e>
          </m:d>
          <m:r>
            <w:rPr>
              <w:rFonts w:ascii="Cambria Math" w:hAnsi="Cambria Math"/>
              <w:sz w:val="22"/>
            </w:rPr>
            <m:t xml:space="preserve">.</m:t>
          </m:r>
        </m:oMath>
      </m:oMathPara>
    </w:p>
    <w:p w14:paraId="77258AA7">
      <w:pPr>
        <w:keepLines/>
        <w:spacing w:after="100" w:line="312" w:lineRule="auto"/>
        <w:ind w:firstLine="425"/>
      </w:pPr>
      <w:r>
        <w:rPr>
          <w:rFonts w:ascii="Times New Roman" w:hAnsi="Times New Roman" w:eastAsia="宋体"/>
          <w:b w:val="0"/>
          <w:sz w:val="22"/>
        </w:rPr>
        <w:t>Sample表示无放回抽样，</w:t>
      </w:r>
      <m:oMath>
        <m:r>
          <w:rPr>
            <w:rFonts w:ascii="Cambria Math" w:hAnsi="Cambria Math"/>
            <w:sz w:val="22"/>
          </w:rPr>
          <m:t xml:space="preserve">ρ∈</m:t>
        </m:r>
        <m:d>
          <m:dPr>
            <m:begChr m:val="["/>
            <m:endChr m:val="]"/>
          </m:dPr>
          <m:e>
            <m:r>
              <w:rPr>
                <w:rFonts w:ascii="Cambria Math" w:hAnsi="Cambria Math"/>
                <w:sz w:val="22"/>
              </w:rPr>
              <m:t xml:space="preserve">0,1</m:t>
            </m:r>
          </m:e>
        </m:d>
      </m:oMath>
      <w:r>
        <w:rPr>
          <w:rFonts w:ascii="Times New Roman" w:hAnsi="Times New Roman" w:eastAsia="宋体"/>
          <w:b w:val="0"/>
          <w:sz w:val="22"/>
        </w:rPr>
        <w:t>，且</w:t>
      </w:r>
      <m:oMath>
        <m:r>
          <w:rPr>
            <w:rFonts w:ascii="Cambria Math" w:hAnsi="Cambria Math"/>
            <w:sz w:val="22"/>
          </w:rPr>
          <m:t xml:space="preserve">ρm</m:t>
        </m:r>
      </m:oMath>
      <w:r>
        <w:rPr>
          <w:rFonts w:ascii="Times New Roman" w:hAnsi="Times New Roman" w:eastAsia="宋体"/>
          <w:b w:val="0"/>
          <w:sz w:val="22"/>
        </w:rPr>
        <w:t>与</w:t>
      </w:r>
      <m:oMath>
        <m:d>
          <m:dPr>
            <m:begChr m:val="("/>
            <m:endChr m:val=")"/>
          </m:dPr>
          <m:e>
            <m:r>
              <w:rPr>
                <w:rFonts w:ascii="Cambria Math" w:hAnsi="Cambria Math"/>
                <w:sz w:val="22"/>
              </w:rPr>
              <m:t xml:space="preserve">1−ρ</m:t>
            </m:r>
          </m:e>
        </m:d>
        <m:r>
          <w:rPr>
            <w:rFonts w:ascii="Cambria Math" w:hAnsi="Cambria Math"/>
            <w:sz w:val="22"/>
          </w:rPr>
          <m:t xml:space="preserve">m</m:t>
        </m:r>
      </m:oMath>
      <w:r>
        <w:rPr>
          <w:rFonts w:ascii="Times New Roman" w:hAnsi="Times New Roman" w:eastAsia="宋体"/>
          <w:b w:val="0"/>
          <w:sz w:val="22"/>
        </w:rPr>
        <w:t>均为整数，分别不超过Q5与Q1至Q4并集的候选容量。将各类别目标合并为测试集</w:t>
      </w:r>
      <m:oMath>
        <m:sSup>
          <m:e>
            <m:r>
              <w:rPr>
                <w:rFonts w:ascii="Cambria Math" w:hAnsi="Cambria Math"/>
                <w:sz w:val="22"/>
              </w:rPr>
              <m:t xml:space="preserve">T</m:t>
            </m:r>
          </m:e>
          <m:sup>
            <m:r>
              <w:rPr>
                <w:rFonts w:ascii="Cambria Math" w:hAnsi="Cambria Math"/>
                <w:sz w:val="22"/>
              </w:rPr>
              <m:t xml:space="preserve">(r)</m:t>
            </m:r>
          </m:sup>
        </m:sSup>
        <m:d>
          <m:dPr>
            <m:begChr m:val="("/>
            <m:endChr m:val=")"/>
          </m:dPr>
          <m:e>
            <m:r>
              <w:rPr>
                <w:rFonts w:ascii="Cambria Math" w:hAnsi="Cambria Math"/>
                <w:sz w:val="22"/>
              </w:rPr>
              <m:t xml:space="preserve">ρ</m:t>
            </m:r>
          </m:e>
        </m:d>
      </m:oMath>
      <w:r>
        <w:rPr>
          <w:rFonts w:ascii="Times New Roman" w:hAnsi="Times New Roman" w:eastAsia="宋体"/>
          <w:b w:val="0"/>
          <w:sz w:val="22"/>
        </w:rPr>
        <w:t>，使测试总量</w:t>
      </w:r>
      <m:oMath>
        <m:r>
          <w:rPr>
            <w:rFonts w:ascii="Cambria Math" w:hAnsi="Cambria Math"/>
            <w:sz w:val="22"/>
          </w:rPr>
          <m:t xml:space="preserve">Km</m:t>
        </m:r>
      </m:oMath>
      <w:r>
        <w:rPr>
          <w:rFonts w:ascii="Times New Roman" w:hAnsi="Times New Roman" w:eastAsia="宋体"/>
          <w:b w:val="0"/>
          <w:sz w:val="22"/>
        </w:rPr>
        <w:t>和类别比例保持一致。对各比例重复抽样；在每个比例及每次重复中，各模型使用同一测试样本集合，以比较性能响应及模型间排名变化。模型扩展分析采用Q1与Q5混合；两种混合协议对应的模型组、抽样设置和结果在实验章节分别说明。</w:t>
      </w:r>
    </w:p>
    <w:p w14:paraId="644EE53E">
      <w:pPr>
        <w:keepLines/>
        <w:spacing w:after="100" w:line="312" w:lineRule="auto"/>
        <w:ind w:firstLine="425"/>
      </w:pPr>
      <w:r>
        <w:rPr>
          <w:rFonts w:ascii="Times New Roman" w:hAnsi="Times New Roman" w:eastAsia="宋体"/>
          <w:b w:val="0"/>
          <w:sz w:val="22"/>
        </w:rPr>
        <w:t>覆盖度量与风险评分不构成递进关系：前者描述状态支持，后者组织视觉条件。提高覆盖不预设提高风险，风险增大也不预设所有相邻层的实测表现严格递减。</w:t>
      </w:r>
    </w:p>
    <w:p w14:paraId="4325166F">
      <w:pPr>
        <w:pStyle w:val="3"/>
        <w:spacing w:before="180" w:after="100"/>
        <w:rPr>
          <w:rFonts w:hint="eastAsia" w:ascii="黑体" w:hAnsi="黑体" w:eastAsia="黑体" w:cs="黑体"/>
        </w:rPr>
      </w:pPr>
      <w:r>
        <w:rPr>
          <w:rFonts w:hint="eastAsia" w:ascii="黑体" w:hAnsi="黑体" w:eastAsia="黑体" w:cs="黑体"/>
        </w:rPr>
        <w:t>3.5 视觉条件评价与失败信息广度</w:t>
      </w:r>
    </w:p>
    <w:p w14:paraId="5926199B">
      <w:pPr>
        <w:pStyle w:val="4"/>
        <w:spacing w:before="180" w:after="100"/>
        <w:rPr>
          <w:rFonts w:hint="eastAsia" w:ascii="黑体" w:hAnsi="黑体" w:eastAsia="黑体" w:cs="黑体"/>
        </w:rPr>
      </w:pPr>
      <w:r>
        <w:rPr>
          <w:rFonts w:hint="eastAsia" w:ascii="黑体" w:hAnsi="黑体" w:eastAsia="黑体" w:cs="黑体"/>
        </w:rPr>
        <w:t>3.5.1 整体与状态条件表现</w:t>
      </w:r>
    </w:p>
    <w:p w14:paraId="45FDEE69">
      <w:pPr>
        <w:keepLines/>
        <w:spacing w:after="100" w:line="312" w:lineRule="auto"/>
        <w:ind w:firstLine="425"/>
      </w:pPr>
      <w:r>
        <w:rPr>
          <w:rFonts w:ascii="Times New Roman" w:hAnsi="Times New Roman" w:eastAsia="宋体"/>
          <w:b w:val="0"/>
          <w:sz w:val="22"/>
        </w:rPr>
        <w:t>被测分类器对目标裁剪图输出类别预测</w:t>
      </w:r>
      <m:oMath>
        <m:sSub>
          <m:sSubPr/>
          <m:e>
            <m:acc>
              <m:accPr/>
              <m:e>
                <m:r>
                  <m:rPr/>
                  <w:rPr>
                    <w:rFonts w:ascii="Cambria Math" w:hAnsi="Cambria Math"/>
                    <w:sz w:val="22"/>
                  </w:rPr>
                  <m:t>y</m:t>
                </m:r>
              </m:e>
            </m:acc>
          </m:e>
          <m:sub>
            <m:r>
              <m:rPr/>
              <w:rPr>
                <w:rFonts w:ascii="Cambria Math" w:hAnsi="Cambria Math"/>
                <w:sz w:val="22"/>
              </w:rPr>
              <m:t>i</m:t>
            </m:r>
          </m:sub>
        </m:sSub>
        <m:r>
          <m:rPr/>
          <w:rPr>
            <w:rFonts w:ascii="Cambria Math" w:hAnsi="Cambria Math"/>
            <w:sz w:val="22"/>
          </w:rPr>
          <m:t>=</m:t>
        </m:r>
        <m:sSub>
          <m:sSubPr/>
          <m:e>
            <m:r>
              <m:rPr/>
              <w:rPr>
                <w:rFonts w:ascii="Cambria Math" w:hAnsi="Cambria Math"/>
                <w:sz w:val="22"/>
              </w:rPr>
              <m:t>f</m:t>
            </m:r>
          </m:e>
          <m:sub>
            <m:r>
              <m:rPr/>
              <w:rPr>
                <w:rFonts w:ascii="Cambria Math" w:hAnsi="Cambria Math"/>
                <w:sz w:val="22"/>
              </w:rPr>
              <m:t>θ</m:t>
            </m:r>
          </m:sub>
        </m:sSub>
        <m:d>
          <m:dPr>
            <m:begChr m:val="("/>
            <m:endChr m:val=")"/>
          </m:dPr>
          <m:e>
            <m:sSub>
              <m:sSubPr/>
              <m:e>
                <m:r>
                  <m:rPr/>
                  <w:rPr>
                    <w:rFonts w:ascii="Cambria Math" w:hAnsi="Cambria Math"/>
                    <w:sz w:val="22"/>
                  </w:rPr>
                  <m:t>x</m:t>
                </m:r>
              </m:e>
              <m:sub>
                <m:r>
                  <m:rPr/>
                  <w:rPr>
                    <w:rFonts w:ascii="Cambria Math" w:hAnsi="Cambria Math"/>
                    <w:sz w:val="22"/>
                  </w:rPr>
                  <m:t>i</m:t>
                </m:r>
              </m:sub>
            </m:sSub>
          </m:e>
        </m:d>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14:paraId="772E7C43">
      <w:pPr>
        <w:keepNext/>
        <w:keepLines/>
        <w:spacing w:after="100" w:line="312" w:lineRule="auto"/>
        <w:ind w:firstLine="425"/>
      </w:pPr>
      <w:r>
        <w:rPr>
          <w:rFonts w:ascii="Times New Roman" w:hAnsi="Times New Roman" w:eastAsia="宋体"/>
          <w:b w:val="0"/>
          <w:sz w:val="22"/>
        </w:rPr>
        <w:t>进一步在真实类别</w:t>
      </w:r>
      <m:oMath>
        <m:r>
          <m:rPr/>
          <w:rPr>
            <w:rFonts w:ascii="Cambria Math" w:hAnsi="Cambria Math"/>
            <w:sz w:val="22"/>
          </w:rPr>
          <m:t>c</m:t>
        </m:r>
      </m:oMath>
      <w:r>
        <w:rPr>
          <w:rFonts w:ascii="Times New Roman" w:hAnsi="Times New Roman" w:eastAsia="宋体"/>
          <w:b w:val="0"/>
          <w:sz w:val="22"/>
        </w:rPr>
        <w:t>内，统计状态</w:t>
      </w:r>
      <m:oMath>
        <m:r>
          <m:rPr/>
          <w:rPr>
            <w:rFonts w:ascii="Cambria Math" w:hAnsi="Cambria Math"/>
            <w:sz w:val="22"/>
          </w:rPr>
          <m:t>s</m:t>
        </m:r>
      </m:oMath>
      <w:r>
        <w:rPr>
          <w:rFonts w:ascii="Times New Roman" w:hAnsi="Times New Roman" w:eastAsia="宋体"/>
          <w:b w:val="0"/>
          <w:sz w:val="22"/>
        </w:rPr>
        <w:t>的条件Recall：</w:t>
      </w:r>
    </w:p>
    <w:p w14:paraId="6F1DB560">
      <w:pPr>
        <w:spacing w:before="80" w:after="140"/>
        <w:jc w:val="center"/>
      </w:pPr>
      <m:oMathPara>
        <m:oMath>
          <m:sSubSup>
            <m:e>
              <m:r>
                <m:rPr>
                  <m:sty m:val="p"/>
                </m:rPr>
                <w:rPr>
                  <w:rFonts w:ascii="Cambria Math" w:hAnsi="Cambria Math"/>
                  <w:sz w:val="22"/>
                </w:rPr>
                <m:t xml:space="preserve">Rec</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f>
            <m:num>
              <m:nary>
                <m:naryPr>
                  <m:chr m:val="∑"/>
                  <m:limLoc m:val="undOvr"/>
                  <m:subHide m:val="0"/>
                  <m:supHide m:val="1"/>
                </m:naryPr>
                <m:sub>
                  <m:r>
                    <w:rPr>
                      <w:rFonts w:ascii="Cambria Math" w:hAnsi="Cambria Math"/>
                      <w:sz w:val="22"/>
                    </w:rPr>
                    <m:t xml:space="preserve">i∈T</m:t>
                  </m:r>
                </m:sub>
                <m:sup/>
                <m:e>
                  <m:r>
                    <m:rPr>
                      <m:sty m:val="b"/>
                    </m:rPr>
                    <w:rPr>
                      <w:rFonts w:ascii="Cambria Math" w:hAnsi="Cambria Math"/>
                      <w:sz w:val="22"/>
                    </w:rPr>
                    <m:t xml:space="preserve">1</m:t>
                  </m:r>
                  <m:d>
                    <m:dPr>
                      <m:begChr m:val="{"/>
                      <m:endChr m:val="}"/>
                    </m:dPr>
                    <m:e>
                      <m:sSub>
                        <m:e>
                          <m:r>
                            <w:rPr>
                              <w:rFonts w:ascii="Cambria Math" w:hAnsi="Cambria Math"/>
                              <w:sz w:val="22"/>
                            </w:rPr>
                            <m:t xml:space="preserve">y</m:t>
                          </m:r>
                        </m:e>
                        <m:sub>
                          <m:r>
                            <w:rPr>
                              <w:rFonts w:ascii="Cambria Math" w:hAnsi="Cambria Math"/>
                              <w:sz w:val="22"/>
                            </w:rPr>
                            <m:t xml:space="preserve">i</m:t>
                          </m:r>
                        </m:sub>
                      </m:sSub>
                      <m:r>
                        <w:rPr>
                          <w:rFonts w:ascii="Cambria Math" w:hAnsi="Cambria Math"/>
                          <w:sz w:val="22"/>
                        </w:rPr>
                        <m:t xml:space="preserve">=c</m:t>
                      </m:r>
                    </m:e>
                  </m:d>
                  <m:r>
                    <m:rPr>
                      <m:sty m:val="b"/>
                    </m:rPr>
                    <w:rPr>
                      <w:rFonts w:ascii="Cambria Math" w:hAnsi="Cambria Math"/>
                      <w:sz w:val="22"/>
                    </w:rPr>
                    <m:t xml:space="preserve">1</m:t>
                  </m:r>
                  <m:d>
                    <m:dPr>
                      <m:begChr m:val="{"/>
                      <m:endChr m:val="}"/>
                    </m:dPr>
                    <m:e>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e>
                  </m:d>
                  <m:r>
                    <m:rPr>
                      <m:sty m:val="b"/>
                    </m:rPr>
                    <w:rPr>
                      <w:rFonts w:ascii="Cambria Math" w:hAnsi="Cambria Math"/>
                      <w:sz w:val="22"/>
                    </w:rPr>
                    <m:t xml:space="preserve">1</m:t>
                  </m:r>
                  <m:d>
                    <m:dPr>
                      <m:begChr m:val="{"/>
                      <m:endChr m:val="}"/>
                    </m:dPr>
                    <m:e>
                      <m:sSub>
                        <m:e>
                          <m:acc>
                            <m:accPr>
                              <m:chr m:val="̂"/>
                            </m:accPr>
                            <m:e>
                              <m:r>
                                <w:rPr>
                                  <w:rFonts w:ascii="Cambria Math" w:hAnsi="Cambria Math"/>
                                  <w:sz w:val="22"/>
                                </w:rPr>
                                <m:t xml:space="preserve">y</m:t>
                              </m:r>
                            </m:e>
                          </m:acc>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y</m:t>
                          </m:r>
                        </m:e>
                        <m:sub>
                          <m:r>
                            <w:rPr>
                              <w:rFonts w:ascii="Cambria Math" w:hAnsi="Cambria Math"/>
                              <w:sz w:val="22"/>
                            </w:rPr>
                            <m:t xml:space="preserve">i</m:t>
                          </m:r>
                        </m:sub>
                      </m:sSub>
                    </m:e>
                  </m:d>
                </m:e>
              </m:nary>
            </m:num>
            <m:den>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den>
          </m:f>
          <m:r>
            <w:rPr>
              <w:rFonts w:ascii="Cambria Math" w:hAnsi="Cambria Math"/>
              <w:sz w:val="22"/>
            </w:rPr>
            <m:t xml:space="preserve">.</m:t>
          </m:r>
        </m:oMath>
      </m:oMathPara>
    </w:p>
    <w:p w14:paraId="6C874ADD">
      <w:pPr>
        <w:keepNext/>
        <w:keepLines/>
        <w:spacing w:after="100" w:line="312" w:lineRule="auto"/>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14:paraId="2B694282">
      <w:pPr>
        <w:spacing w:before="80" w:after="140"/>
        <w:jc w:val="center"/>
      </w:pPr>
      <m:oMathPara>
        <m:oMath>
          <m:sSubSup>
            <m:e>
              <m:r>
                <w:rPr>
                  <w:rFonts w:ascii="Cambria Math" w:hAnsi="Cambria Math"/>
                  <w:sz w:val="22"/>
                </w:rPr>
                <m:t xml:space="preserve">Δ</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sSubSup>
            <m:e>
              <m:r>
                <m:rPr>
                  <m:sty m:val="p"/>
                </m:rPr>
                <w:rPr>
                  <w:rFonts w:ascii="Cambria Math" w:hAnsi="Cambria Math"/>
                  <w:sz w:val="22"/>
                </w:rPr>
                <m:t xml:space="preserve">Rec</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sSub>
            <m:e>
              <m:r>
                <m:rPr>
                  <m:sty m:val="p"/>
                </m:rPr>
                <w:rPr>
                  <w:rFonts w:ascii="Cambria Math" w:hAnsi="Cambria Math"/>
                  <w:sz w:val="22"/>
                </w:rPr>
                <m:t xml:space="preserve">Rec</m:t>
              </m:r>
            </m:e>
            <m:sub>
              <m:r>
                <w:rPr>
                  <w:rFonts w:ascii="Cambria Math" w:hAnsi="Cambria Math"/>
                  <w:sz w:val="22"/>
                </w:rPr>
                <m:t xml:space="preserve">c</m:t>
              </m:r>
            </m:sub>
          </m:sSub>
          <m:d>
            <m:dPr>
              <m:begChr m:val="("/>
              <m:endChr m:val=")"/>
            </m:dPr>
            <m:e>
              <m:r>
                <w:rPr>
                  <w:rFonts w:ascii="Cambria Math" w:hAnsi="Cambria Math"/>
                  <w:sz w:val="22"/>
                </w:rPr>
                <m:t xml:space="preserve">T</m:t>
              </m:r>
            </m:e>
          </m:d>
          <m:r>
            <w:rPr>
              <w:rFonts w:ascii="Cambria Math" w:hAnsi="Cambria Math"/>
              <w:sz w:val="22"/>
            </w:rPr>
            <m:t xml:space="preserve">.</m:t>
          </m:r>
        </m:oMath>
      </m:oMathPara>
    </w:p>
    <w:p w14:paraId="2DAF630E">
      <w:pPr>
        <w:keepLines/>
        <w:spacing w:after="100" w:line="312" w:lineRule="auto"/>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14:paraId="651740BE">
      <w:pPr>
        <w:pStyle w:val="4"/>
        <w:spacing w:before="180" w:after="100"/>
        <w:rPr>
          <w:rFonts w:hint="eastAsia" w:ascii="黑体" w:hAnsi="黑体" w:eastAsia="黑体" w:cs="黑体"/>
        </w:rPr>
      </w:pPr>
      <w:r>
        <w:rPr>
          <w:rFonts w:hint="eastAsia" w:ascii="黑体" w:hAnsi="黑体" w:eastAsia="黑体" w:cs="黑体"/>
        </w:rPr>
        <w:t>3.5.2 错误数量与失败信息的区分</w:t>
      </w:r>
    </w:p>
    <w:p w14:paraId="0EFA6508">
      <w:pPr>
        <w:keepLines/>
        <w:spacing w:after="100" w:line="312" w:lineRule="auto"/>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与对应错误数量和错误率同时报告，不据此单独认定获得了更多独立失败信息。</w:t>
      </w:r>
    </w:p>
    <w:p w14:paraId="710048CA">
      <w:pPr>
        <w:keepLines/>
        <w:spacing w:after="100" w:line="312" w:lineRule="auto"/>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表征簇广度为所选错误覆盖的表征簇比例；在完整候选池中，先对同一真实类别的全部错误目标表征聚类，再以所得簇数为分母。比较不同选样方法和规模时，沿用相同的类型集合与聚类结果。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14:paraId="73F28384">
      <w:pPr>
        <w:keepLines/>
        <w:spacing w:after="100" w:line="312" w:lineRule="auto"/>
        <w:ind w:firstLine="425"/>
      </w:pPr>
      <w:r>
        <w:rPr>
          <w:rFonts w:ascii="Times New Roman" w:hAnsi="Times New Roman" w:eastAsia="宋体"/>
          <w:b w:val="0"/>
          <w:sz w:val="22"/>
        </w:rPr>
        <w:t>即使使用统一表征，错误子集及其聚类仍按模型、训练种子和真实类别分别构建。因此，不同模型的分母及簇含义可能不同；主要比较同一模型内不同选样方法的配对差异，再按实验统计规则汇总，不把跨模型的原始簇比例解释为相同失败类型集合上的绝对排名。表征簇用于描述错误目标的表征多样性，不解释为独立缺陷根因。</w:t>
      </w:r>
    </w:p>
    <w:p w14:paraId="65199596">
      <w:pPr>
        <w:keepNext/>
        <w:keepLines/>
        <w:spacing w:after="100" w:line="312" w:lineRule="auto"/>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m:rPr/>
          <w:rPr>
            <w:rFonts w:ascii="Cambria Math" w:hAnsi="Cambria Math"/>
            <w:sz w:val="22"/>
          </w:rPr>
          <m:t>q</m:t>
        </m:r>
      </m:oMath>
      <w:r>
        <w:rPr>
          <w:rFonts w:ascii="Times New Roman" w:hAnsi="Times New Roman" w:eastAsia="宋体"/>
          <w:b w:val="0"/>
          <w:sz w:val="22"/>
        </w:rPr>
        <w:t>。设某方法共有</w:t>
      </w:r>
      <m:oMath>
        <m:r>
          <m:rPr/>
          <w:rPr>
            <w:rFonts w:ascii="Cambria Math" w:hAnsi="Cambria Math"/>
            <w:sz w:val="22"/>
          </w:rPr>
          <m:t>N</m:t>
        </m:r>
      </m:oMath>
      <w:r>
        <w:rPr>
          <w:rFonts w:ascii="Times New Roman" w:hAnsi="Times New Roman" w:eastAsia="宋体"/>
          <w:b w:val="0"/>
          <w:sz w:val="22"/>
        </w:rPr>
        <w:t>个错误，其中一种混淆类型或表征簇出现</w:t>
      </w:r>
      <m:oMath>
        <m:r>
          <m:rPr/>
          <w:rPr>
            <w:rFonts w:ascii="Cambria Math" w:hAnsi="Cambria Math"/>
            <w:sz w:val="22"/>
          </w:rPr>
          <m:t>e</m:t>
        </m:r>
      </m:oMath>
      <w:r>
        <w:rPr>
          <w:rFonts w:ascii="Times New Roman" w:hAnsi="Times New Roman" w:eastAsia="宋体"/>
          <w:b w:val="0"/>
          <w:sz w:val="22"/>
        </w:rPr>
        <w:t>次，则无放回抽取</w:t>
      </w:r>
      <m:oMath>
        <m:r>
          <m:rPr/>
          <w:rPr>
            <w:rFonts w:ascii="Cambria Math" w:hAnsi="Cambria Math"/>
            <w:sz w:val="22"/>
          </w:rPr>
          <m:t>q</m:t>
        </m:r>
      </m:oMath>
      <w:r>
        <w:rPr>
          <w:rFonts w:ascii="Times New Roman" w:hAnsi="Times New Roman" w:eastAsia="宋体"/>
          <w:b w:val="0"/>
          <w:sz w:val="22"/>
        </w:rPr>
        <w:t>个错误后观察到该类型的期望贡献为：</w:t>
      </w:r>
    </w:p>
    <w:p w14:paraId="6C171FC7">
      <w:pPr>
        <w:spacing w:before="80" w:after="140"/>
        <w:jc w:val="center"/>
      </w:pPr>
      <m:oMathPara>
        <m:oMath>
          <m:r>
            <m:rPr>
              <m:scr m:val="double-struck"/>
            </m:rPr>
            <w:rPr>
              <w:rFonts w:ascii="Cambria Math" w:hAnsi="Cambria Math"/>
              <w:sz w:val="22"/>
            </w:rPr>
            <m:t xml:space="preserve">E</m:t>
          </m:r>
          <m:d>
            <m:dPr>
              <m:begChr m:val="["/>
              <m:endChr m:val="]"/>
            </m:dPr>
            <m:e>
              <m:r>
                <m:rPr>
                  <m:sty m:val="b"/>
                </m:rPr>
                <w:rPr>
                  <w:rFonts w:ascii="Cambria Math" w:hAnsi="Cambria Math"/>
                  <w:sz w:val="22"/>
                </w:rPr>
                <m:t xml:space="preserve">1</m:t>
              </m:r>
              <m:d>
                <m:dPr>
                  <m:begChr m:val="{"/>
                  <m:endChr m:val="}"/>
                </m:dPr>
                <m:e>
                  <m:r>
                    <m:rPr>
                      <m:sty m:val="p"/>
                    </m:rPr>
                    <w:rPr>
                      <w:rFonts w:ascii="Cambria Math" w:hAnsi="Cambria Math"/>
                      <w:sz w:val="22"/>
                    </w:rPr>
                    <m:t xml:space="preserve">type observed</m:t>
                  </m:r>
                </m:e>
              </m:d>
            </m:e>
          </m:d>
          <m:r>
            <w:rPr>
              <w:rFonts w:ascii="Cambria Math" w:hAnsi="Cambria Math"/>
              <w:sz w:val="22"/>
            </w:rPr>
            <m:t xml:space="preserve">=1−</m:t>
          </m:r>
          <m:f>
            <m:num>
              <m:d>
                <m:dPr>
                  <m:begChr m:val="("/>
                  <m:endChr m:val=")"/>
                </m:dPr>
                <m:e>
                  <m:f>
                    <m:fPr>
                      <m:type m:val="noBar"/>
                    </m:fPr>
                    <m:num>
                      <m:r>
                        <w:rPr>
                          <w:rFonts w:ascii="Cambria Math" w:hAnsi="Cambria Math"/>
                          <w:sz w:val="22"/>
                        </w:rPr>
                        <m:t xml:space="preserve">N−e</m:t>
                      </m:r>
                    </m:num>
                    <m:den>
                      <m:r>
                        <w:rPr>
                          <w:rFonts w:ascii="Cambria Math" w:hAnsi="Cambria Math"/>
                          <w:sz w:val="22"/>
                        </w:rPr>
                        <m:t xml:space="preserve">q</m:t>
                      </m:r>
                    </m:den>
                  </m:f>
                </m:e>
              </m:d>
            </m:num>
            <m:den>
              <m:d>
                <m:dPr>
                  <m:begChr m:val="("/>
                  <m:endChr m:val=")"/>
                </m:dPr>
                <m:e>
                  <m:f>
                    <m:fPr>
                      <m:type m:val="noBar"/>
                    </m:fPr>
                    <m:num>
                      <m:r>
                        <w:rPr>
                          <w:rFonts w:ascii="Cambria Math" w:hAnsi="Cambria Math"/>
                          <w:sz w:val="22"/>
                        </w:rPr>
                        <m:t xml:space="preserve">N</m:t>
                      </m:r>
                    </m:num>
                    <m:den>
                      <m:r>
                        <w:rPr>
                          <w:rFonts w:ascii="Cambria Math" w:hAnsi="Cambria Math"/>
                          <w:sz w:val="22"/>
                        </w:rPr>
                        <m:t xml:space="preserve">q</m:t>
                      </m:r>
                    </m:den>
                  </m:f>
                </m:e>
              </m:d>
            </m:den>
          </m:f>
          <m:r>
            <w:rPr>
              <w:rFonts w:ascii="Cambria Math" w:hAnsi="Cambria Math"/>
              <w:sz w:val="22"/>
            </w:rPr>
            <m:t xml:space="preserve">.</m:t>
          </m:r>
        </m:oMath>
      </m:oMathPara>
    </w:p>
    <w:p w14:paraId="2CB749FE">
      <w:pPr>
        <w:keepLines/>
        <w:spacing w:after="100" w:line="312" w:lineRule="auto"/>
        <w:ind w:firstLine="425"/>
      </w:pPr>
      <w:r>
        <w:rPr>
          <w:rFonts w:ascii="Times New Roman" w:hAnsi="Times New Roman" w:eastAsia="宋体"/>
          <w:b w:val="0"/>
          <w:sz w:val="22"/>
        </w:rPr>
        <w:t>分别对两类指标的类型贡献求和，按上述完整候选池中的类型数或簇数归一化，再进行类别宏平均。若</w:t>
      </w:r>
      <m:oMath>
        <m:r>
          <m:rPr/>
          <w:rPr>
            <w:rFonts w:ascii="Cambria Math" w:hAnsi="Cambria Math"/>
            <w:sz w:val="22"/>
          </w:rPr>
          <m:t>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14:paraId="6F8FD118">
      <w:pPr>
        <w:keepLines/>
        <w:spacing w:after="100" w:line="312" w:lineRule="auto"/>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14:paraId="5FEA7519">
      <w:pPr>
        <w:pStyle w:val="3"/>
        <w:spacing w:before="180" w:after="100"/>
        <w:rPr>
          <w:rFonts w:hint="eastAsia" w:ascii="黑体" w:hAnsi="黑体" w:eastAsia="黑体" w:cs="黑体"/>
        </w:rPr>
      </w:pPr>
      <w:r>
        <w:rPr>
          <w:rFonts w:hint="eastAsia" w:ascii="黑体" w:hAnsi="黑体" w:eastAsia="黑体" w:cs="黑体"/>
        </w:rPr>
        <w:t>3.6 条件能力报告与薄弱条件复查</w:t>
      </w:r>
    </w:p>
    <w:p w14:paraId="6D377E47">
      <w:pPr>
        <w:keepLines/>
        <w:spacing w:after="100" w:line="312" w:lineRule="auto"/>
        <w:ind w:firstLine="425"/>
      </w:pPr>
      <w:r>
        <w:rPr>
          <w:rFonts w:ascii="Times New Roman" w:hAnsi="Times New Roman" w:eastAsia="宋体"/>
          <w:b w:val="0"/>
          <w:sz w:val="22"/>
        </w:rPr>
        <w:t>将模型预测、真实类别与视觉状态关联，以“模型—类别—视觉状态”为单位，汇总标注来源、状态支持数、条件Recall及其相对于类别总体Recall的差异，形成模型能力画像。该报告描述模型在不同视觉条件下的识别表现，并据此提出需重点测试的候选薄弱条件。</w:t>
      </w:r>
    </w:p>
    <w:p w14:paraId="1E3A30A2">
      <w:pPr>
        <w:keepLines/>
        <w:spacing w:after="100" w:line="312" w:lineRule="auto"/>
        <w:ind w:firstLine="425"/>
      </w:pPr>
      <w:r>
        <w:rPr>
          <w:rFonts w:ascii="Times New Roman" w:hAnsi="Times New Roman" w:eastAsia="宋体"/>
          <w:b w:val="0"/>
          <w:sz w:val="22"/>
        </w:rPr>
        <w:t>根据预先确定的支持量与性能差标准筛选候选条件，在查看新数据评价结果前确定条件清单，再沿用相同状态定义及评价规则进行复查。分别记录得到支持、未复现及支持不足的条件，候选清单不依据复查结果调整，形成可追溯的条件诊断结果。具体筛选阈值与验证设置在实验章节说明。</w:t>
      </w:r>
    </w:p>
    <w:p w14:paraId="19B82312">
      <w:pPr>
        <w:pStyle w:val="3"/>
        <w:spacing w:before="180" w:after="100"/>
        <w:rPr>
          <w:rFonts w:hint="eastAsia" w:ascii="黑体" w:hAnsi="黑体" w:eastAsia="黑体" w:cs="黑体"/>
        </w:rPr>
      </w:pPr>
      <w:r>
        <w:rPr>
          <w:rFonts w:hint="eastAsia" w:ascii="黑体" w:hAnsi="黑体" w:eastAsia="黑体" w:cs="黑体"/>
        </w:rPr>
        <w:t>3.7 参数依据、可靠性检验与适用边界</w:t>
      </w:r>
    </w:p>
    <w:p w14:paraId="74A64F29">
      <w:pPr>
        <w:keepLines/>
        <w:spacing w:after="100" w:line="312" w:lineRule="auto"/>
        <w:ind w:firstLine="425"/>
      </w:pPr>
      <w:r>
        <w:rPr>
          <w:rFonts w:ascii="Times New Roman" w:hAnsi="Times New Roman" w:eastAsia="宋体"/>
          <w:b w:val="0"/>
          <w:sz w:val="22"/>
        </w:rPr>
        <w:t>覆盖饱和阈值20与失败状态支持门槛3均为预先规定的操作性支持规则，不作为统计显著性的门槛。薄弱条件阈值在实验章说明。五等分用于保持各层目标数量一致；unknown中点是区间中点替代，不解释为真实难度期望。现有分析未系统改变覆盖阈值、薄弱条件阈值或分层数量，不声称这些取值最优。</w:t>
      </w:r>
    </w:p>
    <w:p w14:paraId="5F2DCCBD">
      <w:pPr>
        <w:keepLines/>
        <w:spacing w:after="100" w:line="312" w:lineRule="auto"/>
        <w:ind w:firstLine="425"/>
      </w:pPr>
      <w:r>
        <w:rPr>
          <w:rFonts w:ascii="Times New Roman" w:hAnsi="Times New Roman" w:eastAsia="宋体"/>
          <w:b w:val="0"/>
          <w:sz w:val="22"/>
        </w:rPr>
        <w:t>风险检验包括unknown零值与最大值处理、逐维删除、各维最大分值归一化后求和、仅面积分层及类别内随机五等分。归一化求和用于检验风险分层的表现差异及模型排序是否依赖各维原有分值范围，不预设该变体改善区分度。随机五等分检验分层区分度，不替代分层数量敏感性。覆盖选样在共同配额约束下与Random、DeepGini、DSA、k-center及删除风险相关字段的Coverage方法进行比较；统计单位、检验家族和多重比较设置见实验章。</w:t>
      </w:r>
    </w:p>
    <w:p w14:paraId="591C1CAA">
      <w:pPr>
        <w:keepLines/>
        <w:spacing w:after="100" w:line="312" w:lineRule="auto"/>
        <w:ind w:firstLine="425"/>
      </w:pPr>
      <w:r>
        <w:rPr>
          <w:rFonts w:ascii="Times New Roman" w:hAnsi="Times New Roman" w:eastAsia="宋体"/>
          <w:b w:val="0"/>
          <w:sz w:val="22"/>
        </w:rPr>
        <w:t>自动状态检查计算双VLM逐字段精确一致率、集合Jaccard及集合编码的Kappa，并记录unknown与分歧。事后标签分歧敏感性分析沿用原风险层，在指定字段一致且已知的子集上重新评价，报告类别和风险层保留量；支持不足则不可评价。双VLM一致不等同语义真值。官方遮挡、截断属性的二值参考仅用于对应字段，不外推为全协议准确率。</w:t>
      </w:r>
    </w:p>
    <w:p w14:paraId="32F39C10">
      <w:pPr>
        <w:keepLines/>
        <w:spacing w:after="100" w:line="312" w:lineRule="auto"/>
        <w:ind w:firstLine="425"/>
      </w:pPr>
      <w:r>
        <w:rPr>
          <w:rFonts w:ascii="Times New Roman" w:hAnsi="Times New Roman" w:eastAsia="宋体"/>
          <w:b w:val="0"/>
          <w:sz w:val="22"/>
        </w:rPr>
        <w:t>状态噪声可影响选样、分层和条件表现；状态重叠、启发式评分及表征依赖也限制诊断解释。最终输出为条件能力报告与待复查条件，不用于推断错误因果、部署准确率或再训练收益。</w:t>
      </w:r>
    </w:p>
    <w:sectPr>
      <w:footerReference r:id="rId5" w:type="default"/>
      <w:pgSz w:w="11906" w:h="16838"/>
      <w:pgMar w:top="1191"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Hiragino Sans GB W3">
    <w:panose1 w:val="020B0300000000000000"/>
    <w:charset w:val="86"/>
    <w:family w:val="auto"/>
    <w:pitch w:val="default"/>
    <w:sig w:usb0="A00002BF" w:usb1="1ACF7CFA" w:usb2="00000016" w:usb3="00000000" w:csb0="00060007" w:csb1="00000000"/>
  </w:font>
  <w:font w:name="Heiti SC Light">
    <w:panose1 w:val="02000000000000000000"/>
    <w:charset w:val="86"/>
    <w:family w:val="auto"/>
    <w:pitch w:val="default"/>
    <w:sig w:usb0="8000002F" w:usb1="0800004A" w:usb2="00000000" w:usb3="00000000" w:csb0="203E0000" w:csb1="00000000"/>
  </w:font>
  <w:font w:name="Heiti TC Light">
    <w:panose1 w:val="02000000000000000000"/>
    <w:charset w:val="86"/>
    <w:family w:val="auto"/>
    <w:pitch w:val="default"/>
    <w:sig w:usb0="8000002F" w:usb1="0800004A" w:usb2="00000000" w:usb3="00000000" w:csb0="203E0000" w:csb1="00000000"/>
  </w:font>
  <w:font w:name="HYJunHei 55J">
    <w:panose1 w:val="020B0604020202020204"/>
    <w:charset w:val="86"/>
    <w:family w:val="auto"/>
    <w:pitch w:val="default"/>
    <w:sig w:usb0="A00002BF" w:usb1="0ACF7CFA" w:usb2="00000016" w:usb3="00000000" w:csb0="2004000F" w:csb1="00000000"/>
  </w:font>
  <w:font w:name="HYQiHeiKW 55S">
    <w:panose1 w:val="00020600040101010101"/>
    <w:charset w:val="86"/>
    <w:family w:val="auto"/>
    <w:pitch w:val="default"/>
    <w:sig w:usb0="A00002BF" w:usb1="3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B4FB2942"/>
    <w:rsid w:val="BBEF2B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QE项目</dc:creator>
  <dc:description>generated by python-docx</dc:description>
  <cp:lastModifiedBy>忽忽溜~</cp:lastModifiedBy>
  <dcterms:modified xsi:type="dcterms:W3CDTF">2026-10-12T11:04:14Z</dcterms:modified>
  <dc:title>研究方法：视觉状态驱动的模型测试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1F793E4C496E21E05E4ACC6A9915D82C_42</vt:lpwstr>
  </property>
</Properties>
</file>