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230DD">
      <w:pPr>
        <w:pStyle w:val="31"/>
        <w:spacing w:before="0" w:after="100"/>
        <w:rPr>
          <w:rFonts w:hint="eastAsia" w:ascii="黑体" w:hAnsi="黑体" w:eastAsia="黑体" w:cs="黑体"/>
        </w:rPr>
      </w:pPr>
      <w:r>
        <w:rPr>
          <w:rFonts w:hint="eastAsia" w:ascii="黑体" w:hAnsi="黑体" w:eastAsia="黑体" w:cs="黑体"/>
        </w:rPr>
        <w:t>3 研究方法</w:t>
      </w:r>
    </w:p>
    <w:p w14:paraId="5F733F15">
      <w:pPr>
        <w:keepLines/>
        <w:spacing w:after="100" w:line="312" w:lineRule="auto"/>
        <w:ind w:firstLine="425"/>
      </w:pPr>
      <w:r>
        <w:rPr>
          <w:rFonts w:ascii="Times New Roman" w:hAnsi="Times New Roman" w:eastAsia="宋体"/>
          <w:b w:val="0"/>
          <w:sz w:val="22"/>
        </w:rPr>
        <w:t>本文构建视觉状态驱动的多类别图像分类模型测试框架，以目标的可见视觉条件组织测试样本，并将模型预测转化为条件能力报告。总体流程如图1所示，包含目标样本构建、视觉状态表示、覆盖引导选样、风险引导组织和视觉条件评价。覆盖路线描述各状态获得的测试支持，风险路线组织不同挑战程度的测试条件；两条路线共同使用结构化状态，分别承担证据分布描述和条件比较的作用。</w:t>
      </w:r>
    </w:p>
    <w:p w14:paraId="3FDB4EEB">
      <w:pPr>
        <w:keepNext/>
        <w:jc w:val="center"/>
      </w:pPr>
      <w:r>
        <w:drawing>
          <wp:inline distT="0" distB="0" distL="114300" distR="114300">
            <wp:extent cx="6110605" cy="2242820"/>
            <wp:effectExtent l="0" t="0" r="1079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110605" cy="2242820"/>
                    </a:xfrm>
                    <a:prstGeom prst="rect">
                      <a:avLst/>
                    </a:prstGeom>
                    <a:noFill/>
                    <a:ln>
                      <a:noFill/>
                    </a:ln>
                  </pic:spPr>
                </pic:pic>
              </a:graphicData>
            </a:graphic>
          </wp:inline>
        </w:drawing>
      </w:r>
    </w:p>
    <w:p w14:paraId="12548379">
      <w:pPr>
        <w:keepLines/>
        <w:spacing w:after="100" w:line="312" w:lineRule="auto"/>
      </w:pPr>
      <w:r>
        <w:rPr>
          <w:rFonts w:ascii="Times New Roman" w:hAnsi="Times New Roman" w:eastAsia="宋体"/>
          <w:b w:val="0"/>
          <w:sz w:val="18"/>
        </w:rPr>
        <w:t>图1　视觉状态驱动的模型测试总体框架。官方标注提供目标框与类别真值，双VLM分别产生结构化状态，程序补充目标尺度。视觉状态用于覆盖引导选样和类别内风险组织。分类模型预测与真实类别、视觉状态关联后，输出各状态识别表现及需重点测试的条件。图中图像和状态标签为示意。</w:t>
      </w:r>
    </w:p>
    <w:p w14:paraId="439D839F">
      <w:pPr>
        <w:pStyle w:val="3"/>
        <w:spacing w:before="180" w:after="100"/>
        <w:rPr>
          <w:rFonts w:hint="eastAsia" w:ascii="黑体" w:hAnsi="黑体" w:eastAsia="黑体" w:cs="黑体"/>
        </w:rPr>
      </w:pPr>
      <w:r>
        <w:rPr>
          <w:rFonts w:hint="eastAsia" w:ascii="黑体" w:hAnsi="黑体" w:eastAsia="黑体" w:cs="黑体"/>
        </w:rPr>
        <w:t>3.1 问题定义与信息分工</w:t>
      </w:r>
    </w:p>
    <w:p w14:paraId="3DCD3C22">
      <w:pPr>
        <w:keepLines/>
        <w:spacing w:after="100" w:line="312" w:lineRule="auto"/>
        <w:ind w:firstLine="425"/>
      </w:pPr>
      <w:r>
        <w:rPr>
          <w:rFonts w:ascii="Times New Roman" w:hAnsi="Times New Roman" w:eastAsia="宋体"/>
          <w:b w:val="0"/>
          <w:sz w:val="22"/>
        </w:rPr>
        <w:t>设候选目标集合为</w:t>
      </w:r>
      <m:oMath>
        <m:r>
          <m:rPr/>
          <w:rPr>
            <w:rFonts w:ascii="Cambria Math" w:hAnsi="Cambria Math"/>
            <w:sz w:val="22"/>
          </w:rPr>
          <m:t>P</m:t>
        </m:r>
      </m:oMath>
      <w:r>
        <w:rPr>
          <w:rFonts w:ascii="Times New Roman" w:hAnsi="Times New Roman" w:eastAsia="宋体"/>
          <w:b w:val="0"/>
          <w:sz w:val="22"/>
        </w:rPr>
        <w:t>，每个目标由原始图像</w:t>
      </w:r>
      <m:oMath>
        <m:sSub>
          <m:sSubPr/>
          <m:e>
            <m:r>
              <m:rPr/>
              <w:rPr>
                <w:rFonts w:ascii="Cambria Math" w:hAnsi="Cambria Math"/>
                <w:sz w:val="22"/>
              </w:rPr>
              <m:t>I</m:t>
            </m:r>
          </m:e>
          <m:sub>
            <m:r>
              <m:rPr/>
              <w:rPr>
                <w:rFonts w:ascii="Cambria Math" w:hAnsi="Cambria Math"/>
                <w:sz w:val="22"/>
              </w:rPr>
              <m:t>i</m:t>
            </m:r>
          </m:sub>
        </m:sSub>
      </m:oMath>
      <w:r>
        <w:rPr>
          <w:rFonts w:ascii="Times New Roman" w:hAnsi="Times New Roman" w:eastAsia="宋体"/>
          <w:b w:val="0"/>
          <w:sz w:val="22"/>
        </w:rPr>
        <w:t>、官方目标框</w:t>
      </w:r>
      <m:oMath>
        <m:sSub>
          <m:sSubPr/>
          <m:e>
            <m:r>
              <m:rPr/>
              <w:rPr>
                <w:rFonts w:ascii="Cambria Math" w:hAnsi="Cambria Math"/>
                <w:sz w:val="22"/>
              </w:rPr>
              <m:t>b</m:t>
            </m:r>
          </m:e>
          <m:sub>
            <m:r>
              <m:rPr/>
              <w:rPr>
                <w:rFonts w:ascii="Cambria Math" w:hAnsi="Cambria Math"/>
                <w:sz w:val="22"/>
              </w:rPr>
              <m:t>i</m:t>
            </m:r>
          </m:sub>
        </m:sSub>
      </m:oMath>
      <w:r>
        <w:rPr>
          <w:rFonts w:ascii="Times New Roman" w:hAnsi="Times New Roman" w:eastAsia="宋体"/>
          <w:b w:val="0"/>
          <w:sz w:val="22"/>
        </w:rPr>
        <w:t>及类别标签</w:t>
      </w:r>
      <m:oMath>
        <m:sSub>
          <m:sSubPr/>
          <m:e>
            <m:r>
              <m:rPr/>
              <w:rPr>
                <w:rFonts w:ascii="Cambria Math" w:hAnsi="Cambria Math"/>
                <w:sz w:val="22"/>
              </w:rPr>
              <m:t>y</m:t>
            </m:r>
          </m:e>
          <m:sub>
            <m:r>
              <m:rPr/>
              <w:rPr>
                <w:rFonts w:ascii="Cambria Math" w:hAnsi="Cambria Math"/>
                <w:sz w:val="22"/>
              </w:rPr>
              <m:t>i</m:t>
            </m:r>
          </m:sub>
        </m:sSub>
      </m:oMath>
      <w:r>
        <w:rPr>
          <w:rFonts w:ascii="Times New Roman" w:hAnsi="Times New Roman" w:eastAsia="宋体"/>
          <w:b w:val="0"/>
          <w:sz w:val="22"/>
        </w:rPr>
        <w:t>组成。类别集合包含犬、猫、马、羊、人和车，类别数记为</w:t>
      </w:r>
      <m:oMath>
        <m:r>
          <m:rPr/>
          <w:rPr>
            <w:rFonts w:ascii="Cambria Math" w:hAnsi="Cambria Math"/>
            <w:sz w:val="22"/>
          </w:rPr>
          <m:t>K</m:t>
        </m:r>
      </m:oMath>
      <w:r>
        <w:rPr>
          <w:rFonts w:ascii="Times New Roman" w:hAnsi="Times New Roman" w:eastAsia="宋体"/>
          <w:b w:val="0"/>
          <w:sz w:val="22"/>
        </w:rPr>
        <w:t>，当前实现中</w:t>
      </w:r>
      <m:oMath>
        <m:r>
          <m:rPr/>
          <w:rPr>
            <w:rFonts w:ascii="Cambria Math" w:hAnsi="Cambria Math"/>
            <w:sz w:val="22"/>
          </w:rPr>
          <m:t>K</m:t>
        </m:r>
        <m:r>
          <m:rPr>
            <m:sty m:val="p"/>
          </m:rPr>
          <w:rPr>
            <w:rFonts w:ascii="Cambria Math" w:hAnsi="Cambria Math"/>
            <w:sz w:val="22"/>
          </w:rPr>
          <m:t>=</m:t>
        </m:r>
        <m:r>
          <m:rPr/>
          <w:rPr>
            <w:rFonts w:ascii="Cambria Math" w:hAnsi="Cambria Math"/>
            <w:sz w:val="22"/>
          </w:rPr>
          <m:t>6</m:t>
        </m:r>
      </m:oMath>
      <w:r>
        <w:rPr>
          <w:rFonts w:ascii="Times New Roman" w:hAnsi="Times New Roman" w:eastAsia="宋体"/>
          <w:b w:val="0"/>
          <w:sz w:val="22"/>
        </w:rPr>
        <w:t>。根据目标框生成原图、目标框标记图和裁剪图；被测分类器使用经既定预处理后的目标裁剪图</w:t>
      </w:r>
      <m:oMath>
        <m:sSub>
          <m:sSubPr/>
          <m:e>
            <m:r>
              <m:rPr/>
              <w:rPr>
                <w:rFonts w:ascii="Cambria Math" w:hAnsi="Cambria Math"/>
                <w:sz w:val="22"/>
              </w:rPr>
              <m:t>x</m:t>
            </m:r>
          </m:e>
          <m:sub>
            <m:r>
              <m:rPr/>
              <w:rPr>
                <w:rFonts w:ascii="Cambria Math" w:hAnsi="Cambria Math"/>
                <w:sz w:val="22"/>
              </w:rPr>
              <m:t>i</m:t>
            </m:r>
          </m:sub>
        </m:sSub>
      </m:oMath>
      <w:r>
        <w:rPr>
          <w:rFonts w:ascii="Times New Roman" w:hAnsi="Times New Roman" w:eastAsia="宋体"/>
          <w:b w:val="0"/>
          <w:sz w:val="22"/>
        </w:rPr>
        <w:t>。</w:t>
      </w:r>
    </w:p>
    <w:p w14:paraId="6C011176">
      <w:pPr>
        <w:keepLines/>
        <w:spacing w:after="100" w:line="312" w:lineRule="auto"/>
        <w:ind w:firstLine="425"/>
      </w:pPr>
      <w:r>
        <w:rPr>
          <w:rFonts w:ascii="Times New Roman" w:hAnsi="Times New Roman" w:eastAsia="宋体"/>
          <w:b w:val="0"/>
          <w:sz w:val="22"/>
        </w:rPr>
        <w:t>本研究评价已知目标区域上的多类别分类行为。官方类别标签作为分类真值，视觉语言模型（VLM）提供状态描述，被测分类器提供类别预测。三类信息分别用于确定分类对错、组织测试条件和评价模型行为。VLM提示可获得类别信息，其状态输出不作为独立识别结果，也不替代官方真值。</w:t>
      </w:r>
    </w:p>
    <w:p w14:paraId="6A0F6F5B">
      <w:pPr>
        <w:keepLines/>
        <w:spacing w:after="100" w:line="312" w:lineRule="auto"/>
        <w:ind w:firstLine="425"/>
      </w:pPr>
      <w:r>
        <w:rPr>
          <w:rFonts w:ascii="Times New Roman" w:hAnsi="Times New Roman" w:eastAsia="宋体"/>
          <w:b w:val="0"/>
          <w:sz w:val="22"/>
        </w:rPr>
        <w:t>记被测模型为</w:t>
      </w:r>
      <m:oMath>
        <m:sSub>
          <m:sSubPr/>
          <m:e>
            <m:r>
              <m:rPr/>
              <w:rPr>
                <w:rFonts w:ascii="Cambria Math" w:hAnsi="Cambria Math"/>
                <w:sz w:val="22"/>
              </w:rPr>
              <m:t>f</m:t>
            </m:r>
          </m:e>
          <m:sub>
            <m:r>
              <m:rPr/>
              <w:rPr>
                <w:rFonts w:ascii="Cambria Math" w:hAnsi="Cambria Math"/>
                <w:sz w:val="22"/>
              </w:rPr>
              <m:t>θ</m:t>
            </m:r>
          </m:sub>
        </m:sSub>
      </m:oMath>
      <w:r>
        <w:rPr>
          <w:rFonts w:ascii="Times New Roman" w:hAnsi="Times New Roman" w:eastAsia="宋体"/>
          <w:b w:val="0"/>
          <w:sz w:val="22"/>
        </w:rPr>
        <w:t>，测试阶段在模型参数与推理处理一致的条件下比较不同测试集合。每个目标对应的预测可预先计算并复用，改变状态来源或测试组织不改变该目标的分类结果。方法输出为按模型、类别与视觉状态组织的条件能力报告，而非新的分类器参数。</w:t>
      </w:r>
    </w:p>
    <w:p w14:paraId="6EFB7B4B">
      <w:pPr>
        <w:keepNext w:val="0"/>
        <w:keepLines/>
        <w:spacing w:after="100" w:line="312" w:lineRule="auto"/>
        <w:ind w:firstLine="425"/>
      </w:pPr>
      <w:r>
        <w:rPr>
          <w:rFonts w:ascii="Times New Roman" w:hAnsi="Times New Roman" w:eastAsia="宋体"/>
          <w:b w:val="0"/>
          <w:sz w:val="22"/>
        </w:rPr>
        <w:t>主要符号及含义见表1，后文沿用同一记号。</w:t>
      </w:r>
    </w:p>
    <w:p w14:paraId="19E6ABAA">
      <w:pPr>
        <w:keepNext/>
        <w:keepLines/>
        <w:spacing w:after="100" w:line="312" w:lineRule="auto"/>
        <w:ind w:firstLine="0"/>
      </w:pPr>
      <w:r>
        <w:rPr>
          <w:rFonts w:ascii="Times New Roman" w:hAnsi="Times New Roman" w:eastAsia="宋体"/>
          <w:b w:val="0"/>
          <w:sz w:val="18"/>
        </w:rPr>
        <w:t>表1　主要符号及含义。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5"/>
        <w:gridCol w:w="6123"/>
      </w:tblGrid>
      <w:tr w14:paraId="3BD15064">
        <w:trPr>
          <w:cantSplit/>
          <w:tblHeader/>
          <w:jc w:val="center"/>
        </w:trPr>
        <w:tc>
          <w:tcPr>
            <w:tcW w:w="4819" w:type="dxa"/>
            <w:vAlign w:val="center"/>
          </w:tcPr>
          <w:p w14:paraId="71F57029">
            <w:pPr>
              <w:spacing w:after="60" w:line="264" w:lineRule="auto"/>
              <w:jc w:val="center"/>
            </w:pPr>
            <w:r>
              <w:rPr>
                <w:rFonts w:ascii="Times New Roman" w:hAnsi="Times New Roman" w:eastAsia="宋体"/>
                <w:b/>
                <w:sz w:val="19"/>
              </w:rPr>
              <w:t>符号</w:t>
            </w:r>
          </w:p>
        </w:tc>
        <w:tc>
          <w:tcPr>
            <w:tcW w:w="4819" w:type="dxa"/>
            <w:vAlign w:val="center"/>
          </w:tcPr>
          <w:p w14:paraId="65B13D11">
            <w:pPr>
              <w:spacing w:after="60" w:line="264" w:lineRule="auto"/>
              <w:jc w:val="center"/>
            </w:pPr>
            <w:r>
              <w:rPr>
                <w:rFonts w:ascii="Times New Roman" w:hAnsi="Times New Roman" w:eastAsia="宋体"/>
                <w:b/>
                <w:sz w:val="19"/>
              </w:rPr>
              <w:t>含义</w:t>
            </w:r>
          </w:p>
        </w:tc>
      </w:tr>
      <w:tr w14:paraId="318E4A01">
        <w:trPr>
          <w:cantSplit/>
          <w:jc w:val="center"/>
        </w:trPr>
        <w:tc>
          <w:tcPr>
            <w:tcW w:w="4819" w:type="dxa"/>
            <w:vAlign w:val="center"/>
          </w:tcPr>
          <w:p w14:paraId="475B8AF1">
            <w:pPr>
              <w:spacing w:after="60" w:line="264" w:lineRule="auto"/>
              <w:jc w:val="center"/>
            </w:pPr>
            <m:oMathPara>
              <m:oMath>
                <m:r>
                  <m:rPr/>
                  <w:rPr>
                    <w:rFonts w:ascii="Cambria Math" w:hAnsi="Cambria Math"/>
                    <w:sz w:val="19"/>
                  </w:rPr>
                  <m:t>P</m:t>
                </m:r>
              </m:oMath>
            </m:oMathPara>
          </w:p>
        </w:tc>
        <w:tc>
          <w:tcPr>
            <w:tcW w:w="4819" w:type="dxa"/>
            <w:vAlign w:val="center"/>
          </w:tcPr>
          <w:p w14:paraId="3671A3F1">
            <w:pPr>
              <w:spacing w:after="60" w:line="264" w:lineRule="auto"/>
              <w:jc w:val="center"/>
            </w:pPr>
            <w:r>
              <w:rPr>
                <w:rFonts w:ascii="Times New Roman" w:hAnsi="Times New Roman" w:eastAsia="宋体"/>
                <w:b w:val="0"/>
                <w:sz w:val="19"/>
              </w:rPr>
              <w:t>候选目标集合。</w:t>
            </w:r>
          </w:p>
        </w:tc>
      </w:tr>
      <w:tr w14:paraId="7311D094">
        <w:trPr>
          <w:cantSplit/>
          <w:jc w:val="center"/>
        </w:trPr>
        <w:tc>
          <w:tcPr>
            <w:tcW w:w="4819" w:type="dxa"/>
            <w:vAlign w:val="center"/>
          </w:tcPr>
          <w:p w14:paraId="0112CB43">
            <w:pPr>
              <w:spacing w:after="60" w:line="264" w:lineRule="auto"/>
              <w:jc w:val="center"/>
            </w:pPr>
            <m:oMath>
              <m:sSub>
                <m:sSubPr/>
                <m:e>
                  <m:r>
                    <m:rPr/>
                    <w:rPr>
                      <w:rFonts w:ascii="Cambria Math" w:hAnsi="Cambria Math"/>
                      <w:sz w:val="19"/>
                    </w:rPr>
                    <m:t>I</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M</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V</m:t>
                  </m:r>
                </m:e>
                <m:sub>
                  <m:r>
                    <m:rPr/>
                    <w:rPr>
                      <w:rFonts w:ascii="Cambria Math" w:hAnsi="Cambria Math"/>
                      <w:sz w:val="19"/>
                    </w:rPr>
                    <m:t>i</m:t>
                  </m:r>
                </m:sub>
              </m:sSub>
            </m:oMath>
          </w:p>
        </w:tc>
        <w:tc>
          <w:tcPr>
            <w:tcW w:w="4819" w:type="dxa"/>
            <w:vAlign w:val="center"/>
          </w:tcPr>
          <w:p w14:paraId="43601956">
            <w:pPr>
              <w:spacing w:after="60" w:line="264" w:lineRule="auto"/>
              <w:jc w:val="center"/>
            </w:pPr>
            <w:r>
              <w:rPr>
                <w:rFonts w:ascii="Times New Roman" w:hAnsi="Times New Roman" w:eastAsia="宋体"/>
                <w:b w:val="0"/>
                <w:sz w:val="19"/>
              </w:rPr>
              <w:t>第</w:t>
            </w:r>
            <m:oMath>
              <m:r>
                <m:rPr/>
                <w:rPr>
                  <w:rFonts w:ascii="Cambria Math" w:hAnsi="Cambria Math"/>
                  <w:sz w:val="19"/>
                </w:rPr>
                <m:t>i</m:t>
              </m:r>
            </m:oMath>
            <w:r>
              <w:rPr>
                <w:rFonts w:ascii="Times New Roman" w:hAnsi="Times New Roman" w:eastAsia="宋体"/>
                <w:b w:val="0"/>
                <w:sz w:val="19"/>
              </w:rPr>
              <w:t>个目标的原图、目标框标记图与放大裁剪图。</w:t>
            </w:r>
          </w:p>
        </w:tc>
      </w:tr>
      <w:tr w14:paraId="169492BA">
        <w:trPr>
          <w:cantSplit/>
          <w:jc w:val="center"/>
        </w:trPr>
        <w:tc>
          <w:tcPr>
            <w:tcW w:w="4819" w:type="dxa"/>
            <w:vAlign w:val="center"/>
          </w:tcPr>
          <w:p w14:paraId="3D5D3A9B">
            <w:pPr>
              <w:spacing w:after="60" w:line="264" w:lineRule="auto"/>
              <w:jc w:val="center"/>
            </w:pPr>
            <m:oMath>
              <m:sSub>
                <m:sSubPr/>
                <m:e>
                  <m:r>
                    <m:rPr/>
                    <w:rPr>
                      <w:rFonts w:ascii="Cambria Math" w:hAnsi="Cambria Math"/>
                      <w:sz w:val="19"/>
                    </w:rPr>
                    <m:t>b</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y</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x</m:t>
                  </m:r>
                </m:e>
                <m:sub>
                  <m:r>
                    <m:rPr/>
                    <w:rPr>
                      <w:rFonts w:ascii="Cambria Math" w:hAnsi="Cambria Math"/>
                      <w:sz w:val="19"/>
                    </w:rPr>
                    <m:t>i</m:t>
                  </m:r>
                </m:sub>
              </m:sSub>
            </m:oMath>
          </w:p>
        </w:tc>
        <w:tc>
          <w:tcPr>
            <w:tcW w:w="4819" w:type="dxa"/>
            <w:vAlign w:val="center"/>
          </w:tcPr>
          <w:p w14:paraId="24C5AC6C">
            <w:pPr>
              <w:spacing w:after="60" w:line="264" w:lineRule="auto"/>
              <w:jc w:val="center"/>
            </w:pPr>
            <w:r>
              <w:rPr>
                <w:rFonts w:ascii="Times New Roman" w:hAnsi="Times New Roman" w:eastAsia="宋体"/>
                <w:b w:val="0"/>
                <w:sz w:val="19"/>
              </w:rPr>
              <w:t>官方目标框、类别真值与分类器预处理后的目标裁剪图。</w:t>
            </w:r>
          </w:p>
        </w:tc>
      </w:tr>
      <w:tr w14:paraId="3AB11B06">
        <w:trPr>
          <w:cantSplit/>
          <w:jc w:val="center"/>
        </w:trPr>
        <w:tc>
          <w:tcPr>
            <w:tcW w:w="4819" w:type="dxa"/>
            <w:vAlign w:val="center"/>
          </w:tcPr>
          <w:p w14:paraId="5A9DCC83">
            <w:pPr>
              <w:spacing w:after="60" w:line="264" w:lineRule="auto"/>
              <w:jc w:val="center"/>
            </w:pPr>
            <m:oMath>
              <m:r>
                <m:rPr/>
                <w:rPr>
                  <w:rFonts w:ascii="Cambria Math" w:hAnsi="Cambria Math"/>
                  <w:sz w:val="19"/>
                </w:rPr>
                <m:t>c</m:t>
              </m:r>
            </m:oMath>
            <w:r>
              <w:rPr>
                <w:rFonts w:ascii="Times New Roman" w:hAnsi="Times New Roman" w:eastAsia="宋体"/>
                <w:b w:val="0"/>
                <w:sz w:val="19"/>
              </w:rPr>
              <w:t>、</w:t>
            </w:r>
            <m:oMath>
              <m:r>
                <m:rPr/>
                <w:rPr>
                  <w:rFonts w:ascii="Cambria Math" w:hAnsi="Cambria Math"/>
                  <w:sz w:val="19"/>
                </w:rPr>
                <m:t>K</m:t>
              </m:r>
            </m:oMath>
          </w:p>
        </w:tc>
        <w:tc>
          <w:tcPr>
            <w:tcW w:w="4819" w:type="dxa"/>
            <w:vAlign w:val="center"/>
          </w:tcPr>
          <w:p w14:paraId="7C79AEA6">
            <w:pPr>
              <w:spacing w:after="60" w:line="264" w:lineRule="auto"/>
              <w:jc w:val="center"/>
            </w:pPr>
            <w:r>
              <w:rPr>
                <w:rFonts w:ascii="Times New Roman" w:hAnsi="Times New Roman" w:eastAsia="宋体"/>
                <w:b w:val="0"/>
                <w:sz w:val="19"/>
              </w:rPr>
              <w:t>真实类别索引与类别数。</w:t>
            </w:r>
          </w:p>
        </w:tc>
      </w:tr>
      <w:tr w14:paraId="2F9F4E83">
        <w:trPr>
          <w:cantSplit/>
          <w:jc w:val="center"/>
        </w:trPr>
        <w:tc>
          <w:tcPr>
            <w:tcW w:w="4819" w:type="dxa"/>
            <w:vAlign w:val="center"/>
          </w:tcPr>
          <w:p w14:paraId="202D6607">
            <w:pPr>
              <w:spacing w:after="60" w:line="264" w:lineRule="auto"/>
              <w:jc w:val="center"/>
            </w:pPr>
            <m:oMath>
              <m:r>
                <m:rPr/>
                <w:rPr>
                  <w:rFonts w:ascii="Cambria Math" w:hAnsi="Cambria Math"/>
                  <w:sz w:val="19"/>
                </w:rPr>
                <m:t>r</m:t>
              </m:r>
            </m:oMath>
            <w:r>
              <w:rPr>
                <w:rFonts w:ascii="Times New Roman" w:hAnsi="Times New Roman" w:eastAsia="宋体"/>
                <w:b w:val="0"/>
                <w:sz w:val="19"/>
              </w:rPr>
              <w:t>、</w:t>
            </w:r>
            <m:oMath>
              <m:sSub>
                <m:sSubPr/>
                <m:e>
                  <m:r>
                    <m:rPr/>
                    <w:rPr>
                      <w:rFonts w:ascii="Cambria Math" w:hAnsi="Cambria Math"/>
                      <w:sz w:val="19"/>
                    </w:rPr>
                    <m:t>ϕ</m:t>
                  </m:r>
                </m:e>
                <m:sub>
                  <m:r>
                    <m:rPr/>
                    <w:rPr>
                      <w:rFonts w:ascii="Cambria Math" w:hAnsi="Cambria Math"/>
                      <w:sz w:val="19"/>
                    </w:rPr>
                    <m:t>r</m:t>
                  </m:r>
                </m:sub>
              </m:sSub>
            </m:oMath>
            <w:r>
              <w:rPr>
                <w:rFonts w:ascii="Times New Roman" w:hAnsi="Times New Roman" w:eastAsia="宋体"/>
                <w:b w:val="0"/>
                <w:sz w:val="19"/>
              </w:rPr>
              <w:t>、</w:t>
            </w:r>
            <m:oMath>
              <m:sSubSup>
                <m:sSubSupPr/>
                <m:e>
                  <m:r>
                    <m:rPr/>
                    <w:rPr>
                      <w:rFonts w:ascii="Cambria Math" w:hAnsi="Cambria Math"/>
                      <w:sz w:val="19"/>
                    </w:rPr>
                    <m:t>z</m:t>
                  </m:r>
                </m:e>
                <m:sub>
                  <m:r>
                    <m:rPr/>
                    <w:rPr>
                      <w:rFonts w:ascii="Cambria Math" w:hAnsi="Cambria Math"/>
                      <w:sz w:val="19"/>
                    </w:rPr>
                    <m:t>i</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w:p>
        </w:tc>
        <w:tc>
          <w:tcPr>
            <w:tcW w:w="4819" w:type="dxa"/>
            <w:vAlign w:val="center"/>
          </w:tcPr>
          <w:p w14:paraId="03ABDB76">
            <w:pPr>
              <w:spacing w:after="60" w:line="264" w:lineRule="auto"/>
              <w:jc w:val="center"/>
            </w:pPr>
            <w:r>
              <w:rPr>
                <w:rFonts w:ascii="Times New Roman" w:hAnsi="Times New Roman" w:eastAsia="宋体"/>
                <w:b w:val="0"/>
                <w:sz w:val="19"/>
              </w:rPr>
              <w:t>标注来源、对应状态描述器及目标的结构化状态输出。</w:t>
            </w:r>
          </w:p>
        </w:tc>
      </w:tr>
      <w:tr w14:paraId="5B0BD46C">
        <w:trPr>
          <w:cantSplit/>
          <w:jc w:val="center"/>
        </w:trPr>
        <w:tc>
          <w:tcPr>
            <w:tcW w:w="4819" w:type="dxa"/>
            <w:vAlign w:val="center"/>
          </w:tcPr>
          <w:p w14:paraId="7D8FE241">
            <w:pPr>
              <w:spacing w:after="60" w:line="264" w:lineRule="auto"/>
              <w:jc w:val="center"/>
            </w:pPr>
            <m:oMathPara>
              <m:oMath>
                <m:sSubSup>
                  <m:sSubSupPr/>
                  <m:e>
                    <m:r>
                      <m:rPr/>
                      <w:rPr>
                        <w:rFonts w:ascii="Cambria Math" w:hAnsi="Cambria Math"/>
                        <w:sz w:val="19"/>
                      </w:rPr>
                      <m:t>A</m:t>
                    </m:r>
                  </m:e>
                  <m:sub>
                    <m:r>
                      <m:rPr/>
                      <w:rPr>
                        <w:rFonts w:ascii="Cambria Math" w:hAnsi="Cambria Math"/>
                        <w:sz w:val="19"/>
                      </w:rPr>
                      <m:t>i</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m:oMathPara>
          </w:p>
        </w:tc>
        <w:tc>
          <w:tcPr>
            <w:tcW w:w="4819" w:type="dxa"/>
            <w:vAlign w:val="center"/>
          </w:tcPr>
          <w:p w14:paraId="15B1F8C9">
            <w:pPr>
              <w:spacing w:after="60" w:line="264" w:lineRule="auto"/>
              <w:jc w:val="center"/>
            </w:pPr>
            <w:r>
              <w:rPr>
                <w:rFonts w:ascii="Times New Roman" w:hAnsi="Times New Roman" w:eastAsia="宋体"/>
                <w:b w:val="0"/>
                <w:sz w:val="19"/>
              </w:rPr>
              <w:t>来源</w:t>
            </w:r>
            <m:oMath>
              <m:r>
                <m:rPr/>
                <w:rPr>
                  <w:rFonts w:ascii="Cambria Math" w:hAnsi="Cambria Math"/>
                  <w:sz w:val="19"/>
                </w:rPr>
                <m:t>r</m:t>
              </m:r>
            </m:oMath>
            <w:r>
              <w:rPr>
                <w:rFonts w:ascii="Times New Roman" w:hAnsi="Times New Roman" w:eastAsia="宋体"/>
                <w:b w:val="0"/>
                <w:sz w:val="19"/>
              </w:rPr>
              <w:t>下目标</w:t>
            </w:r>
            <m:oMath>
              <m:r>
                <m:rPr/>
                <w:rPr>
                  <w:rFonts w:ascii="Cambria Math" w:hAnsi="Cambria Math"/>
                  <w:sz w:val="19"/>
                </w:rPr>
                <m:t>i</m:t>
              </m:r>
            </m:oMath>
            <w:r>
              <w:rPr>
                <w:rFonts w:ascii="Times New Roman" w:hAnsi="Times New Roman" w:eastAsia="宋体"/>
                <w:b w:val="0"/>
                <w:sz w:val="19"/>
              </w:rPr>
              <w:t>激活的已知视觉状态集合。</w:t>
            </w:r>
          </w:p>
        </w:tc>
      </w:tr>
      <w:tr w14:paraId="5AEBCA0E">
        <w:trPr>
          <w:cantSplit/>
          <w:jc w:val="center"/>
        </w:trPr>
        <w:tc>
          <w:tcPr>
            <w:tcW w:w="4819" w:type="dxa"/>
            <w:vAlign w:val="center"/>
          </w:tcPr>
          <w:p w14:paraId="0F132063">
            <w:pPr>
              <w:spacing w:after="60" w:line="264" w:lineRule="auto"/>
              <w:jc w:val="center"/>
            </w:pPr>
            <m:oMathPara>
              <m:oMath>
                <m:sSub>
                  <m:sSubPr/>
                  <m:e>
                    <m:r>
                      <m:rPr/>
                      <w:rPr>
                        <w:rFonts w:ascii="Cambria Math" w:hAnsi="Cambria Math"/>
                        <w:sz w:val="19"/>
                      </w:rPr>
                      <m:t>U</m:t>
                    </m:r>
                  </m:e>
                  <m:sub>
                    <m:r>
                      <m:rPr/>
                      <w:rPr>
                        <w:rFonts w:ascii="Cambria Math" w:hAnsi="Cambria Math"/>
                        <w:sz w:val="19"/>
                      </w:rPr>
                      <m:t>c</m:t>
                    </m:r>
                  </m:sub>
                </m:sSub>
              </m:oMath>
            </m:oMathPara>
          </w:p>
        </w:tc>
        <w:tc>
          <w:tcPr>
            <w:tcW w:w="4819" w:type="dxa"/>
            <w:vAlign w:val="center"/>
          </w:tcPr>
          <w:p w14:paraId="59785C5F">
            <w:pPr>
              <w:spacing w:after="60" w:line="264" w:lineRule="auto"/>
              <w:jc w:val="center"/>
            </w:pPr>
            <w:r>
              <w:rPr>
                <w:rFonts w:ascii="Times New Roman" w:hAnsi="Times New Roman" w:eastAsia="宋体"/>
                <w:b w:val="0"/>
                <w:sz w:val="19"/>
              </w:rPr>
              <w:t>类别</w:t>
            </w:r>
            <m:oMath>
              <m:r>
                <m:rPr/>
                <w:rPr>
                  <w:rFonts w:ascii="Cambria Math" w:hAnsi="Cambria Math"/>
                  <w:sz w:val="19"/>
                </w:rPr>
                <m:t>c</m:t>
              </m:r>
            </m:oMath>
            <w:r>
              <w:rPr>
                <w:rFonts w:ascii="Times New Roman" w:hAnsi="Times New Roman" w:eastAsia="宋体"/>
                <w:b w:val="0"/>
                <w:sz w:val="19"/>
              </w:rPr>
              <w:t>内两来源观察到的已知状态并集，用于共同词表与分母。</w:t>
            </w:r>
          </w:p>
        </w:tc>
      </w:tr>
      <w:tr w14:paraId="7450B961">
        <w:trPr>
          <w:cantSplit/>
          <w:jc w:val="center"/>
        </w:trPr>
        <w:tc>
          <w:tcPr>
            <w:tcW w:w="4819" w:type="dxa"/>
            <w:vAlign w:val="center"/>
          </w:tcPr>
          <w:p w14:paraId="7AB534E2">
            <w:pPr>
              <w:spacing w:after="60" w:line="264" w:lineRule="auto"/>
              <w:jc w:val="center"/>
            </w:pPr>
            <m:oMath>
              <m:r>
                <m:rPr/>
                <w:rPr>
                  <w:rFonts w:ascii="Cambria Math" w:hAnsi="Cambria Math"/>
                  <w:sz w:val="19"/>
                </w:rPr>
                <m:t>S</m:t>
              </m:r>
            </m:oMath>
            <w:r>
              <w:rPr>
                <w:rFonts w:ascii="Times New Roman" w:hAnsi="Times New Roman" w:eastAsia="宋体"/>
                <w:b w:val="0"/>
                <w:sz w:val="19"/>
              </w:rPr>
              <w:t>、</w:t>
            </w:r>
            <m:oMath>
              <m:r>
                <m:rPr/>
                <w:rPr>
                  <w:rFonts w:ascii="Cambria Math" w:hAnsi="Cambria Math"/>
                  <w:sz w:val="19"/>
                </w:rPr>
                <m:t>T</m:t>
              </m:r>
            </m:oMath>
          </w:p>
        </w:tc>
        <w:tc>
          <w:tcPr>
            <w:tcW w:w="4819" w:type="dxa"/>
            <w:vAlign w:val="center"/>
          </w:tcPr>
          <w:p w14:paraId="01FEBA01">
            <w:pPr>
              <w:spacing w:after="60" w:line="264" w:lineRule="auto"/>
              <w:jc w:val="center"/>
            </w:pPr>
            <w:r>
              <w:rPr>
                <w:rFonts w:ascii="Times New Roman" w:hAnsi="Times New Roman" w:eastAsia="宋体"/>
                <w:b w:val="0"/>
                <w:sz w:val="19"/>
              </w:rPr>
              <w:t>已选目标索引集合与用于评价的目标索引集合。</w:t>
            </w:r>
          </w:p>
        </w:tc>
      </w:tr>
      <w:tr w14:paraId="7F960F52">
        <w:trPr>
          <w:cantSplit/>
          <w:jc w:val="center"/>
        </w:trPr>
        <w:tc>
          <w:tcPr>
            <w:tcW w:w="4819" w:type="dxa"/>
            <w:vAlign w:val="center"/>
          </w:tcPr>
          <w:p w14:paraId="01B3014B">
            <w:pPr>
              <w:spacing w:after="60" w:line="264" w:lineRule="auto"/>
              <w:jc w:val="center"/>
            </w:pPr>
            <m:oMathPara>
              <m:oMath>
                <m:sSubSup>
                  <m:sSubSupPr/>
                  <m:e>
                    <m:r>
                      <m:rPr/>
                      <w:rPr>
                        <w:rFonts w:ascii="Cambria Math" w:hAnsi="Cambria Math"/>
                        <w:sz w:val="19"/>
                      </w:rPr>
                      <m:t>n</m:t>
                    </m:r>
                  </m:e>
                  <m:sub>
                    <m:r>
                      <m:rPr/>
                      <w:rPr>
                        <w:rFonts w:ascii="Cambria Math" w:hAnsi="Cambria Math"/>
                        <w:sz w:val="19"/>
                      </w:rPr>
                      <m:t>c</m:t>
                    </m:r>
                    <m:r>
                      <m:rPr>
                        <m:sty m:val="p"/>
                      </m:rPr>
                      <w:rPr>
                        <w:rFonts w:ascii="Cambria Math" w:hAnsi="Cambria Math"/>
                        <w:sz w:val="19"/>
                      </w:rPr>
                      <m:t>,</m:t>
                    </m:r>
                    <m:r>
                      <m:rPr/>
                      <w:rPr>
                        <w:rFonts w:ascii="Cambria Math" w:hAnsi="Cambria Math"/>
                        <w:sz w:val="19"/>
                      </w:rPr>
                      <m:t>s</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m:oMathPara>
          </w:p>
        </w:tc>
        <w:tc>
          <w:tcPr>
            <w:tcW w:w="4819" w:type="dxa"/>
            <w:vAlign w:val="center"/>
          </w:tcPr>
          <w:p w14:paraId="79CBEF62">
            <w:pPr>
              <w:spacing w:after="60" w:line="264" w:lineRule="auto"/>
              <w:jc w:val="center"/>
            </w:pPr>
            <w:r>
              <w:rPr>
                <w:rFonts w:ascii="Times New Roman" w:hAnsi="Times New Roman" w:eastAsia="宋体"/>
                <w:b w:val="0"/>
                <w:sz w:val="19"/>
              </w:rPr>
              <w:t>已选集合中类别</w:t>
            </w:r>
            <m:oMath>
              <m:r>
                <m:rPr/>
                <w:rPr>
                  <w:rFonts w:ascii="Cambria Math" w:hAnsi="Cambria Math"/>
                  <w:sz w:val="19"/>
                </w:rPr>
                <m:t>c</m:t>
              </m:r>
            </m:oMath>
            <w:r>
              <w:rPr>
                <w:rFonts w:ascii="Times New Roman" w:hAnsi="Times New Roman" w:eastAsia="宋体"/>
                <w:b w:val="0"/>
                <w:sz w:val="19"/>
              </w:rPr>
              <w:t>、来源</w:t>
            </w:r>
            <m:oMath>
              <m:r>
                <m:rPr/>
                <w:rPr>
                  <w:rFonts w:ascii="Cambria Math" w:hAnsi="Cambria Math"/>
                  <w:sz w:val="19"/>
                </w:rPr>
                <m:t>r</m:t>
              </m:r>
            </m:oMath>
            <w:r>
              <w:rPr>
                <w:rFonts w:ascii="Times New Roman" w:hAnsi="Times New Roman" w:eastAsia="宋体"/>
                <w:b w:val="0"/>
                <w:sz w:val="19"/>
              </w:rPr>
              <w:t>、状态</w:t>
            </w:r>
            <m:oMath>
              <m:r>
                <m:rPr/>
                <w:rPr>
                  <w:rFonts w:ascii="Cambria Math" w:hAnsi="Cambria Math"/>
                  <w:sz w:val="19"/>
                </w:rPr>
                <m:t>s</m:t>
              </m:r>
            </m:oMath>
            <w:r>
              <w:rPr>
                <w:rFonts w:ascii="Times New Roman" w:hAnsi="Times New Roman" w:eastAsia="宋体"/>
                <w:b w:val="0"/>
                <w:sz w:val="19"/>
              </w:rPr>
              <w:t>的支持数。</w:t>
            </w:r>
          </w:p>
        </w:tc>
      </w:tr>
      <w:tr w14:paraId="2ABDEAE1">
        <w:trPr>
          <w:cantSplit/>
          <w:jc w:val="center"/>
        </w:trPr>
        <w:tc>
          <w:tcPr>
            <w:tcW w:w="4819" w:type="dxa"/>
            <w:vAlign w:val="center"/>
          </w:tcPr>
          <w:p w14:paraId="51AE095C">
            <w:pPr>
              <w:spacing w:after="60" w:line="264" w:lineRule="auto"/>
              <w:jc w:val="center"/>
            </w:pPr>
            <m:oMath>
              <m:sSubSup>
                <m:sSubSupPr/>
                <m:e>
                  <m:r>
                    <m:rPr/>
                    <w:rPr>
                      <w:rFonts w:ascii="Cambria Math" w:hAnsi="Cambria Math"/>
                      <w:sz w:val="19"/>
                    </w:rPr>
                    <m:t>C</m:t>
                  </m:r>
                </m:e>
                <m:sub>
                  <m:r>
                    <m:rPr/>
                    <w:rPr>
                      <w:rFonts w:ascii="Cambria Math" w:hAnsi="Cambria Math"/>
                      <w:sz w:val="19"/>
                    </w:rPr>
                    <m:t>c</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w:r>
              <w:rPr>
                <w:rFonts w:ascii="Times New Roman" w:hAnsi="Times New Roman" w:eastAsia="宋体"/>
                <w:b w:val="0"/>
                <w:sz w:val="19"/>
              </w:rPr>
              <w:t>、</w:t>
            </w:r>
            <m:oMath>
              <m:sSup>
                <m:sSupPr/>
                <m:e>
                  <m:r>
                    <m:rPr/>
                    <w:rPr>
                      <w:rFonts w:ascii="Cambria Math" w:hAnsi="Cambria Math"/>
                      <w:sz w:val="19"/>
                    </w:rPr>
                    <m:t>C</m:t>
                  </m:r>
                </m:e>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p>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w:p>
        </w:tc>
        <w:tc>
          <w:tcPr>
            <w:tcW w:w="4819" w:type="dxa"/>
            <w:vAlign w:val="center"/>
          </w:tcPr>
          <w:p w14:paraId="06A17DB6">
            <w:pPr>
              <w:spacing w:after="60" w:line="264" w:lineRule="auto"/>
              <w:jc w:val="center"/>
            </w:pPr>
            <w:r>
              <w:rPr>
                <w:rFonts w:ascii="Times New Roman" w:hAnsi="Times New Roman" w:eastAsia="宋体"/>
                <w:b w:val="0"/>
                <w:sz w:val="19"/>
              </w:rPr>
              <w:t>类别内频次覆盖与类别宏平均覆盖。</w:t>
            </w:r>
          </w:p>
        </w:tc>
      </w:tr>
      <w:tr w14:paraId="4065298E">
        <w:trPr>
          <w:cantSplit/>
          <w:jc w:val="center"/>
        </w:trPr>
        <w:tc>
          <w:tcPr>
            <w:tcW w:w="4819" w:type="dxa"/>
            <w:vAlign w:val="center"/>
          </w:tcPr>
          <w:p w14:paraId="61712925">
            <w:pPr>
              <w:spacing w:after="60" w:line="264" w:lineRule="auto"/>
              <w:jc w:val="center"/>
            </w:pPr>
            <m:oMath>
              <m:r>
                <m:rPr/>
                <w:rPr>
                  <w:rFonts w:ascii="Cambria Math" w:hAnsi="Cambria Math"/>
                  <w:sz w:val="19"/>
                </w:rPr>
                <m:t>τ</m:t>
              </m:r>
            </m:oMath>
            <w:r>
              <w:rPr>
                <w:rFonts w:ascii="Times New Roman" w:hAnsi="Times New Roman" w:eastAsia="宋体"/>
                <w:b w:val="0"/>
                <w:sz w:val="19"/>
              </w:rPr>
              <w:t>、</w:t>
            </w:r>
            <m:oMath>
              <m:sSubSup>
                <m:sSubSupPr/>
                <m:e>
                  <m:r>
                    <m:rPr/>
                    <w:rPr>
                      <w:rFonts w:ascii="Cambria Math" w:hAnsi="Cambria Math"/>
                      <w:sz w:val="19"/>
                    </w:rPr>
                    <m:t>g</m:t>
                  </m:r>
                </m:e>
                <m:sub>
                  <m:r>
                    <m:rPr/>
                    <w:rPr>
                      <w:rFonts w:ascii="Cambria Math" w:hAnsi="Cambria Math"/>
                      <w:sz w:val="19"/>
                    </w:rPr>
                    <m:t>c</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m:rPr/>
                <w:rPr>
                  <w:rFonts w:ascii="Cambria Math" w:hAnsi="Cambria Math"/>
                  <w:sz w:val="19"/>
                </w:rPr>
                <m:t>i</m:t>
              </m:r>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w:p>
        </w:tc>
        <w:tc>
          <w:tcPr>
            <w:tcW w:w="4819" w:type="dxa"/>
            <w:vAlign w:val="center"/>
          </w:tcPr>
          <w:p w14:paraId="199BD39D">
            <w:pPr>
              <w:spacing w:after="60" w:line="264" w:lineRule="auto"/>
              <w:jc w:val="center"/>
            </w:pPr>
            <w:r>
              <w:rPr>
                <w:rFonts w:ascii="Times New Roman" w:hAnsi="Times New Roman" w:eastAsia="宋体"/>
                <w:b w:val="0"/>
                <w:sz w:val="19"/>
              </w:rPr>
              <w:t>覆盖饱和阈值与候选目标的稀缺状态增益。</w:t>
            </w:r>
          </w:p>
        </w:tc>
      </w:tr>
      <w:tr w14:paraId="050AD363">
        <w:trPr>
          <w:cantSplit/>
          <w:jc w:val="center"/>
        </w:trPr>
        <w:tc>
          <w:tcPr>
            <w:tcW w:w="4819" w:type="dxa"/>
            <w:vAlign w:val="center"/>
          </w:tcPr>
          <w:p w14:paraId="55D681A0">
            <w:pPr>
              <w:spacing w:after="60" w:line="264" w:lineRule="auto"/>
              <w:jc w:val="center"/>
            </w:pPr>
            <m:oMath>
              <m:r>
                <m:rPr/>
                <w:rPr>
                  <w:rFonts w:ascii="Cambria Math" w:hAnsi="Cambria Math"/>
                  <w:sz w:val="19"/>
                </w:rPr>
                <m:t>D</m:t>
              </m:r>
            </m:oMath>
            <w:r>
              <w:rPr>
                <w:rFonts w:ascii="Times New Roman" w:hAnsi="Times New Roman" w:eastAsia="宋体"/>
                <w:b w:val="0"/>
                <w:sz w:val="19"/>
              </w:rPr>
              <w:t>、</w:t>
            </w:r>
            <m:oMath>
              <m:sSub>
                <m:sSubPr/>
                <m:e>
                  <m:r>
                    <m:rPr/>
                    <w:rPr>
                      <w:rFonts w:ascii="Cambria Math" w:hAnsi="Cambria Math"/>
                      <w:sz w:val="19"/>
                    </w:rPr>
                    <m:t>h</m:t>
                  </m:r>
                </m:e>
                <m:sub>
                  <m:r>
                    <m:rPr/>
                    <w:rPr>
                      <w:rFonts w:ascii="Cambria Math" w:hAnsi="Cambria Math"/>
                      <w:sz w:val="19"/>
                    </w:rPr>
                    <m:t>d</m:t>
                  </m:r>
                </m:sub>
              </m:sSub>
            </m:oMath>
            <w:r>
              <w:rPr>
                <w:rFonts w:ascii="Times New Roman" w:hAnsi="Times New Roman" w:eastAsia="宋体"/>
                <w:b w:val="0"/>
                <w:sz w:val="19"/>
              </w:rPr>
              <w:t>、</w:t>
            </w:r>
            <m:oMath>
              <m:sSubSup>
                <m:sSubSupPr/>
                <m:e>
                  <m:r>
                    <m:rPr/>
                    <w:rPr>
                      <w:rFonts w:ascii="Cambria Math" w:hAnsi="Cambria Math"/>
                      <w:sz w:val="19"/>
                    </w:rPr>
                    <m:t>H</m:t>
                  </m:r>
                </m:e>
                <m:sub>
                  <m:r>
                    <m:rPr/>
                    <w:rPr>
                      <w:rFonts w:ascii="Cambria Math" w:hAnsi="Cambria Math"/>
                      <w:sz w:val="19"/>
                    </w:rPr>
                    <m:t>i</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w:p>
        </w:tc>
        <w:tc>
          <w:tcPr>
            <w:tcW w:w="4819" w:type="dxa"/>
            <w:vAlign w:val="center"/>
          </w:tcPr>
          <w:p w14:paraId="318497B4">
            <w:pPr>
              <w:spacing w:after="60" w:line="264" w:lineRule="auto"/>
              <w:jc w:val="center"/>
            </w:pPr>
            <w:r>
              <w:rPr>
                <w:rFonts w:ascii="Times New Roman" w:hAnsi="Times New Roman" w:eastAsia="宋体"/>
                <w:b w:val="0"/>
                <w:sz w:val="19"/>
              </w:rPr>
              <w:t>风险维度集合、维度分值映射与综合风险。</w:t>
            </w:r>
          </w:p>
        </w:tc>
      </w:tr>
      <w:tr w14:paraId="56950711">
        <w:trPr>
          <w:cantSplit/>
          <w:jc w:val="center"/>
        </w:trPr>
        <w:tc>
          <w:tcPr>
            <w:tcW w:w="4819" w:type="dxa"/>
            <w:vAlign w:val="center"/>
          </w:tcPr>
          <w:p w14:paraId="6522808A">
            <w:pPr>
              <w:spacing w:after="60" w:line="264" w:lineRule="auto"/>
              <w:jc w:val="center"/>
            </w:pPr>
            <m:oMath>
              <m:sSubSup>
                <m:sSubSupPr/>
                <m:e>
                  <m:r>
                    <m:rPr/>
                    <w:rPr>
                      <w:rFonts w:ascii="Cambria Math" w:hAnsi="Cambria Math"/>
                      <w:sz w:val="19"/>
                    </w:rPr>
                    <m:t>Q</m:t>
                  </m:r>
                </m:e>
                <m:sub>
                  <m:r>
                    <m:rPr/>
                    <w:rPr>
                      <w:rFonts w:ascii="Cambria Math" w:hAnsi="Cambria Math"/>
                      <w:sz w:val="19"/>
                    </w:rPr>
                    <m:t>c</m:t>
                  </m:r>
                  <m:r>
                    <m:rPr>
                      <m:sty m:val="p"/>
                    </m:rPr>
                    <w:rPr>
                      <w:rFonts w:ascii="Cambria Math" w:hAnsi="Cambria Math"/>
                      <w:sz w:val="19"/>
                    </w:rPr>
                    <m:t>,</m:t>
                  </m:r>
                  <m:r>
                    <m:rPr/>
                    <w:rPr>
                      <w:rFonts w:ascii="Cambria Math" w:hAnsi="Cambria Math"/>
                      <w:sz w:val="19"/>
                    </w:rPr>
                    <m:t>ℓ</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w:r>
              <w:rPr>
                <w:rFonts w:ascii="Times New Roman" w:hAnsi="Times New Roman" w:eastAsia="宋体"/>
                <w:b w:val="0"/>
                <w:sz w:val="19"/>
              </w:rPr>
              <w:t>、</w:t>
            </w:r>
            <m:oMath>
              <m:r>
                <m:rPr/>
                <w:rPr>
                  <w:rFonts w:ascii="Cambria Math" w:hAnsi="Cambria Math"/>
                  <w:sz w:val="19"/>
                </w:rPr>
                <m:t>ρ</m:t>
              </m:r>
            </m:oMath>
            <w:r>
              <w:rPr>
                <w:rFonts w:ascii="Times New Roman" w:hAnsi="Times New Roman" w:eastAsia="宋体"/>
                <w:b w:val="0"/>
                <w:sz w:val="19"/>
              </w:rPr>
              <w:t>、</w:t>
            </w:r>
            <m:oMath>
              <m:r>
                <m:rPr/>
                <w:rPr>
                  <w:rFonts w:ascii="Cambria Math" w:hAnsi="Cambria Math"/>
                  <w:sz w:val="19"/>
                </w:rPr>
                <m:t>m</m:t>
              </m:r>
            </m:oMath>
          </w:p>
        </w:tc>
        <w:tc>
          <w:tcPr>
            <w:tcW w:w="4819" w:type="dxa"/>
            <w:vAlign w:val="center"/>
          </w:tcPr>
          <w:p w14:paraId="513733F9">
            <w:pPr>
              <w:spacing w:after="60" w:line="264" w:lineRule="auto"/>
              <w:jc w:val="center"/>
            </w:pPr>
            <w:r>
              <w:rPr>
                <w:rFonts w:ascii="Times New Roman" w:hAnsi="Times New Roman" w:eastAsia="宋体"/>
                <w:b w:val="0"/>
                <w:sz w:val="19"/>
              </w:rPr>
              <w:t>第</w:t>
            </w:r>
            <m:oMath>
              <m:r>
                <m:rPr/>
                <w:rPr>
                  <w:rFonts w:ascii="Cambria Math" w:hAnsi="Cambria Math"/>
                  <w:sz w:val="19"/>
                </w:rPr>
                <m:t>ℓ</m:t>
              </m:r>
            </m:oMath>
            <w:r>
              <w:rPr>
                <w:rFonts w:ascii="Times New Roman" w:hAnsi="Times New Roman" w:eastAsia="宋体"/>
                <w:b w:val="0"/>
                <w:sz w:val="19"/>
              </w:rPr>
              <w:t>个风险层、高风险占比与混合测试每类目标数。</w:t>
            </w:r>
          </w:p>
        </w:tc>
      </w:tr>
      <w:tr w14:paraId="45E967EB">
        <w:trPr>
          <w:cantSplit/>
          <w:jc w:val="center"/>
        </w:trPr>
        <w:tc>
          <w:tcPr>
            <w:tcW w:w="4819" w:type="dxa"/>
            <w:vAlign w:val="center"/>
          </w:tcPr>
          <w:p w14:paraId="7ACF3EC7">
            <w:pPr>
              <w:spacing w:after="60" w:line="264" w:lineRule="auto"/>
              <w:jc w:val="center"/>
            </w:pPr>
            <m:oMath>
              <m:sSub>
                <m:sSubPr/>
                <m:e>
                  <m:r>
                    <m:rPr/>
                    <w:rPr>
                      <w:rFonts w:ascii="Cambria Math" w:hAnsi="Cambria Math"/>
                      <w:sz w:val="19"/>
                    </w:rPr>
                    <m:t>f</m:t>
                  </m:r>
                </m:e>
                <m:sub>
                  <m:r>
                    <m:rPr/>
                    <w:rPr>
                      <w:rFonts w:ascii="Cambria Math" w:hAnsi="Cambria Math"/>
                      <w:sz w:val="19"/>
                    </w:rPr>
                    <m:t>θ</m:t>
                  </m:r>
                </m:sub>
              </m:sSub>
            </m:oMath>
            <w:r>
              <w:rPr>
                <w:rFonts w:ascii="Times New Roman" w:hAnsi="Times New Roman" w:eastAsia="宋体"/>
                <w:b w:val="0"/>
                <w:sz w:val="19"/>
              </w:rPr>
              <w:t>、</w:t>
            </w:r>
            <m:oMath>
              <m:sSub>
                <m:sSubPr/>
                <m:e>
                  <m:acc>
                    <m:accPr/>
                    <m:e>
                      <m:r>
                        <m:rPr/>
                        <w:rPr>
                          <w:rFonts w:ascii="Cambria Math" w:hAnsi="Cambria Math"/>
                          <w:sz w:val="19"/>
                        </w:rPr>
                        <m:t>y</m:t>
                      </m:r>
                    </m:e>
                  </m:acc>
                </m:e>
                <m:sub>
                  <m:r>
                    <m:rPr/>
                    <w:rPr>
                      <w:rFonts w:ascii="Cambria Math" w:hAnsi="Cambria Math"/>
                      <w:sz w:val="19"/>
                    </w:rPr>
                    <m:t>i</m:t>
                  </m:r>
                </m:sub>
              </m:sSub>
            </m:oMath>
          </w:p>
        </w:tc>
        <w:tc>
          <w:tcPr>
            <w:tcW w:w="4819" w:type="dxa"/>
            <w:vAlign w:val="center"/>
          </w:tcPr>
          <w:p w14:paraId="04A86E33">
            <w:pPr>
              <w:spacing w:after="60" w:line="264" w:lineRule="auto"/>
              <w:jc w:val="center"/>
            </w:pPr>
            <w:r>
              <w:rPr>
                <w:rFonts w:ascii="Times New Roman" w:hAnsi="Times New Roman" w:eastAsia="宋体"/>
                <w:b w:val="0"/>
                <w:sz w:val="19"/>
              </w:rPr>
              <w:t>被测分类器与目标的类别预测。</w:t>
            </w:r>
          </w:p>
        </w:tc>
      </w:tr>
      <w:tr w14:paraId="0E7AA4FE">
        <w:trPr>
          <w:cantSplit/>
          <w:jc w:val="center"/>
        </w:trPr>
        <w:tc>
          <w:tcPr>
            <w:tcW w:w="4819" w:type="dxa"/>
            <w:vAlign w:val="center"/>
          </w:tcPr>
          <w:p w14:paraId="5A6B7AFB">
            <w:pPr>
              <w:spacing w:after="60" w:line="264" w:lineRule="auto"/>
              <w:jc w:val="center"/>
            </w:pPr>
            <m:oMath>
              <m:r>
                <m:rPr/>
                <w:rPr>
                  <w:rFonts w:ascii="Cambria Math" w:hAnsi="Cambria Math"/>
                  <w:sz w:val="19"/>
                </w:rPr>
                <m:t>n</m:t>
              </m:r>
            </m:oMath>
            <w:r>
              <w:rPr>
                <w:rFonts w:ascii="Times New Roman" w:hAnsi="Times New Roman" w:eastAsia="宋体"/>
                <w:b w:val="0"/>
                <w:sz w:val="19"/>
              </w:rPr>
              <w:t>、</w:t>
            </w:r>
            <m:oMath>
              <m:r>
                <m:rPr/>
                <w:rPr>
                  <w:rFonts w:ascii="Cambria Math" w:hAnsi="Cambria Math"/>
                  <w:sz w:val="19"/>
                </w:rPr>
                <m:t>v</m:t>
              </m:r>
            </m:oMath>
            <w:r>
              <w:rPr>
                <w:rFonts w:ascii="Times New Roman" w:hAnsi="Times New Roman" w:eastAsia="宋体"/>
                <w:b w:val="0"/>
                <w:sz w:val="19"/>
              </w:rPr>
              <w:t>、</w:t>
            </w:r>
            <m:oMath>
              <m:r>
                <m:rPr/>
                <w:rPr>
                  <w:rFonts w:ascii="Cambria Math" w:hAnsi="Cambria Math"/>
                  <w:sz w:val="19"/>
                </w:rPr>
                <m:t>t</m:t>
              </m:r>
            </m:oMath>
          </w:p>
        </w:tc>
        <w:tc>
          <w:tcPr>
            <w:tcW w:w="4819" w:type="dxa"/>
            <w:vAlign w:val="center"/>
          </w:tcPr>
          <w:p w14:paraId="6D0BB6B2">
            <w:pPr>
              <w:spacing w:after="60" w:line="264" w:lineRule="auto"/>
              <w:jc w:val="center"/>
            </w:pPr>
            <w:r>
              <w:rPr>
                <w:rFonts w:ascii="Times New Roman" w:hAnsi="Times New Roman" w:eastAsia="宋体"/>
                <w:b w:val="0"/>
                <w:sz w:val="19"/>
              </w:rPr>
              <w:t>复杂度分析中的候选数、状态数与选出目标数。</w:t>
            </w:r>
          </w:p>
        </w:tc>
      </w:tr>
      <w:tr w14:paraId="38F99C29">
        <w:trPr>
          <w:cantSplit/>
          <w:jc w:val="center"/>
        </w:trPr>
        <w:tc>
          <w:tcPr>
            <w:tcW w:w="4819" w:type="dxa"/>
            <w:vAlign w:val="center"/>
          </w:tcPr>
          <w:p w14:paraId="2B67442C">
            <w:pPr>
              <w:spacing w:after="60" w:line="264" w:lineRule="auto"/>
              <w:jc w:val="center"/>
            </w:pPr>
            <m:oMath>
              <m:r>
                <m:rPr/>
                <w:rPr>
                  <w:rFonts w:ascii="Cambria Math" w:hAnsi="Cambria Math"/>
                  <w:sz w:val="19"/>
                </w:rPr>
                <m:t>N</m:t>
              </m:r>
            </m:oMath>
            <w:r>
              <w:rPr>
                <w:rFonts w:ascii="Times New Roman" w:hAnsi="Times New Roman" w:eastAsia="宋体"/>
                <w:b w:val="0"/>
                <w:sz w:val="19"/>
              </w:rPr>
              <w:t>、</w:t>
            </w:r>
            <m:oMath>
              <m:r>
                <m:rPr/>
                <w:rPr>
                  <w:rFonts w:ascii="Cambria Math" w:hAnsi="Cambria Math"/>
                  <w:sz w:val="19"/>
                </w:rPr>
                <m:t>q</m:t>
              </m:r>
            </m:oMath>
            <w:r>
              <w:rPr>
                <w:rFonts w:ascii="Times New Roman" w:hAnsi="Times New Roman" w:eastAsia="宋体"/>
                <w:b w:val="0"/>
                <w:sz w:val="19"/>
              </w:rPr>
              <w:t>、</w:t>
            </w:r>
            <m:oMath>
              <m:r>
                <m:rPr/>
                <w:rPr>
                  <w:rFonts w:ascii="Cambria Math" w:hAnsi="Cambria Math"/>
                  <w:sz w:val="19"/>
                </w:rPr>
                <m:t>e</m:t>
              </m:r>
            </m:oMath>
          </w:p>
        </w:tc>
        <w:tc>
          <w:tcPr>
            <w:tcW w:w="4819" w:type="dxa"/>
            <w:vAlign w:val="center"/>
          </w:tcPr>
          <w:p w14:paraId="4BD27D7E">
            <w:pPr>
              <w:spacing w:after="60" w:line="264" w:lineRule="auto"/>
              <w:jc w:val="center"/>
            </w:pPr>
            <w:r>
              <w:rPr>
                <w:rFonts w:ascii="Times New Roman" w:hAnsi="Times New Roman" w:eastAsia="宋体"/>
                <w:b w:val="0"/>
                <w:sz w:val="19"/>
              </w:rPr>
              <w:t>某方法的错误数、两方法匹配错误数与指定类型的错误频数。</w:t>
            </w:r>
          </w:p>
        </w:tc>
      </w:tr>
    </w:tbl>
    <w:p w14:paraId="3CF5BB45">
      <w:pPr>
        <w:pStyle w:val="3"/>
        <w:spacing w:before="180" w:after="100"/>
        <w:rPr>
          <w:rFonts w:hint="eastAsia" w:ascii="黑体" w:hAnsi="黑体" w:eastAsia="黑体" w:cs="黑体"/>
        </w:rPr>
      </w:pPr>
      <w:r>
        <w:rPr>
          <w:rFonts w:hint="eastAsia" w:ascii="黑体" w:hAnsi="黑体" w:eastAsia="黑体" w:cs="黑体"/>
        </w:rPr>
        <w:t>3.2 多视图视觉状态表示</w:t>
      </w:r>
    </w:p>
    <w:p w14:paraId="07B18897">
      <w:pPr>
        <w:keepNext/>
        <w:keepLines/>
        <w:spacing w:after="100" w:line="312" w:lineRule="auto"/>
        <w:ind w:firstLine="425"/>
      </w:pPr>
      <w:r>
        <w:rPr>
          <w:rFonts w:ascii="Times New Roman" w:hAnsi="Times New Roman" w:eastAsia="宋体"/>
          <w:b w:val="0"/>
          <w:sz w:val="22"/>
        </w:rPr>
        <w:t>为同时获得场景信息和目标细节，将原图</w:t>
      </w:r>
      <m:oMath>
        <m:sSub>
          <m:sSubPr/>
          <m:e>
            <m:r>
              <m:rPr/>
              <w:rPr>
                <w:rFonts w:ascii="Cambria Math" w:hAnsi="Cambria Math"/>
                <w:sz w:val="22"/>
              </w:rPr>
              <m:t>I</m:t>
            </m:r>
          </m:e>
          <m:sub>
            <m:r>
              <m:rPr/>
              <w:rPr>
                <w:rFonts w:ascii="Cambria Math" w:hAnsi="Cambria Math"/>
                <w:sz w:val="22"/>
              </w:rPr>
              <m:t>i</m:t>
            </m:r>
          </m:sub>
        </m:sSub>
      </m:oMath>
      <w:r>
        <w:rPr>
          <w:rFonts w:ascii="Times New Roman" w:hAnsi="Times New Roman" w:eastAsia="宋体"/>
          <w:b w:val="0"/>
          <w:sz w:val="22"/>
        </w:rPr>
        <w:t>、目标框标记图</w:t>
      </w:r>
      <m:oMath>
        <m:sSub>
          <m:sSubPr/>
          <m:e>
            <m:r>
              <m:rPr/>
              <w:rPr>
                <w:rFonts w:ascii="Cambria Math" w:hAnsi="Cambria Math"/>
                <w:sz w:val="22"/>
              </w:rPr>
              <m:t>M</m:t>
            </m:r>
          </m:e>
          <m:sub>
            <m:r>
              <m:rPr/>
              <w:rPr>
                <w:rFonts w:ascii="Cambria Math" w:hAnsi="Cambria Math"/>
                <w:sz w:val="22"/>
              </w:rPr>
              <m:t>i</m:t>
            </m:r>
          </m:sub>
        </m:sSub>
      </m:oMath>
      <w:r>
        <w:rPr>
          <w:rFonts w:ascii="Times New Roman" w:hAnsi="Times New Roman" w:eastAsia="宋体"/>
          <w:b w:val="0"/>
          <w:sz w:val="22"/>
        </w:rPr>
        <w:t>及放大裁剪图</w:t>
      </w:r>
      <m:oMath>
        <m:sSub>
          <m:sSubPr/>
          <m:e>
            <m:r>
              <m:rPr/>
              <w:rPr>
                <w:rFonts w:ascii="Cambria Math" w:hAnsi="Cambria Math"/>
                <w:sz w:val="22"/>
              </w:rPr>
              <m:t>V</m:t>
            </m:r>
          </m:e>
          <m:sub>
            <m:r>
              <m:rPr/>
              <w:rPr>
                <w:rFonts w:ascii="Cambria Math" w:hAnsi="Cambria Math"/>
                <w:sz w:val="22"/>
              </w:rPr>
              <m:t>i</m:t>
            </m:r>
          </m:sub>
        </m:sSub>
      </m:oMath>
      <w:r>
        <w:rPr>
          <w:rFonts w:ascii="Times New Roman" w:hAnsi="Times New Roman" w:eastAsia="宋体"/>
          <w:b w:val="0"/>
          <w:sz w:val="22"/>
        </w:rPr>
        <w:t>输入状态描述器。设标注来源为</w:t>
      </w:r>
      <m:oMath>
        <m:r>
          <m:rPr/>
          <w:rPr>
            <w:rFonts w:ascii="Cambria Math" w:hAnsi="Cambria Math"/>
            <w:sz w:val="22"/>
          </w:rPr>
          <m:t>r</m:t>
        </m:r>
        <m:r>
          <m:rPr>
            <m:sty m:val="p"/>
          </m:rPr>
          <w:rPr>
            <w:rFonts w:ascii="Cambria Math" w:hAnsi="Cambria Math"/>
            <w:sz w:val="22"/>
          </w:rPr>
          <m:t>∈{local,online}</m:t>
        </m:r>
      </m:oMath>
      <w:r>
        <w:rPr>
          <w:rFonts w:ascii="Times New Roman" w:hAnsi="Times New Roman" w:eastAsia="宋体"/>
          <w:b w:val="0"/>
          <w:sz w:val="22"/>
        </w:rPr>
        <w:t>，其输出为：</w:t>
      </w:r>
    </w:p>
    <w:p w14:paraId="2F7286E6">
      <w:pPr>
        <w:spacing w:before="80" w:after="140"/>
        <w:jc w:val="center"/>
      </w:pPr>
      <m:oMathPara>
        <m:oMath>
          <m:sSubSup>
            <m:sSubSupPr/>
            <m:e>
              <m:r>
                <m:rPr/>
                <w:rPr>
                  <w:rFonts w:ascii="Cambria Math" w:hAnsi="Cambria Math"/>
                  <w:sz w:val="22"/>
                </w:rPr>
                <m:t>z</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sSub>
            <m:sSubPr/>
            <m:e>
              <m:r>
                <m:rPr/>
                <w:rPr>
                  <w:rFonts w:ascii="Cambria Math" w:hAnsi="Cambria Math"/>
                  <w:sz w:val="22"/>
                </w:rPr>
                <m:t>ϕ</m:t>
              </m:r>
            </m:e>
            <m:sub>
              <m:r>
                <m:rPr/>
                <w:rPr>
                  <w:rFonts w:ascii="Cambria Math" w:hAnsi="Cambria Math"/>
                  <w:sz w:val="22"/>
                </w:rPr>
                <m:t>r</m:t>
              </m:r>
            </m:sub>
          </m:sSub>
          <m:d>
            <m:dPr>
              <m:sepChr m:val=""/>
            </m:dPr>
            <m:e>
              <m:sSub>
                <m:sSubPr/>
                <m:e>
                  <m:r>
                    <m:rPr/>
                    <w:rPr>
                      <w:rFonts w:ascii="Cambria Math" w:hAnsi="Cambria Math"/>
                      <w:sz w:val="22"/>
                    </w:rPr>
                    <m:t>I</m:t>
                  </m:r>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M</m:t>
                  </m:r>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V</m:t>
                  </m:r>
                </m:e>
                <m:sub>
                  <m:r>
                    <m:rPr/>
                    <w:rPr>
                      <w:rFonts w:ascii="Cambria Math" w:hAnsi="Cambria Math"/>
                      <w:sz w:val="22"/>
                    </w:rPr>
                    <m:t>i</m:t>
                  </m:r>
                </m:sub>
              </m:sSub>
            </m:e>
          </m:d>
          <m:r>
            <m:rPr>
              <m:sty m:val="p"/>
            </m:rPr>
            <w:rPr>
              <w:rFonts w:ascii="Cambria Math" w:hAnsi="Cambria Math"/>
              <w:sz w:val="22"/>
            </w:rPr>
            <m:t>.</m:t>
          </m:r>
        </m:oMath>
      </m:oMathPara>
    </w:p>
    <w:p w14:paraId="0576E509">
      <w:pPr>
        <w:keepLines/>
        <w:spacing w:after="100" w:line="312" w:lineRule="auto"/>
        <w:ind w:firstLine="425"/>
      </w:pPr>
      <w:r>
        <w:rPr>
          <w:rFonts w:ascii="Times New Roman" w:hAnsi="Times New Roman" w:eastAsia="宋体"/>
          <w:b w:val="0"/>
          <w:sz w:val="22"/>
        </w:rPr>
        <w:t>其中，</w:t>
      </w:r>
      <m:oMath>
        <m:sSub>
          <m:sSubPr/>
          <m:e>
            <m:r>
              <m:rPr/>
              <w:rPr>
                <w:rFonts w:ascii="Cambria Math" w:hAnsi="Cambria Math"/>
                <w:sz w:val="22"/>
              </w:rPr>
              <m:t>ϕ</m:t>
            </m:r>
          </m:e>
          <m:sub>
            <m:r>
              <m:rPr/>
              <w:rPr>
                <w:rFonts w:ascii="Cambria Math" w:hAnsi="Cambria Math"/>
                <w:sz w:val="22"/>
              </w:rPr>
              <m:t>r</m:t>
            </m:r>
          </m:sub>
        </m:sSub>
      </m:oMath>
      <w:r>
        <w:rPr>
          <w:rFonts w:ascii="Times New Roman" w:hAnsi="Times New Roman" w:eastAsia="宋体"/>
          <w:b w:val="0"/>
          <w:sz w:val="22"/>
        </w:rPr>
        <w:t>表示按预定义字段及有限枚举值进行描述的VLM。当前实现分别使用本地Qwen3-VL与线上SenseNova，不进行分类概率融合。主分析分别固定一种来源，以该来源的状态完成覆盖选样、风险组织和条件评价，最终报告注明来源。跨来源选样或评价作为单独的敏感性分析，分别注明选样、风险组织及评价所用来源。具体模型版本、提示及类别协议的字段映射在实验设置与补充材料中说明。</w:t>
      </w:r>
    </w:p>
    <w:p w14:paraId="11ABE6A2">
      <w:pPr>
        <w:keepLines/>
        <w:spacing w:after="100" w:line="312" w:lineRule="auto"/>
        <w:ind w:firstLine="425"/>
      </w:pPr>
      <w:r>
        <w:rPr>
          <w:rFonts w:ascii="Times New Roman" w:hAnsi="Times New Roman" w:eastAsia="宋体"/>
          <w:b w:val="0"/>
          <w:sz w:val="22"/>
        </w:rPr>
        <w:t>类别专用协议映射为14项共享字段：身体可见性、身体朝向、遮挡程度、遮挡物类型、截断程度、群体关系、交互关系、场景、背景复杂度、模糊、照明、目标背景对比、可识别性与呈现形式。另以官方目标框面积与原始图像面积之比</w:t>
      </w:r>
      <m:oMath>
        <m:sSub>
          <m:sSubPr/>
          <m:e>
            <m:r>
              <m:rPr/>
              <w:rPr>
                <w:rFonts w:ascii="Cambria Math" w:hAnsi="Cambria Math"/>
                <w:sz w:val="22"/>
              </w:rPr>
              <m:t>a</m:t>
            </m:r>
          </m:e>
          <m:sub>
            <m:r>
              <m:rPr/>
              <w:rPr>
                <w:rFonts w:ascii="Cambria Math" w:hAnsi="Cambria Math"/>
                <w:sz w:val="22"/>
              </w:rPr>
              <m:t>i</m:t>
            </m:r>
          </m:sub>
        </m:sSub>
      </m:oMath>
      <w:r>
        <w:rPr>
          <w:rFonts w:ascii="Times New Roman" w:hAnsi="Times New Roman" w:eastAsia="宋体"/>
          <w:b w:val="0"/>
          <w:sz w:val="22"/>
        </w:rPr>
        <w:t>表示目标尺度，按预定义区间离散化后形成第15项分析字段。目标尺度保留目标在原始场景中的相对面积信息，不将裁剪缩放后的输入尺寸当作原图尺度。</w:t>
      </w:r>
    </w:p>
    <w:p w14:paraId="2C5FF4E0">
      <w:pPr>
        <w:keepLines/>
        <w:spacing w:after="100" w:line="312" w:lineRule="auto"/>
        <w:ind w:firstLine="425"/>
      </w:pPr>
      <w:r>
        <w:rPr>
          <w:rFonts w:ascii="Times New Roman" w:hAnsi="Times New Roman" w:eastAsia="宋体"/>
          <w:b w:val="0"/>
          <w:sz w:val="22"/>
        </w:rPr>
        <w:t>将“字段—枚举值”对定义为视觉状态。例如，“身体朝向—背向”表示一种状态。目标</w:t>
      </w:r>
      <m:oMath>
        <m:r>
          <m:rPr/>
          <w:rPr>
            <w:rFonts w:ascii="Cambria Math" w:hAnsi="Cambria Math"/>
            <w:sz w:val="22"/>
          </w:rPr>
          <m:t>i</m:t>
        </m:r>
      </m:oMath>
      <w:r>
        <w:rPr>
          <w:rFonts w:ascii="Times New Roman" w:hAnsi="Times New Roman" w:eastAsia="宋体"/>
          <w:b w:val="0"/>
          <w:sz w:val="22"/>
        </w:rPr>
        <w:t>在来源</w:t>
      </w:r>
      <m:oMath>
        <m:r>
          <m:rPr/>
          <w:rPr>
            <w:rFonts w:ascii="Cambria Math" w:hAnsi="Cambria Math"/>
            <w:sz w:val="22"/>
          </w:rPr>
          <m:t>r</m:t>
        </m:r>
      </m:oMath>
      <w:r>
        <w:rPr>
          <w:rFonts w:ascii="Times New Roman" w:hAnsi="Times New Roman" w:eastAsia="宋体"/>
          <w:b w:val="0"/>
          <w:sz w:val="22"/>
        </w:rPr>
        <w:t>下激活的已知状态集合记为</w:t>
      </w:r>
      <m:oMath>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多值字段按集合处理，可同时激活多个不同状态。同一目标对同一状态最多贡献一次支持，不因重复枚举而重复计数。无法判断的字段保留为unknown，不计为已获得的覆盖证据。结构化校验用于保证输出可解析及枚举合法，不据此认定自动状态具有完整语义准确性。</w:t>
      </w:r>
    </w:p>
    <w:p w14:paraId="7E4114EB">
      <w:pPr>
        <w:pStyle w:val="3"/>
        <w:spacing w:before="180" w:after="100"/>
        <w:rPr>
          <w:rFonts w:hint="default" w:ascii="黑体" w:hAnsi="黑体" w:eastAsia="黑体" w:cs="黑体"/>
          <w:lang w:val="en-US" w:eastAsia="zh-CN"/>
        </w:rPr>
      </w:pPr>
      <w:r>
        <w:rPr>
          <w:rFonts w:hint="eastAsia" w:ascii="黑体" w:hAnsi="黑体" w:eastAsia="黑体" w:cs="黑体"/>
        </w:rPr>
        <w:t>3.3 状态覆盖度量与</w:t>
      </w:r>
      <w:r>
        <w:rPr>
          <w:rFonts w:hint="eastAsia" w:ascii="黑体" w:hAnsi="黑体" w:eastAsia="黑体" w:cs="黑体"/>
          <w:lang w:val="en-US" w:eastAsia="zh-CN"/>
        </w:rPr>
        <w:t>覆盖引导选样</w:t>
      </w:r>
    </w:p>
    <w:p w14:paraId="20537B25">
      <w:pPr>
        <w:pStyle w:val="4"/>
        <w:spacing w:before="180" w:after="100"/>
        <w:rPr>
          <w:rFonts w:hint="eastAsia" w:ascii="黑体" w:hAnsi="黑体" w:eastAsia="黑体" w:cs="黑体"/>
        </w:rPr>
      </w:pPr>
      <w:r>
        <w:rPr>
          <w:rFonts w:hint="eastAsia" w:ascii="黑体" w:hAnsi="黑体" w:eastAsia="黑体" w:cs="黑体"/>
        </w:rPr>
        <w:t>3.3.1 状态支持与频次覆盖</w:t>
      </w:r>
    </w:p>
    <w:p w14:paraId="223C924F">
      <w:pPr>
        <w:keepNext/>
        <w:keepLines/>
        <w:spacing w:after="100" w:line="312" w:lineRule="auto"/>
        <w:ind w:firstLine="425"/>
      </w:pPr>
      <w:r>
        <w:rPr>
          <w:rFonts w:ascii="Times New Roman" w:hAnsi="Times New Roman" w:eastAsia="宋体"/>
          <w:b w:val="0"/>
          <w:sz w:val="22"/>
        </w:rPr>
        <w:t>对同一候选池，在类别</w:t>
      </w:r>
      <m:oMath>
        <m:r>
          <m:rPr/>
          <w:rPr>
            <w:rFonts w:ascii="Cambria Math" w:hAnsi="Cambria Math"/>
            <w:sz w:val="22"/>
          </w:rPr>
          <m:t>c</m:t>
        </m:r>
      </m:oMath>
      <w:r>
        <w:rPr>
          <w:rFonts w:ascii="Times New Roman" w:hAnsi="Times New Roman" w:eastAsia="宋体"/>
          <w:b w:val="0"/>
          <w:sz w:val="22"/>
        </w:rPr>
        <w:t>内将两种标注来源观察到的已知状态取并集，记为状态集合</w:t>
      </w:r>
      <m:oMath>
        <m:sSub>
          <m:sSubPr/>
          <m:e>
            <m:r>
              <m:rPr/>
              <w:rPr>
                <w:rFonts w:ascii="Cambria Math" w:hAnsi="Cambria Math"/>
                <w:sz w:val="22"/>
              </w:rPr>
              <m:t>U</m:t>
            </m:r>
          </m:e>
          <m:sub>
            <m:r>
              <m:rPr/>
              <w:rPr>
                <w:rFonts w:ascii="Cambria Math" w:hAnsi="Cambria Math"/>
                <w:sz w:val="22"/>
              </w:rPr>
              <m:t>c</m:t>
            </m:r>
          </m:sub>
        </m:sSub>
      </m:oMath>
      <w:r>
        <w:rPr>
          <w:rFonts w:ascii="Times New Roman" w:hAnsi="Times New Roman" w:eastAsia="宋体"/>
          <w:b w:val="0"/>
          <w:sz w:val="22"/>
        </w:rPr>
        <w:t>。该并集仅统一类别状态词表和覆盖分母，不合并同一目标的两份标注；每个目标仍使用来源</w:t>
      </w:r>
      <m:oMath>
        <m:r>
          <m:rPr/>
          <w:rPr>
            <w:rFonts w:ascii="Cambria Math" w:hAnsi="Cambria Math"/>
            <w:sz w:val="22"/>
          </w:rPr>
          <m:t>r</m:t>
        </m:r>
      </m:oMath>
      <w:r>
        <w:rPr>
          <w:rFonts w:ascii="Times New Roman" w:hAnsi="Times New Roman" w:eastAsia="宋体"/>
          <w:b w:val="0"/>
          <w:sz w:val="22"/>
        </w:rPr>
        <w:t>的</w:t>
      </w:r>
      <m:oMath>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某状态只在另一来源中出现时，其在当前来源中的支持数为零。当前来源零支持的状态仍计入分母，以保证同一候选池内跨来源覆盖值使用共同词表；本文不另报仅当前来源词表的分母敏感性结果。比较不同选样规模与方法时使用相同的</w:t>
      </w:r>
      <m:oMath>
        <m:sSub>
          <m:sSubPr/>
          <m:e>
            <m:r>
              <m:rPr/>
              <w:rPr>
                <w:rFonts w:ascii="Cambria Math" w:hAnsi="Cambria Math"/>
                <w:sz w:val="22"/>
              </w:rPr>
              <m:t>U</m:t>
            </m:r>
          </m:e>
          <m:sub>
            <m:r>
              <m:rPr/>
              <w:rPr>
                <w:rFonts w:ascii="Cambria Math" w:hAnsi="Cambria Math"/>
                <w:sz w:val="22"/>
              </w:rPr>
              <m:t>c</m:t>
            </m:r>
          </m:sub>
        </m:sSub>
      </m:oMath>
      <w:r>
        <w:rPr>
          <w:rFonts w:ascii="Times New Roman" w:hAnsi="Times New Roman" w:eastAsia="宋体"/>
          <w:b w:val="0"/>
          <w:sz w:val="22"/>
        </w:rPr>
        <w:t>。对于已选目标索引集合</w:t>
      </w:r>
      <m:oMath>
        <m:r>
          <m:rPr/>
          <w:rPr>
            <w:rFonts w:ascii="Cambria Math" w:hAnsi="Cambria Math"/>
            <w:sz w:val="22"/>
          </w:rPr>
          <m:t>S</m:t>
        </m:r>
      </m:oMath>
      <w:r>
        <w:rPr>
          <w:rFonts w:ascii="Times New Roman" w:hAnsi="Times New Roman" w:eastAsia="宋体"/>
          <w:b w:val="0"/>
          <w:sz w:val="22"/>
        </w:rPr>
        <w:t>，状态</w:t>
      </w:r>
      <m:oMath>
        <m:r>
          <m:rPr/>
          <w:rPr>
            <w:rFonts w:ascii="Cambria Math" w:hAnsi="Cambria Math"/>
            <w:sz w:val="22"/>
          </w:rPr>
          <m:t>s</m:t>
        </m:r>
      </m:oMath>
      <w:r>
        <w:rPr>
          <w:rFonts w:ascii="Times New Roman" w:hAnsi="Times New Roman" w:eastAsia="宋体"/>
          <w:b w:val="0"/>
          <w:sz w:val="22"/>
        </w:rPr>
        <w:t>的支持数定义为：</w:t>
      </w:r>
    </w:p>
    <w:p w14:paraId="6567BA44">
      <w:pPr>
        <w:spacing w:before="80" w:after="140"/>
        <w:jc w:val="center"/>
      </w:pPr>
      <m:oMathPara>
        <m:oMath>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nary>
            <m:naryPr>
              <m:chr m:val="∑"/>
              <m:limLoc m:val="undOvr"/>
              <m:supHide m:val="1"/>
            </m:naryPr>
            <m:sub>
              <m:r>
                <m:rPr/>
                <w:rPr>
                  <w:rFonts w:ascii="Cambria Math" w:hAnsi="Cambria Math"/>
                  <w:sz w:val="22"/>
                </w:rPr>
                <m:t>i</m:t>
              </m:r>
              <m:r>
                <m:rPr>
                  <m:sty m:val="p"/>
                </m:rPr>
                <w:rPr>
                  <w:rFonts w:ascii="Cambria Math" w:hAnsi="Cambria Math"/>
                  <w:sz w:val="22"/>
                </w:rPr>
                <m:t>∈</m:t>
              </m:r>
              <m:r>
                <m:rPr/>
                <w:rPr>
                  <w:rFonts w:ascii="Cambria Math" w:hAnsi="Cambria Math"/>
                  <w:sz w:val="22"/>
                </w:rPr>
                <m:t>S</m:t>
              </m:r>
            </m:sub>
            <m:sup>
              <m:r>
                <m:rPr/>
                <w:rPr>
                  <w:rFonts w:ascii="Cambria Math" w:hAnsi="Cambria Math"/>
                  <w:sz w:val="22"/>
                </w:rPr>
                <m:t>​</m:t>
              </m:r>
            </m:sup>
            <m:e>
              <m:r>
                <m:rPr>
                  <m:sty m:val="b"/>
                </m:rPr>
                <w:rPr>
                  <w:rFonts w:ascii="Cambria Math" w:hAnsi="Cambria Math"/>
                  <w:sz w:val="22"/>
                </w:rPr>
                <m:t>1</m:t>
              </m:r>
            </m:e>
          </m:nary>
          <m:r>
            <m:rPr/>
            <w:rPr>
              <w:rFonts w:ascii="Cambria Math" w:hAnsi="Cambria Math"/>
              <w:sz w:val="22"/>
            </w:rPr>
            <m:t>​</m:t>
          </m:r>
          <m:d>
            <m:dPr>
              <m:begChr m:val="{"/>
              <m:sepChr m:val=""/>
              <m:endChr m:val="}"/>
            </m:dPr>
            <m:e>
              <m:sSub>
                <m:sSubPr/>
                <m:e>
                  <m:r>
                    <m:rPr/>
                    <w:rPr>
                      <w:rFonts w:ascii="Cambria Math" w:hAnsi="Cambria Math"/>
                      <w:sz w:val="22"/>
                    </w:rPr>
                    <m:t>y</m:t>
                  </m:r>
                </m:e>
                <m:sub>
                  <m:r>
                    <m:rPr/>
                    <w:rPr>
                      <w:rFonts w:ascii="Cambria Math" w:hAnsi="Cambria Math"/>
                      <w:sz w:val="22"/>
                    </w:rPr>
                    <m:t>i</m:t>
                  </m:r>
                </m:sub>
              </m:sSub>
              <m:r>
                <m:rPr>
                  <m:sty m:val="p"/>
                </m:rPr>
                <w:rPr>
                  <w:rFonts w:ascii="Cambria Math" w:hAnsi="Cambria Math"/>
                  <w:sz w:val="22"/>
                </w:rPr>
                <m:t>=</m:t>
              </m:r>
              <m:r>
                <m:rPr/>
                <w:rPr>
                  <w:rFonts w:ascii="Cambria Math" w:hAnsi="Cambria Math"/>
                  <w:sz w:val="22"/>
                </w:rPr>
                <m:t>c</m:t>
              </m:r>
            </m:e>
          </m:d>
          <m:r>
            <m:rPr/>
            <w:rPr>
              <w:rFonts w:ascii="Cambria Math" w:hAnsi="Cambria Math"/>
              <w:sz w:val="22"/>
            </w:rPr>
            <m:t> </m:t>
          </m:r>
          <m:r>
            <m:rPr>
              <m:sty m:val="b"/>
            </m:rPr>
            <w:rPr>
              <w:rFonts w:ascii="Cambria Math" w:hAnsi="Cambria Math"/>
              <w:sz w:val="22"/>
            </w:rPr>
            <m:t>1</m:t>
          </m:r>
          <m:r>
            <m:rPr/>
            <w:rPr>
              <w:rFonts w:ascii="Cambria Math" w:hAnsi="Cambria Math"/>
              <w:sz w:val="22"/>
            </w:rPr>
            <m:t>​</m:t>
          </m:r>
          <m:d>
            <m:dPr>
              <m:begChr m:val="{"/>
              <m:sepChr m:val=""/>
              <m:endChr m:val="}"/>
            </m:dPr>
            <m:e>
              <m:r>
                <m:rPr/>
                <w:rPr>
                  <w:rFonts w:ascii="Cambria Math" w:hAnsi="Cambria Math"/>
                  <w:sz w:val="22"/>
                </w:rPr>
                <m:t>s</m:t>
              </m:r>
              <m:r>
                <m:rPr>
                  <m:sty m:val="p"/>
                </m:rPr>
                <w:rPr>
                  <w:rFonts w:ascii="Cambria Math" w:hAnsi="Cambria Math"/>
                  <w:sz w:val="22"/>
                </w:rPr>
                <m:t>∈</m:t>
              </m:r>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d>
          <m:r>
            <m:rPr>
              <m:sty m:val="p"/>
            </m:rPr>
            <w:rPr>
              <w:rFonts w:ascii="Cambria Math" w:hAnsi="Cambria Math"/>
              <w:sz w:val="22"/>
            </w:rPr>
            <m:t>.</m:t>
          </m:r>
        </m:oMath>
      </m:oMathPara>
    </w:p>
    <w:p w14:paraId="354C7E18">
      <w:pPr>
        <w:keepNext/>
        <w:keepLines/>
        <w:spacing w:after="100" w:line="312" w:lineRule="auto"/>
        <w:ind w:firstLine="425"/>
      </w:pPr>
      <w:r>
        <w:rPr>
          <w:rFonts w:ascii="Times New Roman" w:hAnsi="Times New Roman" w:eastAsia="宋体"/>
          <w:b w:val="0"/>
          <w:sz w:val="22"/>
        </w:rPr>
        <w:t>其中，</w:t>
      </w:r>
      <m:oMath>
        <m:r>
          <m:rPr>
            <m:sty m:val="b"/>
          </m:rPr>
          <w:rPr>
            <w:rFonts w:ascii="Cambria Math" w:hAnsi="Cambria Math"/>
            <w:sz w:val="22"/>
          </w:rPr>
          <m:t>1</m:t>
        </m:r>
        <m:r>
          <m:rPr/>
          <w:rPr>
            <w:rFonts w:ascii="Cambria Math" w:hAnsi="Cambria Math"/>
            <w:sz w:val="22"/>
          </w:rPr>
          <m:t>​</m:t>
        </m:r>
        <m:d>
          <m:dPr>
            <m:begChr m:val="{"/>
            <m:sepChr m:val=""/>
            <m:endChr m:val="}"/>
          </m:dPr>
          <m:e>
            <m:r>
              <m:rPr>
                <m:sty m:val="p"/>
              </m:rPr>
              <w:rPr>
                <w:rFonts w:ascii="Cambria Math" w:hAnsi="Cambria Math"/>
                <w:sz w:val="22"/>
              </w:rPr>
              <m:t>⋅</m:t>
            </m:r>
          </m:e>
        </m:d>
      </m:oMath>
      <w:r>
        <w:rPr>
          <w:rFonts w:ascii="Times New Roman" w:hAnsi="Times New Roman" w:eastAsia="宋体"/>
          <w:b w:val="0"/>
          <w:sz w:val="22"/>
        </w:rPr>
        <w:t>为指示函数。采用支持数饱和的频次覆盖指标：</w:t>
      </w:r>
    </w:p>
    <w:p w14:paraId="356B7B4A">
      <w:pPr>
        <w:spacing w:before="80" w:after="140"/>
        <w:jc w:val="center"/>
      </w:pPr>
      <m:oMathPara>
        <m:oMath>
          <m:eqArr>
            <m:eqArrPr/>
            <m:e>
              <m:sSubSup>
                <m:sSubSupPr/>
                <m:e>
                  <m:r>
                    <m:rPr/>
                    <w:rPr>
                      <w:rFonts w:ascii="Cambria Math" w:hAnsi="Cambria Math"/>
                      <w:sz w:val="22"/>
                    </w:rPr>
                    <m:t>C</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&amp;</m:t>
              </m:r>
              <m:r>
                <m:rPr>
                  <m:sty m:val="p"/>
                </m:rPr>
                <w:rPr>
                  <w:rFonts w:ascii="Cambria Math" w:hAnsi="Cambria Math"/>
                  <w:sz w:val="22"/>
                </w:rPr>
                <m:t>=</m:t>
              </m:r>
              <m:f>
                <m:fPr/>
                <m:num>
                  <m:r>
                    <m:rPr/>
                    <w:rPr>
                      <w:rFonts w:ascii="Cambria Math" w:hAnsi="Cambria Math"/>
                      <w:sz w:val="22"/>
                    </w:rPr>
                    <m:t>1</m:t>
                  </m:r>
                </m:num>
                <m:den>
                  <m:r>
                    <m:rPr>
                      <m:sty m:val="p"/>
                    </m:rPr>
                    <w:rPr>
                      <w:rFonts w:ascii="Cambria Math" w:hAnsi="Cambria Math"/>
                      <w:sz w:val="22"/>
                    </w:rPr>
                    <m:t>|</m:t>
                  </m:r>
                  <m:sSub>
                    <m:sSubPr/>
                    <m:e>
                      <m:r>
                        <m:rPr/>
                        <w:rPr>
                          <w:rFonts w:ascii="Cambria Math" w:hAnsi="Cambria Math"/>
                          <w:sz w:val="22"/>
                        </w:rPr>
                        <m:t>U</m:t>
                      </m:r>
                    </m:e>
                    <m:sub>
                      <m:r>
                        <m:rPr/>
                        <w:rPr>
                          <w:rFonts w:ascii="Cambria Math" w:hAnsi="Cambria Math"/>
                          <w:sz w:val="22"/>
                        </w:rPr>
                        <m:t>c</m:t>
                      </m:r>
                    </m:sub>
                  </m:sSub>
                  <m:r>
                    <m:rPr>
                      <m:sty m:val="p"/>
                    </m:rPr>
                    <w:rPr>
                      <w:rFonts w:ascii="Cambria Math" w:hAnsi="Cambria Math"/>
                      <w:sz w:val="22"/>
                    </w:rPr>
                    <m:t>|</m:t>
                  </m:r>
                </m:den>
              </m:f>
              <m:nary>
                <m:naryPr>
                  <m:chr m:val="∑"/>
                  <m:limLoc m:val="undOvr"/>
                  <m:supHide m:val="1"/>
                </m:naryPr>
                <m:sub>
                  <m:r>
                    <m:rPr/>
                    <w:rPr>
                      <w:rFonts w:ascii="Cambria Math" w:hAnsi="Cambria Math"/>
                      <w:sz w:val="22"/>
                    </w:rPr>
                    <m:t>s</m:t>
                  </m:r>
                  <m:r>
                    <m:rPr>
                      <m:sty m:val="p"/>
                    </m:rPr>
                    <w:rPr>
                      <w:rFonts w:ascii="Cambria Math" w:hAnsi="Cambria Math"/>
                      <w:sz w:val="22"/>
                    </w:rPr>
                    <m:t>∈</m:t>
                  </m:r>
                  <m:sSub>
                    <m:sSubPr/>
                    <m:e>
                      <m:r>
                        <m:rPr/>
                        <w:rPr>
                          <w:rFonts w:ascii="Cambria Math" w:hAnsi="Cambria Math"/>
                          <w:sz w:val="22"/>
                        </w:rPr>
                        <m:t>U</m:t>
                      </m:r>
                    </m:e>
                    <m:sub>
                      <m:r>
                        <m:rPr/>
                        <w:rPr>
                          <w:rFonts w:ascii="Cambria Math" w:hAnsi="Cambria Math"/>
                          <w:sz w:val="22"/>
                        </w:rPr>
                        <m:t>c</m:t>
                      </m:r>
                    </m:sub>
                  </m:sSub>
                </m:sub>
                <m:sup>
                  <m:r>
                    <m:rPr/>
                    <w:rPr>
                      <w:rFonts w:ascii="Cambria Math" w:hAnsi="Cambria Math"/>
                      <w:sz w:val="22"/>
                    </w:rPr>
                    <m:t>​</m:t>
                  </m:r>
                </m:sup>
                <m:e>
                  <m:r>
                    <m:rPr>
                      <m:sty m:val="p"/>
                    </m:rPr>
                    <w:rPr>
                      <w:rFonts w:ascii="Cambria Math" w:hAnsi="Cambria Math"/>
                      <w:sz w:val="22"/>
                    </w:rPr>
                    <m:t>min</m:t>
                  </m:r>
                </m:e>
              </m:nary>
              <m:d>
                <m:dPr>
                  <m:sepChr m:val=""/>
                </m:dPr>
                <m:e>
                  <m:f>
                    <m:fPr/>
                    <m:num>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num>
                    <m:den>
                      <m:r>
                        <m:rPr/>
                        <w:rPr>
                          <w:rFonts w:ascii="Cambria Math" w:hAnsi="Cambria Math"/>
                          <w:sz w:val="22"/>
                        </w:rPr>
                        <m:t>τ</m:t>
                      </m:r>
                    </m:den>
                  </m:f>
                  <m:r>
                    <m:rPr>
                      <m:sty m:val="p"/>
                    </m:rPr>
                    <w:rPr>
                      <w:rFonts w:ascii="Cambria Math" w:hAnsi="Cambria Math"/>
                      <w:sz w:val="22"/>
                    </w:rPr>
                    <m:t>,</m:t>
                  </m:r>
                  <m:r>
                    <m:rPr/>
                    <w:rPr>
                      <w:rFonts w:ascii="Cambria Math" w:hAnsi="Cambria Math"/>
                      <w:sz w:val="22"/>
                    </w:rPr>
                    <m:t>1</m:t>
                  </m:r>
                </m:e>
              </m:d>
              <m:r>
                <m:rPr>
                  <m:sty m:val="p"/>
                </m:rPr>
                <w:rPr>
                  <w:rFonts w:ascii="Cambria Math" w:hAnsi="Cambria Math"/>
                  <w:sz w:val="22"/>
                </w:rPr>
                <m:t>,</m:t>
              </m:r>
            </m:e>
            <m:e>
              <m:sSup>
                <m:sSupPr/>
                <m:e>
                  <m:r>
                    <m:rPr/>
                    <w:rPr>
                      <w:rFonts w:ascii="Cambria Math" w:hAnsi="Cambria Math"/>
                      <w:sz w:val="22"/>
                    </w:rPr>
                    <m:t>C</m:t>
                  </m:r>
                </m:e>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&amp;</m:t>
              </m:r>
              <m:r>
                <m:rPr>
                  <m:sty m:val="p"/>
                </m:rPr>
                <w:rPr>
                  <w:rFonts w:ascii="Cambria Math" w:hAnsi="Cambria Math"/>
                  <w:sz w:val="22"/>
                </w:rPr>
                <m:t>=</m:t>
              </m:r>
              <m:f>
                <m:fPr/>
                <m:num>
                  <m:r>
                    <m:rPr/>
                    <w:rPr>
                      <w:rFonts w:ascii="Cambria Math" w:hAnsi="Cambria Math"/>
                      <w:sz w:val="22"/>
                    </w:rPr>
                    <m:t>1</m:t>
                  </m:r>
                </m:num>
                <m:den>
                  <m:r>
                    <m:rPr/>
                    <w:rPr>
                      <w:rFonts w:ascii="Cambria Math" w:hAnsi="Cambria Math"/>
                      <w:sz w:val="22"/>
                    </w:rPr>
                    <m:t>K</m:t>
                  </m:r>
                </m:den>
              </m:f>
              <m:nary>
                <m:naryPr>
                  <m:chr m:val="∑"/>
                  <m:limLoc m:val="undOvr"/>
                </m:naryPr>
                <m:sub>
                  <m:r>
                    <m:rPr/>
                    <w:rPr>
                      <w:rFonts w:ascii="Cambria Math" w:hAnsi="Cambria Math"/>
                      <w:sz w:val="22"/>
                    </w:rPr>
                    <m:t>c</m:t>
                  </m:r>
                  <m:r>
                    <m:rPr>
                      <m:sty m:val="p"/>
                    </m:rPr>
                    <w:rPr>
                      <w:rFonts w:ascii="Cambria Math" w:hAnsi="Cambria Math"/>
                      <w:sz w:val="22"/>
                    </w:rPr>
                    <m:t>=</m:t>
                  </m:r>
                  <m:r>
                    <m:rPr/>
                    <w:rPr>
                      <w:rFonts w:ascii="Cambria Math" w:hAnsi="Cambria Math"/>
                      <w:sz w:val="22"/>
                    </w:rPr>
                    <m:t>1</m:t>
                  </m:r>
                </m:sub>
                <m:sup>
                  <m:r>
                    <m:rPr/>
                    <w:rPr>
                      <w:rFonts w:ascii="Cambria Math" w:hAnsi="Cambria Math"/>
                      <w:sz w:val="22"/>
                    </w:rPr>
                    <m:t>K</m:t>
                  </m:r>
                </m:sup>
                <m:e>
                  <m:sSubSup>
                    <m:sSubSupPr/>
                    <m:e>
                      <m:r>
                        <m:rPr/>
                        <w:rPr>
                          <w:rFonts w:ascii="Cambria Math" w:hAnsi="Cambria Math"/>
                          <w:sz w:val="22"/>
                        </w:rPr>
                        <m:t>C</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nary>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e>
          </m:eqArr>
        </m:oMath>
      </m:oMathPara>
    </w:p>
    <w:p w14:paraId="71668F71">
      <w:pPr>
        <w:keepLines/>
        <w:spacing w:after="100" w:line="312" w:lineRule="auto"/>
        <w:ind w:firstLine="425"/>
      </w:pPr>
      <m:oMath>
        <m:r>
          <w:rPr>
            <w:rFonts w:ascii="Cambria Math" w:hAnsi="Cambria Math"/>
            <w:sz w:val="22"/>
          </w:rPr>
          <m:t>τ</m:t>
        </m:r>
      </m:oMath>
      <w:r>
        <w:rPr>
          <w:rFonts w:ascii="Times New Roman" w:hAnsi="Times New Roman" w:eastAsia="宋体"/>
          <w:b w:val="0"/>
          <w:sz w:val="22"/>
        </w:rPr>
        <w:t>为状态支持的饱和阈值，当前实现预先固定为20，并在各候选池中沿用。每个状态的覆盖贡献随支持数增加，达到20个目标后不再增长，以限制高频状态重复出现对覆盖值的持续贡献。该取值为统一的操作性参数；现有分析未系统改变该阈值，尚不能据此确认其最优性或不同取值下的覆盖排序稳定性。同一候选池内比较不同方法和选样规模时，使用相同的</w:t>
      </w:r>
      <m:oMath>
        <m:r>
          <w:rPr>
            <w:rFonts w:ascii="Cambria Math" w:hAnsi="Cambria Math"/>
            <w:sz w:val="22"/>
          </w:rPr>
          <m:t>τ</m:t>
        </m:r>
      </m:oMath>
      <w:r>
        <w:rPr>
          <w:rFonts w:ascii="Times New Roman" w:hAnsi="Times New Roman" w:eastAsia="宋体"/>
          <w:b w:val="0"/>
          <w:sz w:val="22"/>
        </w:rPr>
        <w:t>与状态集合。改变</w:t>
      </w:r>
      <m:oMath>
        <m:r>
          <w:rPr>
            <w:rFonts w:ascii="Cambria Math" w:hAnsi="Cambria Math"/>
            <w:sz w:val="22"/>
          </w:rPr>
          <m:t>τ</m:t>
        </m:r>
      </m:oMath>
      <w:r>
        <w:rPr>
          <w:rFonts w:ascii="Times New Roman" w:hAnsi="Times New Roman" w:eastAsia="宋体"/>
          <w:b w:val="0"/>
          <w:sz w:val="22"/>
        </w:rPr>
        <w:t>将同时影响覆盖值及贪心选样中的饱和条件，相关比较需明确采用的阈值。</w:t>
      </w:r>
    </w:p>
    <w:p>
      <w:pPr>
        <w:keepLines/>
        <w:spacing w:after="100" w:line="312" w:lineRule="auto"/>
        <w:ind w:firstLine="425"/>
      </w:pPr>
      <w:r>
        <w:rPr>
          <w:rFonts w:ascii="Times New Roman" w:hAnsi="Times New Roman" w:eastAsia="宋体"/>
          <w:b w:val="0"/>
          <w:sz w:val="22"/>
        </w:rPr>
        <w:t>先在类别内平均，再在类别间平均，以避免样本较多的类别主导总体覆盖。该指标对状态等权，并在类别间宏平均，未在字段内再次归一化。因此，枚举状态较多的字段具有更大的潜在总贡献；多值字段的一次标注也可支持多个不同状态。该指标描述当前词表与候选池中的单状态证据，不评价全部状态组合；状态集合不同的覆盖百分比不直接比较。</w:t>
      </w:r>
    </w:p>
    <w:p w14:paraId="3EF2AFA8">
      <w:pPr>
        <w:pStyle w:val="4"/>
        <w:spacing w:before="180" w:after="100"/>
        <w:rPr>
          <w:rFonts w:hint="eastAsia" w:ascii="黑体" w:hAnsi="黑体" w:eastAsia="黑体" w:cs="黑体"/>
        </w:rPr>
      </w:pPr>
      <w:r>
        <w:rPr>
          <w:rFonts w:hint="eastAsia" w:ascii="黑体" w:hAnsi="黑体" w:eastAsia="黑体" w:cs="黑体"/>
        </w:rPr>
        <w:t>3.3.2 稀缺状态增益与贪心选样</w:t>
      </w:r>
    </w:p>
    <w:p w14:paraId="52041E7D">
      <w:pPr>
        <w:keepNext/>
        <w:keepLines/>
        <w:spacing w:after="100" w:line="312" w:lineRule="auto"/>
        <w:ind w:firstLine="425"/>
      </w:pPr>
      <w:r>
        <w:rPr>
          <w:rFonts w:ascii="Times New Roman" w:hAnsi="Times New Roman" w:eastAsia="宋体"/>
          <w:b w:val="0"/>
          <w:sz w:val="22"/>
        </w:rPr>
        <w:t>为优先增加支持不足状态的测试证据，在类别</w:t>
      </w:r>
      <m:oMath>
        <m:r>
          <m:rPr/>
          <w:rPr>
            <w:rFonts w:ascii="Cambria Math" w:hAnsi="Cambria Math"/>
            <w:sz w:val="22"/>
          </w:rPr>
          <m:t>c</m:t>
        </m:r>
      </m:oMath>
      <w:r>
        <w:rPr>
          <w:rFonts w:ascii="Times New Roman" w:hAnsi="Times New Roman" w:eastAsia="宋体"/>
          <w:b w:val="0"/>
          <w:sz w:val="22"/>
        </w:rPr>
        <w:t>内计算候选目标</w:t>
      </w:r>
      <m:oMath>
        <m:r>
          <m:rPr/>
          <w:rPr>
            <w:rFonts w:ascii="Cambria Math" w:hAnsi="Cambria Math"/>
            <w:sz w:val="22"/>
          </w:rPr>
          <m:t>i</m:t>
        </m:r>
      </m:oMath>
      <w:r>
        <w:rPr>
          <w:rFonts w:ascii="Times New Roman" w:hAnsi="Times New Roman" w:eastAsia="宋体"/>
          <w:b w:val="0"/>
          <w:sz w:val="22"/>
        </w:rPr>
        <w:t>相对于当前集合</w:t>
      </w:r>
      <m:oMath>
        <m:r>
          <m:rPr/>
          <w:rPr>
            <w:rFonts w:ascii="Cambria Math" w:hAnsi="Cambria Math"/>
            <w:sz w:val="22"/>
          </w:rPr>
          <m:t>S</m:t>
        </m:r>
      </m:oMath>
      <w:r>
        <w:rPr>
          <w:rFonts w:ascii="Times New Roman" w:hAnsi="Times New Roman" w:eastAsia="宋体"/>
          <w:b w:val="0"/>
          <w:sz w:val="22"/>
        </w:rPr>
        <w:t>的增益：</w:t>
      </w:r>
    </w:p>
    <w:p w14:paraId="3173EC3C">
      <w:pPr>
        <w:spacing w:before="80" w:after="140"/>
        <w:jc w:val="center"/>
      </w:pPr>
      <m:oMathPara>
        <m:oMath>
          <m:sSubSup>
            <m:sSubSupPr/>
            <m:e>
              <m:r>
                <m:rPr/>
                <w:rPr>
                  <w:rFonts w:ascii="Cambria Math" w:hAnsi="Cambria Math"/>
                  <w:sz w:val="22"/>
                </w:rPr>
                <m:t>g</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d>
            <m:dPr>
              <m:sepChr m:val=""/>
            </m:dPr>
            <m:e>
              <m:r>
                <m:rPr/>
                <w:rPr>
                  <w:rFonts w:ascii="Cambria Math" w:hAnsi="Cambria Math"/>
                  <w:sz w:val="22"/>
                </w:rPr>
                <m:t>i</m:t>
              </m:r>
              <m:r>
                <m:rPr>
                  <m:sty m:val="p"/>
                </m:rPr>
                <w:rPr>
                  <w:rFonts w:ascii="Cambria Math" w:hAnsi="Cambria Math"/>
                  <w:sz w:val="22"/>
                </w:rPr>
                <m:t>∣</m:t>
              </m:r>
              <m:r>
                <m:rPr/>
                <w:rPr>
                  <w:rFonts w:ascii="Cambria Math" w:hAnsi="Cambria Math"/>
                  <w:sz w:val="22"/>
                </w:rPr>
                <m:t>S</m:t>
              </m:r>
            </m:e>
          </m:d>
          <m:r>
            <m:rPr>
              <m:sty m:val="p"/>
            </m:rPr>
            <w:rPr>
              <w:rFonts w:ascii="Cambria Math" w:hAnsi="Cambria Math"/>
              <w:sz w:val="22"/>
            </w:rPr>
            <m:t>=</m:t>
          </m:r>
          <m:nary>
            <m:naryPr>
              <m:chr m:val="∑"/>
              <m:limLoc m:val="undOvr"/>
              <m:supHide m:val="1"/>
            </m:naryPr>
            <m:sub>
              <m:m>
                <m:mPr>
                  <m:mcs>
                    <m:mc>
                      <m:mcPr>
                        <m:count m:val="1"/>
                        <m:mcJc m:val="center"/>
                      </m:mcPr>
                    </m:mc>
                  </m:mcs>
                  <m:plcHide m:val="1"/>
                </m:mPr>
                <m:mr>
                  <m:e>
                    <m:r>
                      <m:rPr/>
                      <w:rPr>
                        <w:rFonts w:ascii="Cambria Math" w:hAnsi="Cambria Math"/>
                        <w:sz w:val="22"/>
                      </w:rPr>
                      <m:t>s</m:t>
                    </m:r>
                    <m:r>
                      <m:rPr>
                        <m:sty m:val="p"/>
                      </m:rPr>
                      <w:rPr>
                        <w:rFonts w:ascii="Cambria Math" w:hAnsi="Cambria Math"/>
                        <w:sz w:val="22"/>
                      </w:rPr>
                      <m:t>∈</m:t>
                    </m:r>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mr>
                <m:m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)&lt;</m:t>
                    </m:r>
                    <m:r>
                      <m:rPr/>
                      <w:rPr>
                        <w:rFonts w:ascii="Cambria Math" w:hAnsi="Cambria Math"/>
                        <w:sz w:val="22"/>
                      </w:rPr>
                      <m:t>τ</m:t>
                    </m:r>
                  </m:e>
                </m:mr>
              </m:m>
            </m:sub>
            <m:sup>
              <m:r>
                <m:rPr/>
                <w:rPr>
                  <w:rFonts w:ascii="Cambria Math" w:hAnsi="Cambria Math"/>
                  <w:sz w:val="22"/>
                </w:rPr>
                <m:t>​</m:t>
              </m:r>
            </m:sup>
            <m:e>
              <m:d>
                <m:dPr>
                  <m:begChr m:val="["/>
                  <m:sepChr m:val=""/>
                  <m:endChr m:val="]"/>
                </m:dPr>
                <m:e>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2</m:t>
                      </m:r>
                    </m:e>
                  </m:d>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1</m:t>
                      </m:r>
                    </m:e>
                  </m:d>
                </m:e>
              </m:d>
            </m:e>
          </m:nary>
          <m:r>
            <m:rPr>
              <m:sty m:val="p"/>
            </m:rPr>
            <w:rPr>
              <w:rFonts w:ascii="Cambria Math" w:hAnsi="Cambria Math"/>
              <w:sz w:val="22"/>
            </w:rPr>
            <m:t>.</m:t>
          </m:r>
        </m:oMath>
      </m:oMathPara>
    </w:p>
    <w:p w14:paraId="5D85C129">
      <w:pPr>
        <w:keepLines/>
        <w:spacing w:after="100" w:line="312" w:lineRule="auto"/>
        <w:ind w:firstLine="425"/>
      </w:pPr>
      <w:r>
        <w:rPr>
          <w:rFonts w:ascii="Times New Roman" w:hAnsi="Times New Roman" w:eastAsia="宋体"/>
          <w:b w:val="0"/>
          <w:sz w:val="22"/>
        </w:rPr>
        <w:t>每个未饱和状态的增益为</w:t>
      </w:r>
      <m:oMath>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2</m:t>
            </m:r>
          </m:e>
        </m:d>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1</m:t>
            </m:r>
          </m:e>
        </m:d>
      </m:oMath>
      <w:r>
        <w:rPr>
          <w:rFonts w:ascii="Times New Roman" w:hAnsi="Times New Roman" w:eastAsia="宋体"/>
          <w:b w:val="0"/>
          <w:sz w:val="22"/>
        </w:rPr>
        <w:t>，随已有支持数增加而减小，因此支持较少的状态获得较大的边际增益。选样初始集合为空，状态计数为零。在每轮中，仅从当前风险层内、尚未选中且所在风险格仍有剩余配额的目标中选择增益最大的目标，并更新状态计数。增益相同时按目标ID排序，保证给定输入下选样次序确定。按Q1至Q5依次完成各层配额，状态计数在同一类别内跨风险层累计。</w:t>
      </w:r>
    </w:p>
    <w:p w14:paraId="7A1D209F">
      <w:pPr>
        <w:keepLines/>
        <w:spacing w:after="100" w:line="312" w:lineRule="auto"/>
        <w:ind w:firstLine="425"/>
      </w:pPr>
      <w:r>
        <w:rPr>
          <w:rFonts w:ascii="Times New Roman" w:hAnsi="Times New Roman" w:eastAsia="宋体"/>
          <w:b w:val="0"/>
          <w:sz w:val="22"/>
        </w:rPr>
        <w:t>在独立确认的选样对照中，各方法使用共同的类别、风险层及风险格配额。风险格由采用unknown中点处理的风险分值与未知维数的二元组合定义；各层格内配额依据候选数量比例和最大余数法预先分配。贪心选择的可行集合由当前风险层和格内剩余配额限定。每层完成后检查实际风险格频数是否等于预定配额；本文共同配额比较的预算点位于完整层配额的完成边界，因此各方法在这些预算点具有相同的风险格频数。任意截取某层内部的前缀不自动满足该条件。风险评分及风险层构造见第3.4节。发现阶段的匹配对照以覆盖选样结果的风险格频数作为随机选样配额，两种配额设置的适用实验分别说明。</w:t>
      </w:r>
    </w:p>
    <w:p>
      <w:pPr>
        <w:keepLines/>
        <w:spacing w:after="100" w:line="312" w:lineRule="auto"/>
        <w:ind w:firstLine="425"/>
      </w:pPr>
      <w:r>
        <w:rPr>
          <w:rFonts w:ascii="Times New Roman" w:hAnsi="Times New Roman" w:eastAsia="宋体"/>
          <w:b w:val="0"/>
          <w:sz w:val="22"/>
        </w:rPr>
        <w:t>以一个简化示例说明配额约束。假设某类别有100个候选目标，Q1—Q5各包含20个目标，每层计划选择6个。某层内三个风险格分别包含9、7、4个候选，按比例分配得到2.7、2.1、1.2个名额。采用最大余数法，先取整数部分，再将剩余名额分配给余数最大的风险格，最终配额为3、2、1。每轮从当前层所有尚有剩余格配额的候选中比较覆盖增益，选择增益最大的目标；某格配额用满后，该格剩余目标不再参与选择。完成当前层的6个名额后进入下一层，状态支持数继续累计。该例仅说明算法约束，不代表实际实验规模。</w:t>
      </w:r>
    </w:p>
    <w:p>
      <w:pPr>
        <w:keepLines/>
        <w:spacing w:after="100" w:line="312" w:lineRule="auto"/>
        <w:ind w:firstLine="425"/>
      </w:pPr>
      <w:r>
        <w:rPr>
          <w:rFonts w:ascii="Times New Roman" w:hAnsi="Times New Roman" w:eastAsia="宋体"/>
          <w:b w:val="0"/>
          <w:sz w:val="22"/>
        </w:rPr>
        <w:t>在共同配额选样中，风险层和风险格配额限定候选目标的可选范围，覆盖增益决定该范围内的选择优先级。因此，该过程是风险配额约束下的条件贪心选择，其覆盖结果描述给定风险构成下所选集合的状态证据分布。风险与覆盖承担不同功能，并不意味着二者在统计上独立。覆盖指标本身仍可用于评价其他目标集合，并不限于该选样过程。</w:t>
      </w:r>
    </w:p>
    <w:p w14:paraId="3B718656">
      <w:pPr>
        <w:keepNext/>
        <w:keepLines/>
        <w:spacing w:after="100" w:line="312" w:lineRule="auto"/>
      </w:pPr>
      <w:r>
        <w:rPr>
          <w:rFonts w:ascii="Times New Roman" w:hAnsi="Times New Roman" w:eastAsia="宋体"/>
          <w:b w:val="0"/>
          <w:sz w:val="18"/>
        </w:rPr>
        <w:t>算法1给出主覆盖选样的执行过程。设单一来源、单一类别的候选数为</w:t>
      </w:r>
      <m:oMath>
        <m:r>
          <m:rPr/>
          <w:rPr>
            <w:rFonts w:ascii="Cambria Math" w:hAnsi="Cambria Math"/>
            <w:sz w:val="22"/>
          </w:rPr>
          <m:t>n</m:t>
        </m:r>
      </m:oMath>
      <w:r>
        <w:rPr>
          <w:rFonts w:ascii="Times New Roman" w:hAnsi="Times New Roman" w:eastAsia="宋体"/>
          <w:b w:val="0"/>
          <w:sz w:val="18"/>
        </w:rPr>
        <w:t>，状态数为</w:t>
      </w:r>
      <m:oMath>
        <m:r>
          <m:rPr/>
          <w:rPr>
            <w:rFonts w:ascii="Cambria Math" w:hAnsi="Cambria Math"/>
            <w:sz w:val="22"/>
          </w:rPr>
          <m:t>v</m:t>
        </m:r>
      </m:oMath>
      <w:r>
        <w:rPr>
          <w:rFonts w:ascii="Times New Roman" w:hAnsi="Times New Roman" w:eastAsia="宋体"/>
          <w:b w:val="0"/>
          <w:sz w:val="18"/>
        </w:rPr>
        <w:t>，选出目标数为</w:t>
      </w:r>
      <m:oMath>
        <m:r>
          <m:rPr/>
          <w:rPr>
            <w:rFonts w:ascii="Cambria Math" w:hAnsi="Cambria Math"/>
            <w:sz w:val="22"/>
          </w:rPr>
          <m:t>t</m:t>
        </m:r>
      </m:oMath>
      <w:r>
        <w:rPr>
          <w:rFonts w:ascii="Times New Roman" w:hAnsi="Times New Roman" w:eastAsia="宋体"/>
          <w:b w:val="0"/>
          <w:sz w:val="18"/>
        </w:rPr>
        <w:t>。当前实现逐轮扫描可行目标并重新计算状态增益，贪心部分时间上界为</w:t>
      </w:r>
      <m:oMath>
        <m:r>
          <m:rPr/>
          <w:rPr>
            <w:rFonts w:ascii="Cambria Math" w:hAnsi="Cambria Math"/>
            <w:sz w:val="22"/>
          </w:rPr>
          <m:t>O</m:t>
        </m:r>
        <m:r>
          <m:rPr>
            <m:sty m:val="p"/>
          </m:rPr>
          <w:rPr>
            <w:rFonts w:ascii="Cambria Math" w:hAnsi="Cambria Math"/>
            <w:sz w:val="22"/>
          </w:rPr>
          <m:t>(</m:t>
        </m:r>
        <m:r>
          <m:rPr/>
          <w:rPr>
            <w:rFonts w:ascii="Cambria Math" w:hAnsi="Cambria Math"/>
            <w:sz w:val="22"/>
          </w:rPr>
          <m:t>tnv</m:t>
        </m:r>
        <m:r>
          <m:rPr>
            <m:sty m:val="p"/>
          </m:rPr>
          <w:rPr>
            <w:rFonts w:ascii="Cambria Math" w:hAnsi="Cambria Math"/>
            <w:sz w:val="22"/>
          </w:rPr>
          <m:t>)</m:t>
        </m:r>
      </m:oMath>
      <w:r>
        <w:rPr>
          <w:rFonts w:ascii="Times New Roman" w:hAnsi="Times New Roman" w:eastAsia="宋体"/>
          <w:b w:val="0"/>
          <w:sz w:val="18"/>
        </w:rPr>
        <w:t>；风险排序另需</w:t>
      </w:r>
      <m:oMath>
        <m:r>
          <m:rPr/>
          <w:rPr>
            <w:rFonts w:ascii="Cambria Math" w:hAnsi="Cambria Math"/>
            <w:sz w:val="22"/>
          </w:rPr>
          <m:t>O</m:t>
        </m:r>
        <m:r>
          <m:rPr>
            <m:sty m:val="p"/>
          </m:rPr>
          <w:rPr>
            <w:rFonts w:ascii="Cambria Math" w:hAnsi="Cambria Math"/>
            <w:sz w:val="22"/>
          </w:rPr>
          <m:t>(</m:t>
        </m:r>
        <m:r>
          <m:rPr/>
          <w:rPr>
            <w:rFonts w:ascii="Cambria Math" w:hAnsi="Cambria Math"/>
            <w:sz w:val="22"/>
          </w:rPr>
          <m:t>n</m:t>
        </m:r>
        <m:r>
          <m:rPr>
            <m:sty m:val="p"/>
          </m:rPr>
          <w:rPr>
            <w:rFonts w:ascii="Cambria Math" w:hAnsi="Cambria Math"/>
            <w:sz w:val="22"/>
          </w:rPr>
          <m:t>log</m:t>
        </m:r>
        <m:r>
          <m:rPr/>
          <w:rPr>
            <w:rFonts w:ascii="Cambria Math" w:hAnsi="Cambria Math"/>
            <w:sz w:val="22"/>
          </w:rPr>
          <m:t>n</m:t>
        </m:r>
        <m:r>
          <m:rPr>
            <m:sty m:val="p"/>
          </m:rPr>
          <w:rPr>
            <w:rFonts w:ascii="Cambria Math" w:hAnsi="Cambria Math"/>
            <w:sz w:val="22"/>
          </w:rPr>
          <m:t>)</m:t>
        </m:r>
      </m:oMath>
      <w:r>
        <w:rPr>
          <w:rFonts w:ascii="Times New Roman" w:hAnsi="Times New Roman" w:eastAsia="宋体"/>
          <w:b w:val="0"/>
          <w:sz w:val="18"/>
        </w:rPr>
        <w:t>。稠密状态矩阵及选样记录的空间上界为</w:t>
      </w:r>
      <m:oMath>
        <m:r>
          <m:rPr/>
          <w:rPr>
            <w:rFonts w:ascii="Cambria Math" w:hAnsi="Cambria Math"/>
            <w:sz w:val="22"/>
          </w:rPr>
          <m:t>O</m:t>
        </m:r>
        <m:r>
          <m:rPr>
            <m:sty m:val="p"/>
          </m:rPr>
          <w:rPr>
            <w:rFonts w:ascii="Cambria Math" w:hAnsi="Cambria Math"/>
            <w:sz w:val="22"/>
          </w:rPr>
          <m:t>(</m:t>
        </m:r>
        <m:r>
          <m:rPr/>
          <w:rPr>
            <w:rFonts w:ascii="Cambria Math" w:hAnsi="Cambria Math"/>
            <w:sz w:val="22"/>
          </w:rPr>
          <m:t>nv</m:t>
        </m:r>
        <m:r>
          <m:rPr>
            <m:sty m:val="p"/>
          </m:rPr>
          <w:rPr>
            <w:rFonts w:ascii="Cambria Math" w:hAnsi="Cambria Math"/>
            <w:sz w:val="22"/>
          </w:rPr>
          <m:t>+</m:t>
        </m:r>
        <m:r>
          <m:rPr/>
          <w:rPr>
            <w:rFonts w:ascii="Cambria Math" w:hAnsi="Cambria Math"/>
            <w:sz w:val="22"/>
          </w:rPr>
          <m:t>n</m:t>
        </m:r>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oMath>
      <w:r>
        <w:rPr>
          <w:rFonts w:ascii="Times New Roman" w:hAnsi="Times New Roman" w:eastAsia="宋体"/>
          <w:b w:val="0"/>
          <w:sz w:val="18"/>
        </w:rPr>
        <w:t>。该分析不包含VLM标注和分类器表征提取的计算成本。</w:t>
      </w:r>
    </w:p>
    <w:p w14:paraId="7FD2F210">
      <w:pPr>
        <w:keepNext/>
        <w:keepLines/>
        <w:spacing w:after="100" w:line="312" w:lineRule="auto"/>
      </w:pPr>
      <w:r>
        <w:rPr>
          <w:rFonts w:ascii="Times New Roman" w:hAnsi="Times New Roman" w:eastAsia="宋体"/>
          <w:b w:val="0"/>
          <w:sz w:val="18"/>
        </w:rPr>
        <w:t>算法1　共同风险配额约束下的覆盖引导贪心选择。</w:t>
      </w:r>
    </w:p>
    <w:p w14:paraId="34C6BFBD">
      <w:pPr>
        <w:keepNext/>
        <w:keepLines/>
        <w:spacing w:after="40" w:line="276" w:lineRule="auto"/>
        <w:ind w:left="0" w:firstLine="0"/>
      </w:pPr>
      <w:r>
        <w:rPr>
          <w:rFonts w:ascii="Times New Roman" w:hAnsi="Times New Roman" w:eastAsia="宋体"/>
          <w:b w:val="0"/>
          <w:sz w:val="20"/>
        </w:rPr>
        <w:t>输入：指定来源</w:t>
      </w:r>
      <m:oMath>
        <m:r>
          <m:rPr/>
          <w:rPr>
            <w:rFonts w:ascii="Cambria Math" w:hAnsi="Cambria Math"/>
            <w:sz w:val="22"/>
          </w:rPr>
          <m:t>r</m:t>
        </m:r>
      </m:oMath>
      <w:r>
        <w:rPr>
          <w:rFonts w:ascii="Times New Roman" w:hAnsi="Times New Roman" w:eastAsia="宋体"/>
          <w:b w:val="0"/>
          <w:sz w:val="20"/>
        </w:rPr>
        <w:t>、类别</w:t>
      </w:r>
      <m:oMath>
        <m:r>
          <m:rPr/>
          <w:rPr>
            <w:rFonts w:ascii="Cambria Math" w:hAnsi="Cambria Math"/>
            <w:sz w:val="22"/>
          </w:rPr>
          <m:t>c</m:t>
        </m:r>
      </m:oMath>
      <w:r>
        <w:rPr>
          <w:rFonts w:ascii="Times New Roman" w:hAnsi="Times New Roman" w:eastAsia="宋体"/>
          <w:b w:val="0"/>
          <w:sz w:val="20"/>
        </w:rPr>
        <w:t>的状态矩阵、风险层、风险格及格内配额。</w:t>
      </w:r>
    </w:p>
    <w:p w14:paraId="46FE741D">
      <w:pPr>
        <w:keepNext/>
        <w:keepLines/>
        <w:spacing w:after="40" w:line="276" w:lineRule="auto"/>
        <w:ind w:left="0" w:firstLine="0"/>
        <w:rPr>
          <w:rFonts w:ascii="Times New Roman" w:hAnsi="Times New Roman" w:eastAsia="宋体"/>
          <w:b w:val="0"/>
          <w:sz w:val="20"/>
        </w:rPr>
      </w:pPr>
      <w:r>
        <w:rPr>
          <w:rFonts w:ascii="Times New Roman" w:hAnsi="Times New Roman" w:eastAsia="宋体"/>
          <w:b w:val="0"/>
          <w:sz w:val="20"/>
        </w:rPr>
        <w:t>输出：选样顺序及层配额完成边界处的预算前缀集合。</w:t>
      </w:r>
    </w:p>
    <w:p w14:paraId="7BB02BA1">
      <w:pPr>
        <w:keepNext/>
        <w:keepLines/>
        <w:spacing w:after="40" w:line="276" w:lineRule="auto"/>
        <w:ind w:left="0" w:firstLine="0"/>
        <w:rPr>
          <w:rFonts w:ascii="Times New Roman" w:hAnsi="Times New Roman" w:eastAsia="宋体"/>
          <w:b w:val="0"/>
          <w:sz w:val="20"/>
        </w:rPr>
      </w:pPr>
    </w:p>
    <w:p w14:paraId="1DB1A0A0">
      <w:pPr>
        <w:keepNext/>
        <w:keepLines/>
        <w:pBdr>
          <w:top w:val="single" w:color="auto" w:sz="4" w:space="0"/>
        </w:pBdr>
        <w:spacing w:after="40" w:line="276" w:lineRule="auto"/>
        <w:ind w:left="68" w:firstLine="0"/>
      </w:pPr>
      <w:r>
        <w:rPr>
          <w:rFonts w:ascii="Times New Roman" w:hAnsi="Times New Roman" w:eastAsia="宋体"/>
          <w:b w:val="0"/>
          <w:sz w:val="20"/>
        </w:rPr>
        <w:t>1  初始化：</w:t>
      </w:r>
      <m:oMath>
        <m:r>
          <m:rPr/>
          <w:rPr>
            <w:rFonts w:ascii="Cambria Math" w:hAnsi="Cambria Math"/>
            <w:sz w:val="22"/>
          </w:rPr>
          <m:t>S</m:t>
        </m:r>
        <m:r>
          <m:rPr>
            <m:sty m:val="p"/>
          </m:rPr>
          <w:rPr>
            <w:rFonts w:ascii="Cambria Math" w:hAnsi="Cambria Math"/>
            <w:sz w:val="22"/>
          </w:rPr>
          <m:t>=⌀</m:t>
        </m:r>
      </m:oMath>
      <w:r>
        <w:rPr>
          <w:rFonts w:ascii="Times New Roman" w:hAnsi="Times New Roman" w:eastAsia="宋体"/>
          <w:b w:val="0"/>
          <w:sz w:val="20"/>
        </w:rPr>
        <w:t>，选样顺序为空，各状态支持数为零。</w:t>
      </w:r>
    </w:p>
    <w:p w14:paraId="32E9C8CD">
      <w:pPr>
        <w:keepNext/>
        <w:keepLines/>
        <w:spacing w:after="40" w:line="276" w:lineRule="auto"/>
        <w:ind w:left="68" w:firstLine="0"/>
      </w:pPr>
      <w:r>
        <w:rPr>
          <w:rFonts w:ascii="Times New Roman" w:hAnsi="Times New Roman" w:eastAsia="宋体"/>
          <w:b w:val="0"/>
          <w:sz w:val="20"/>
        </w:rPr>
        <w:t xml:space="preserve">2  for </w:t>
      </w:r>
      <m:oMath>
        <m:r>
          <m:rPr/>
          <w:rPr>
            <w:rFonts w:ascii="Cambria Math" w:hAnsi="Cambria Math"/>
            <w:sz w:val="22"/>
          </w:rPr>
          <m:t>ℓ</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5</m:t>
        </m:r>
      </m:oMath>
      <w:r>
        <w:rPr>
          <w:rFonts w:ascii="Times New Roman" w:hAnsi="Times New Roman" w:eastAsia="宋体"/>
          <w:b w:val="0"/>
          <w:sz w:val="20"/>
        </w:rPr>
        <w:t xml:space="preserve"> do</w:t>
      </w:r>
    </w:p>
    <w:p w14:paraId="6590506B">
      <w:pPr>
        <w:keepNext/>
        <w:keepLines/>
        <w:spacing w:after="40" w:line="276" w:lineRule="auto"/>
        <w:ind w:left="340" w:firstLine="0"/>
      </w:pPr>
      <w:r>
        <w:rPr>
          <w:rFonts w:ascii="Times New Roman" w:hAnsi="Times New Roman" w:eastAsia="宋体"/>
          <w:b w:val="0"/>
          <w:sz w:val="20"/>
        </w:rPr>
        <w:t>3      将当前风险层内各格的已选用量置零。</w:t>
      </w:r>
    </w:p>
    <w:p w14:paraId="52E878D6">
      <w:pPr>
        <w:keepNext/>
        <w:keepLines/>
        <w:spacing w:after="40" w:line="276" w:lineRule="auto"/>
        <w:ind w:left="340" w:firstLine="0"/>
      </w:pPr>
      <w:r>
        <w:rPr>
          <w:rFonts w:ascii="Times New Roman" w:hAnsi="Times New Roman" w:eastAsia="宋体"/>
          <w:b w:val="0"/>
          <w:sz w:val="20"/>
        </w:rPr>
        <w:t>4      while 当前风险层的配额尚未完成 do</w:t>
      </w:r>
    </w:p>
    <w:p w14:paraId="0D9DA63C">
      <w:pPr>
        <w:keepNext/>
        <w:keepLines/>
        <w:spacing w:after="40" w:line="276" w:lineRule="auto"/>
        <w:ind w:left="612" w:firstLine="0"/>
      </w:pPr>
      <w:r>
        <w:rPr>
          <w:rFonts w:ascii="Times New Roman" w:hAnsi="Times New Roman" w:eastAsia="宋体"/>
          <w:b w:val="0"/>
          <w:sz w:val="20"/>
        </w:rPr>
        <w:t>5          构造可行集合：当前层内未选中且所在格仍有剩余配额的目标。</w:t>
      </w:r>
    </w:p>
    <w:p w14:paraId="19448E97">
      <w:pPr>
        <w:keepNext/>
        <w:keepLines/>
        <w:spacing w:after="40" w:line="276" w:lineRule="auto"/>
        <w:ind w:left="612" w:firstLine="0"/>
      </w:pPr>
      <w:r>
        <w:rPr>
          <w:rFonts w:ascii="Times New Roman" w:hAnsi="Times New Roman" w:eastAsia="宋体"/>
          <w:b w:val="0"/>
          <w:sz w:val="20"/>
        </w:rPr>
        <w:t>6          选择</w:t>
      </w:r>
      <m:oMath>
        <m:sSubSup>
          <m:sSubSupPr/>
          <m:e>
            <m:r>
              <m:rPr/>
              <w:rPr>
                <w:rFonts w:ascii="Cambria Math" w:hAnsi="Cambria Math"/>
                <w:sz w:val="22"/>
              </w:rPr>
              <m:t>g</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i</m:t>
        </m:r>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oMath>
      <w:r>
        <w:rPr>
          <w:rFonts w:ascii="Times New Roman" w:hAnsi="Times New Roman" w:eastAsia="宋体"/>
          <w:b w:val="0"/>
          <w:sz w:val="20"/>
        </w:rPr>
        <w:t>最大的目标，同分按目标ID升序。</w:t>
      </w:r>
    </w:p>
    <w:p w14:paraId="25EF366F">
      <w:pPr>
        <w:keepNext/>
        <w:keepLines/>
        <w:spacing w:after="40" w:line="276" w:lineRule="auto"/>
        <w:ind w:left="612" w:firstLine="0"/>
      </w:pPr>
      <w:r>
        <w:rPr>
          <w:rFonts w:ascii="Times New Roman" w:hAnsi="Times New Roman" w:eastAsia="宋体"/>
          <w:b w:val="0"/>
          <w:sz w:val="20"/>
        </w:rPr>
        <w:t>7          将目标加入</w:t>
      </w:r>
      <m:oMath>
        <m:r>
          <m:rPr/>
          <w:rPr>
            <w:rFonts w:ascii="Cambria Math" w:hAnsi="Cambria Math"/>
            <w:sz w:val="22"/>
          </w:rPr>
          <m:t>S</m:t>
        </m:r>
      </m:oMath>
      <w:r>
        <w:rPr>
          <w:rFonts w:ascii="Times New Roman" w:hAnsi="Times New Roman" w:eastAsia="宋体"/>
          <w:b w:val="0"/>
          <w:sz w:val="20"/>
        </w:rPr>
        <w:t>并追加到选样顺序，更新状态支持数与格内用量。</w:t>
      </w:r>
    </w:p>
    <w:p w14:paraId="69DD0C4A">
      <w:pPr>
        <w:keepNext/>
        <w:keepLines/>
        <w:spacing w:after="40" w:line="276" w:lineRule="auto"/>
        <w:ind w:left="340" w:firstLine="0"/>
      </w:pPr>
      <w:r>
        <w:rPr>
          <w:rFonts w:ascii="Times New Roman" w:hAnsi="Times New Roman" w:eastAsia="宋体"/>
          <w:b w:val="0"/>
          <w:sz w:val="20"/>
        </w:rPr>
        <w:t>8      end while</w:t>
      </w:r>
    </w:p>
    <w:p w14:paraId="703466E5">
      <w:pPr>
        <w:keepNext/>
        <w:keepLines/>
        <w:spacing w:after="40" w:line="276" w:lineRule="auto"/>
        <w:ind w:left="340" w:firstLine="0"/>
      </w:pPr>
      <w:r>
        <w:rPr>
          <w:rFonts w:ascii="Times New Roman" w:hAnsi="Times New Roman" w:eastAsia="宋体"/>
          <w:b w:val="0"/>
          <w:sz w:val="20"/>
        </w:rPr>
        <w:t>9      核对当前层的实际风险格频数是否等于预定配额。</w:t>
      </w:r>
    </w:p>
    <w:p w14:paraId="2032FF57">
      <w:pPr>
        <w:keepNext/>
        <w:keepLines/>
        <w:spacing w:after="40" w:line="276" w:lineRule="auto"/>
        <w:ind w:left="0" w:firstLine="0"/>
      </w:pPr>
      <w:r>
        <w:rPr>
          <w:rFonts w:ascii="Times New Roman" w:hAnsi="Times New Roman" w:eastAsia="宋体"/>
          <w:b w:val="0"/>
          <w:sz w:val="20"/>
        </w:rPr>
        <w:t>10 end for</w:t>
      </w:r>
    </w:p>
    <w:p w14:paraId="38985741">
      <w:pPr>
        <w:keepNext w:val="0"/>
        <w:keepLines/>
        <w:pBdr>
          <w:bottom w:val="single" w:color="auto" w:sz="4" w:space="0"/>
        </w:pBdr>
        <w:spacing w:after="40" w:line="276" w:lineRule="auto"/>
        <w:ind w:left="0" w:firstLine="0"/>
      </w:pPr>
      <w:r>
        <w:rPr>
          <w:rFonts w:ascii="Times New Roman" w:hAnsi="Times New Roman" w:eastAsia="宋体"/>
          <w:b w:val="0"/>
          <w:sz w:val="20"/>
        </w:rPr>
        <w:t>11 return 选样顺序及各预算前缀集合。</w:t>
      </w:r>
    </w:p>
    <w:p w14:paraId="6872B7B4">
      <w:pPr>
        <w:keepNext w:val="0"/>
        <w:keepLines/>
        <w:spacing w:after="100" w:line="312" w:lineRule="auto"/>
        <w:ind w:firstLine="425"/>
        <w:rPr>
          <w:rFonts w:ascii="Times New Roman" w:hAnsi="Times New Roman" w:eastAsia="宋体"/>
          <w:b w:val="0"/>
          <w:sz w:val="22"/>
        </w:rPr>
      </w:pPr>
    </w:p>
    <w:p w14:paraId="09526AA7">
      <w:pPr>
        <w:keepNext w:val="0"/>
        <w:keepLines/>
        <w:spacing w:after="100" w:line="312" w:lineRule="auto"/>
        <w:ind w:firstLine="425"/>
      </w:pPr>
      <w:r>
        <w:rPr>
          <w:rFonts w:ascii="Times New Roman" w:hAnsi="Times New Roman" w:eastAsia="宋体"/>
          <w:b w:val="0"/>
          <w:sz w:val="22"/>
        </w:rPr>
        <w:t>状态计数在风险层循环外初始化，并在各层之间累计。</w:t>
      </w:r>
    </w:p>
    <w:p w14:paraId="118DA510">
      <w:pPr>
        <w:keepLines/>
        <w:spacing w:after="100" w:line="312" w:lineRule="auto"/>
        <w:ind w:firstLine="425"/>
      </w:pPr>
      <w:r>
        <w:rPr>
          <w:rFonts w:ascii="Times New Roman" w:hAnsi="Times New Roman" w:eastAsia="宋体"/>
          <w:b w:val="0"/>
          <w:sz w:val="22"/>
        </w:rPr>
        <w:t>选样增益采用对数边际增益，报告覆盖采用线性截断贡献，二者分别定义。该策略用于优先补充稀缺状态，不声称严格优化报告覆盖值，也不直接优化错误数量或分类准确率。</w:t>
      </w:r>
    </w:p>
    <w:p w14:paraId="5F2C439C">
      <w:pPr>
        <w:pStyle w:val="3"/>
        <w:spacing w:before="180" w:after="100"/>
        <w:rPr>
          <w:rFonts w:hint="default" w:ascii="黑体" w:hAnsi="黑体" w:eastAsia="黑体" w:cs="黑体"/>
          <w:lang w:val="en-US" w:eastAsia="zh-CN"/>
        </w:rPr>
      </w:pPr>
      <w:r>
        <w:rPr>
          <w:rFonts w:hint="eastAsia" w:ascii="黑体" w:hAnsi="黑体" w:eastAsia="黑体" w:cs="黑体"/>
        </w:rPr>
        <w:t xml:space="preserve">3.4 </w:t>
      </w:r>
      <w:bookmarkStart w:id="0" w:name="_GoBack"/>
      <w:bookmarkEnd w:id="0"/>
      <w:r>
        <w:rPr>
          <w:rFonts w:hint="eastAsia" w:ascii="黑体" w:hAnsi="黑体" w:eastAsia="黑体" w:cs="黑体"/>
          <w:lang w:val="en-US" w:eastAsia="zh-CN"/>
        </w:rPr>
        <w:t>视觉风险分层与测试组织</w:t>
      </w:r>
    </w:p>
    <w:p w14:paraId="4058BA44">
      <w:pPr>
        <w:pStyle w:val="4"/>
        <w:spacing w:before="180" w:after="100"/>
        <w:rPr>
          <w:rFonts w:hint="eastAsia" w:ascii="黑体" w:hAnsi="黑体" w:eastAsia="黑体" w:cs="黑体"/>
        </w:rPr>
      </w:pPr>
      <w:r>
        <w:rPr>
          <w:rFonts w:hint="eastAsia" w:ascii="黑体" w:hAnsi="黑体" w:eastAsia="黑体" w:cs="黑体"/>
        </w:rPr>
        <w:t>3.4.1 预定义风险评分</w:t>
      </w:r>
    </w:p>
    <w:p w14:paraId="28BD8E42">
      <w:pPr>
        <w:keepNext/>
        <w:keepLines/>
        <w:spacing w:after="100" w:line="312" w:lineRule="auto"/>
        <w:ind w:firstLine="425"/>
      </w:pPr>
      <w:r>
        <w:rPr>
          <w:rFonts w:ascii="Times New Roman" w:hAnsi="Times New Roman" w:eastAsia="宋体"/>
          <w:b w:val="0"/>
          <w:sz w:val="22"/>
        </w:rPr>
        <w:t>选取尺度、身体可见性、遮挡、截断和朝向五个维度构造视觉风险。设风险维度集合为</w:t>
      </w:r>
      <m:oMath>
        <m:r>
          <m:rPr/>
          <w:rPr>
            <w:rFonts w:ascii="Cambria Math" w:hAnsi="Cambria Math"/>
            <w:sz w:val="22"/>
          </w:rPr>
          <m:t>D</m:t>
        </m:r>
      </m:oMath>
      <w:r>
        <w:rPr>
          <w:rFonts w:ascii="Times New Roman" w:hAnsi="Times New Roman" w:eastAsia="宋体"/>
          <w:b w:val="0"/>
          <w:sz w:val="22"/>
        </w:rPr>
        <w:t>，第</w:t>
      </w:r>
      <m:oMath>
        <m:r>
          <m:rPr/>
          <w:rPr>
            <w:rFonts w:ascii="Cambria Math" w:hAnsi="Cambria Math"/>
            <w:sz w:val="22"/>
          </w:rPr>
          <m:t>d</m:t>
        </m:r>
      </m:oMath>
      <w:r>
        <w:rPr>
          <w:rFonts w:ascii="Times New Roman" w:hAnsi="Times New Roman" w:eastAsia="宋体"/>
          <w:b w:val="0"/>
          <w:sz w:val="22"/>
        </w:rPr>
        <w:t>维的映射为</w:t>
      </w:r>
      <m:oMath>
        <m:sSub>
          <m:sSubPr/>
          <m:e>
            <m:r>
              <m:rPr/>
              <w:rPr>
                <w:rFonts w:ascii="Cambria Math" w:hAnsi="Cambria Math"/>
                <w:sz w:val="22"/>
              </w:rPr>
              <m:t>h</m:t>
            </m:r>
          </m:e>
          <m:sub>
            <m:r>
              <m:rPr/>
              <w:rPr>
                <w:rFonts w:ascii="Cambria Math" w:hAnsi="Cambria Math"/>
                <w:sz w:val="22"/>
              </w:rPr>
              <m:t>d</m:t>
            </m:r>
          </m:sub>
        </m:sSub>
      </m:oMath>
      <w:r>
        <w:rPr>
          <w:rFonts w:ascii="Times New Roman" w:hAnsi="Times New Roman" w:eastAsia="宋体"/>
          <w:b w:val="0"/>
          <w:sz w:val="22"/>
        </w:rPr>
        <w:t>，目标的综合风险为：</w:t>
      </w:r>
    </w:p>
    <w:p w14:paraId="704932F5">
      <w:pPr>
        <w:spacing w:before="80" w:after="140"/>
        <w:jc w:val="center"/>
      </w:pPr>
      <m:oMathPara>
        <m:oMath>
          <m:sSubSup>
            <m:sSubSupPr/>
            <m:e>
              <m:r>
                <m:rPr/>
                <w:rPr>
                  <w:rFonts w:ascii="Cambria Math" w:hAnsi="Cambria Math"/>
                  <w:sz w:val="22"/>
                </w:rPr>
                <m:t>H</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nary>
            <m:naryPr>
              <m:chr m:val="∑"/>
              <m:limLoc m:val="undOvr"/>
              <m:supHide m:val="1"/>
            </m:naryPr>
            <m:sub>
              <m:r>
                <m:rPr/>
                <w:rPr>
                  <w:rFonts w:ascii="Cambria Math" w:hAnsi="Cambria Math"/>
                  <w:sz w:val="22"/>
                </w:rPr>
                <m:t>d</m:t>
              </m:r>
              <m:r>
                <m:rPr>
                  <m:sty m:val="p"/>
                </m:rPr>
                <w:rPr>
                  <w:rFonts w:ascii="Cambria Math" w:hAnsi="Cambria Math"/>
                  <w:sz w:val="22"/>
                </w:rPr>
                <m:t>∈</m:t>
              </m:r>
              <m:r>
                <m:rPr/>
                <w:rPr>
                  <w:rFonts w:ascii="Cambria Math" w:hAnsi="Cambria Math"/>
                  <w:sz w:val="22"/>
                </w:rPr>
                <m:t>D</m:t>
              </m:r>
            </m:sub>
            <m:sup>
              <m:r>
                <m:rPr/>
                <w:rPr>
                  <w:rFonts w:ascii="Cambria Math" w:hAnsi="Cambria Math"/>
                  <w:sz w:val="22"/>
                </w:rPr>
                <m:t>​</m:t>
              </m:r>
            </m:sup>
            <m:e>
              <m:sSub>
                <m:sSubPr/>
                <m:e>
                  <m:r>
                    <m:rPr/>
                    <w:rPr>
                      <w:rFonts w:ascii="Cambria Math" w:hAnsi="Cambria Math"/>
                      <w:sz w:val="22"/>
                    </w:rPr>
                    <m:t>h</m:t>
                  </m:r>
                </m:e>
                <m:sub>
                  <m:r>
                    <m:rPr/>
                    <w:rPr>
                      <w:rFonts w:ascii="Cambria Math" w:hAnsi="Cambria Math"/>
                      <w:sz w:val="22"/>
                    </w:rPr>
                    <m:t>d</m:t>
                  </m:r>
                </m:sub>
              </m:sSub>
            </m:e>
          </m:nary>
          <m:d>
            <m:dPr>
              <m:sepChr m:val=""/>
            </m:dPr>
            <m:e>
              <m:r>
                <m:rPr/>
                <w:rPr>
                  <w:rFonts w:ascii="Cambria Math" w:hAnsi="Cambria Math"/>
                  <w:sz w:val="22"/>
                </w:rPr>
                <m:t>i</m:t>
              </m:r>
              <m:r>
                <m:rPr>
                  <m:sty m:val="p"/>
                </m:rPr>
                <w:rPr>
                  <w:rFonts w:ascii="Cambria Math" w:hAnsi="Cambria Math"/>
                  <w:sz w:val="22"/>
                </w:rPr>
                <m:t>,</m:t>
              </m:r>
              <m:r>
                <m:rPr/>
                <w:rPr>
                  <w:rFonts w:ascii="Cambria Math" w:hAnsi="Cambria Math"/>
                  <w:sz w:val="22"/>
                </w:rPr>
                <m:t>r</m:t>
              </m:r>
            </m:e>
          </m:d>
          <m:r>
            <m:rPr>
              <m:sty m:val="p"/>
            </m:rPr>
            <w:rPr>
              <w:rFonts w:ascii="Cambria Math" w:hAnsi="Cambria Math"/>
              <w:sz w:val="22"/>
            </w:rPr>
            <m:t>.</m:t>
          </m:r>
        </m:oMath>
      </m:oMathPara>
    </w:p>
    <w:p w14:paraId="5FB8CF3C">
      <w:pPr>
        <w:keepLines/>
        <w:spacing w:after="100" w:line="312" w:lineRule="auto"/>
        <w:ind w:firstLine="425"/>
      </w:pPr>
      <w:r>
        <w:rPr>
          <w:rFonts w:ascii="Times New Roman" w:hAnsi="Times New Roman" w:eastAsia="宋体"/>
          <w:b w:val="0"/>
          <w:sz w:val="22"/>
        </w:rPr>
        <w:t>各维度映射如表2所示。尺度分值由</w:t>
      </w:r>
      <m:oMath>
        <m:sSub>
          <m:sSubPr/>
          <m:e>
            <m:r>
              <m:rPr/>
              <w:rPr>
                <w:rFonts w:ascii="Cambria Math" w:hAnsi="Cambria Math"/>
                <w:sz w:val="22"/>
              </w:rPr>
              <m:t>a</m:t>
            </m:r>
          </m:e>
          <m:sub>
            <m:r>
              <m:rPr/>
              <w:rPr>
                <w:rFonts w:ascii="Cambria Math" w:hAnsi="Cambria Math"/>
                <w:sz w:val="22"/>
              </w:rPr>
              <m:t>i</m:t>
            </m:r>
          </m:sub>
        </m:sSub>
      </m:oMath>
      <w:r>
        <w:rPr>
          <w:rFonts w:ascii="Times New Roman" w:hAnsi="Times New Roman" w:eastAsia="宋体"/>
          <w:b w:val="0"/>
          <w:sz w:val="22"/>
        </w:rPr>
        <w:t>计算，其他分值由相应来源的状态确定。该映射为预定义的启发式测试组织规则，不是由分类性能拟合的最优权重。主评分直接累加各维分值，未先将各维归一到相同范围；不同最大分值形成隐含权重，因此不能把此式解释为各维影响相等。评分不读取被测分类器的预测、置信度、表征或错误，也不使用VLM的可识别性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937"/>
      </w:tblGrid>
      <w:tr w14:paraId="39435647">
        <w:trPr>
          <w:cantSplit/>
          <w:jc w:val="center"/>
        </w:trPr>
        <w:tc>
          <w:tcPr>
            <w:tcW w:w="4819" w:type="dxa"/>
          </w:tcPr>
          <w:p w14:paraId="40095313">
            <w:pPr>
              <w:spacing w:after="60" w:line="276" w:lineRule="auto"/>
            </w:pPr>
            <w:r>
              <w:rPr>
                <w:rFonts w:ascii="Times New Roman" w:hAnsi="Times New Roman" w:eastAsia="黑体"/>
                <w:b/>
                <w:sz w:val="19"/>
              </w:rPr>
              <w:t>维度</w:t>
            </w:r>
          </w:p>
        </w:tc>
        <w:tc>
          <w:tcPr>
            <w:tcW w:w="4819" w:type="dxa"/>
          </w:tcPr>
          <w:p w14:paraId="21498E26">
            <w:pPr>
              <w:spacing w:after="60" w:line="276" w:lineRule="auto"/>
            </w:pPr>
            <w:r>
              <w:rPr>
                <w:rFonts w:ascii="Times New Roman" w:hAnsi="Times New Roman" w:eastAsia="黑体"/>
                <w:b/>
                <w:sz w:val="19"/>
              </w:rPr>
              <w:t>状态或区间及对应分值</w:t>
            </w:r>
          </w:p>
        </w:tc>
      </w:tr>
      <w:tr w14:paraId="24630555">
        <w:trPr>
          <w:cantSplit/>
          <w:jc w:val="center"/>
        </w:trPr>
        <w:tc>
          <w:tcPr>
            <w:tcW w:w="4819" w:type="dxa"/>
          </w:tcPr>
          <w:p w14:paraId="6143A7B9">
            <w:pPr>
              <w:spacing w:after="60" w:line="276" w:lineRule="auto"/>
            </w:pPr>
            <w:r>
              <w:rPr>
                <w:rFonts w:ascii="Times New Roman" w:hAnsi="Times New Roman" w:eastAsia="宋体"/>
                <w:b w:val="0"/>
                <w:sz w:val="19"/>
              </w:rPr>
              <w:t>目标尺度</w:t>
            </w:r>
          </w:p>
        </w:tc>
        <w:tc>
          <w:tcPr>
            <w:tcW w:w="4819" w:type="dxa"/>
          </w:tcPr>
          <w:p w14:paraId="0158F60C">
            <w:pPr>
              <w:spacing w:after="60" w:line="276" w:lineRule="auto"/>
            </w:pPr>
            <m:oMath>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m:t>
              </m:r>
              <m:r>
                <m:rPr/>
                <w:rPr>
                  <w:rFonts w:ascii="Cambria Math" w:hAnsi="Cambria Math"/>
                  <w:sz w:val="19"/>
                </w:rPr>
                <m:t>0.10</m:t>
              </m:r>
            </m:oMath>
            <w:r>
              <w:rPr>
                <w:rFonts w:ascii="Times New Roman" w:hAnsi="Times New Roman" w:eastAsia="宋体"/>
                <w:b w:val="0"/>
                <w:sz w:val="19"/>
              </w:rPr>
              <w:t>：0；</w:t>
            </w:r>
            <m:oMath>
              <m:r>
                <m:rPr/>
                <w:rPr>
                  <w:rFonts w:ascii="Cambria Math" w:hAnsi="Cambria Math"/>
                  <w:sz w:val="19"/>
                </w:rPr>
                <m:t>0.03</m:t>
              </m:r>
              <m:r>
                <m:rPr>
                  <m:sty m:val="p"/>
                </m:rPr>
                <w:rPr>
                  <w:rFonts w:ascii="Cambria Math" w:hAnsi="Cambria Math"/>
                  <w:sz w:val="19"/>
                </w:rPr>
                <m:t>≤</m:t>
              </m:r>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&lt;</m:t>
              </m:r>
              <m:r>
                <m:rPr/>
                <w:rPr>
                  <w:rFonts w:ascii="Cambria Math" w:hAnsi="Cambria Math"/>
                  <w:sz w:val="19"/>
                </w:rPr>
                <m:t>0.10</m:t>
              </m:r>
            </m:oMath>
            <w:r>
              <w:rPr>
                <w:rFonts w:ascii="Times New Roman" w:hAnsi="Times New Roman" w:eastAsia="宋体"/>
                <w:b w:val="0"/>
                <w:sz w:val="19"/>
              </w:rPr>
              <w:t>：1；</w:t>
            </w:r>
            <m:oMath>
              <m:r>
                <m:rPr/>
                <w:rPr>
                  <w:rFonts w:ascii="Cambria Math" w:hAnsi="Cambria Math"/>
                  <w:sz w:val="19"/>
                </w:rPr>
                <m:t>0.01</m:t>
              </m:r>
              <m:r>
                <m:rPr>
                  <m:sty m:val="p"/>
                </m:rPr>
                <w:rPr>
                  <w:rFonts w:ascii="Cambria Math" w:hAnsi="Cambria Math"/>
                  <w:sz w:val="19"/>
                </w:rPr>
                <m:t>≤</m:t>
              </m:r>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&lt;</m:t>
              </m:r>
              <m:r>
                <m:rPr/>
                <w:rPr>
                  <w:rFonts w:ascii="Cambria Math" w:hAnsi="Cambria Math"/>
                  <w:sz w:val="19"/>
                </w:rPr>
                <m:t>0.03</m:t>
              </m:r>
            </m:oMath>
            <w:r>
              <w:rPr>
                <w:rFonts w:ascii="Times New Roman" w:hAnsi="Times New Roman" w:eastAsia="宋体"/>
                <w:b w:val="0"/>
                <w:sz w:val="19"/>
              </w:rPr>
              <w:t>：2；</w:t>
            </w:r>
            <m:oMath>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&lt;</m:t>
              </m:r>
              <m:r>
                <m:rPr/>
                <w:rPr>
                  <w:rFonts w:ascii="Cambria Math" w:hAnsi="Cambria Math"/>
                  <w:sz w:val="19"/>
                </w:rPr>
                <m:t>0.01</m:t>
              </m:r>
            </m:oMath>
            <w:r>
              <w:rPr>
                <w:rFonts w:ascii="Times New Roman" w:hAnsi="Times New Roman" w:eastAsia="宋体"/>
                <w:b w:val="0"/>
                <w:sz w:val="19"/>
              </w:rPr>
              <w:t>：3</w:t>
            </w:r>
          </w:p>
        </w:tc>
      </w:tr>
      <w:tr w14:paraId="05990001">
        <w:trPr>
          <w:cantSplit/>
          <w:jc w:val="center"/>
        </w:trPr>
        <w:tc>
          <w:tcPr>
            <w:tcW w:w="4819" w:type="dxa"/>
          </w:tcPr>
          <w:p w14:paraId="4A11ABC2">
            <w:pPr>
              <w:spacing w:after="60" w:line="276" w:lineRule="auto"/>
            </w:pPr>
            <w:r>
              <w:rPr>
                <w:rFonts w:ascii="Times New Roman" w:hAnsi="Times New Roman" w:eastAsia="宋体"/>
                <w:b w:val="0"/>
                <w:sz w:val="19"/>
              </w:rPr>
              <w:t>身体可见性</w:t>
            </w:r>
          </w:p>
        </w:tc>
        <w:tc>
          <w:tcPr>
            <w:tcW w:w="4819" w:type="dxa"/>
          </w:tcPr>
          <w:p w14:paraId="7F57BA67">
            <w:pPr>
              <w:spacing w:after="60" w:line="276" w:lineRule="auto"/>
            </w:pPr>
            <w:r>
              <w:rPr>
                <w:rFonts w:ascii="Times New Roman" w:hAnsi="Times New Roman" w:eastAsia="宋体"/>
                <w:b w:val="0"/>
                <w:sz w:val="19"/>
              </w:rPr>
              <w:t>full／most：0；partial：2；minimal：3</w:t>
            </w:r>
          </w:p>
        </w:tc>
      </w:tr>
      <w:tr w14:paraId="5F89594B">
        <w:trPr>
          <w:cantSplit/>
          <w:jc w:val="center"/>
        </w:trPr>
        <w:tc>
          <w:tcPr>
            <w:tcW w:w="4819" w:type="dxa"/>
          </w:tcPr>
          <w:p w14:paraId="73BD3318">
            <w:pPr>
              <w:spacing w:after="60" w:line="276" w:lineRule="auto"/>
            </w:pPr>
            <w:r>
              <w:rPr>
                <w:rFonts w:ascii="Times New Roman" w:hAnsi="Times New Roman" w:eastAsia="宋体"/>
                <w:b w:val="0"/>
                <w:sz w:val="19"/>
              </w:rPr>
              <w:t>遮挡程度</w:t>
            </w:r>
          </w:p>
        </w:tc>
        <w:tc>
          <w:tcPr>
            <w:tcW w:w="4819" w:type="dxa"/>
          </w:tcPr>
          <w:p w14:paraId="76AD6A00">
            <w:pPr>
              <w:spacing w:after="60" w:line="276" w:lineRule="auto"/>
            </w:pPr>
            <w:r>
              <w:rPr>
                <w:rFonts w:ascii="Times New Roman" w:hAnsi="Times New Roman" w:eastAsia="宋体"/>
                <w:b w:val="0"/>
                <w:sz w:val="19"/>
              </w:rPr>
              <w:t>none：0；light：1；moderate：2；heavy：3</w:t>
            </w:r>
          </w:p>
        </w:tc>
      </w:tr>
      <w:tr w14:paraId="77D53BA4">
        <w:trPr>
          <w:cantSplit/>
          <w:jc w:val="center"/>
        </w:trPr>
        <w:tc>
          <w:tcPr>
            <w:tcW w:w="4819" w:type="dxa"/>
          </w:tcPr>
          <w:p w14:paraId="06982641">
            <w:pPr>
              <w:spacing w:after="60" w:line="276" w:lineRule="auto"/>
            </w:pPr>
            <w:r>
              <w:rPr>
                <w:rFonts w:ascii="Times New Roman" w:hAnsi="Times New Roman" w:eastAsia="宋体"/>
                <w:b w:val="0"/>
                <w:sz w:val="19"/>
              </w:rPr>
              <w:t>截断程度</w:t>
            </w:r>
          </w:p>
        </w:tc>
        <w:tc>
          <w:tcPr>
            <w:tcW w:w="4819" w:type="dxa"/>
          </w:tcPr>
          <w:p w14:paraId="0D5B7AAB">
            <w:pPr>
              <w:spacing w:after="60" w:line="276" w:lineRule="auto"/>
            </w:pPr>
            <w:r>
              <w:rPr>
                <w:rFonts w:ascii="Times New Roman" w:hAnsi="Times New Roman" w:eastAsia="宋体"/>
                <w:b w:val="0"/>
                <w:sz w:val="19"/>
              </w:rPr>
              <w:t>none：0；light：0.5；moderate：1；heavy：2</w:t>
            </w:r>
          </w:p>
        </w:tc>
      </w:tr>
      <w:tr w14:paraId="2BDAEB9B">
        <w:trPr>
          <w:cantSplit/>
          <w:jc w:val="center"/>
        </w:trPr>
        <w:tc>
          <w:tcPr>
            <w:tcW w:w="4819" w:type="dxa"/>
          </w:tcPr>
          <w:p w14:paraId="78811C14">
            <w:pPr>
              <w:spacing w:after="60" w:line="276" w:lineRule="auto"/>
            </w:pPr>
            <w:r>
              <w:rPr>
                <w:rFonts w:ascii="Times New Roman" w:hAnsi="Times New Roman" w:eastAsia="宋体"/>
                <w:b w:val="0"/>
                <w:sz w:val="19"/>
              </w:rPr>
              <w:t>身体朝向</w:t>
            </w:r>
          </w:p>
        </w:tc>
        <w:tc>
          <w:tcPr>
            <w:tcW w:w="4819" w:type="dxa"/>
          </w:tcPr>
          <w:p w14:paraId="52FD11C8">
            <w:pPr>
              <w:spacing w:after="60" w:line="276" w:lineRule="auto"/>
            </w:pPr>
            <w:r>
              <w:rPr>
                <w:rFonts w:ascii="Times New Roman" w:hAnsi="Times New Roman" w:eastAsia="宋体"/>
                <w:b w:val="0"/>
                <w:sz w:val="19"/>
              </w:rPr>
              <w:t>front／left_side／right_side／three_quarter：0；back：1；overhead_or_unusual：2</w:t>
            </w:r>
          </w:p>
        </w:tc>
      </w:tr>
    </w:tbl>
    <w:p w14:paraId="1F256DD3">
      <w:pPr>
        <w:spacing w:after="0"/>
      </w:pPr>
    </w:p>
    <w:p w14:paraId="202C7D2D">
      <w:pPr>
        <w:keepLines/>
        <w:spacing w:after="100" w:line="312" w:lineRule="auto"/>
      </w:pPr>
      <w:r>
        <w:rPr>
          <w:rFonts w:ascii="Times New Roman" w:hAnsi="Times New Roman" w:eastAsia="宋体"/>
          <w:b w:val="0"/>
          <w:sz w:val="18"/>
        </w:rPr>
        <w:t>表2　预定义风险映射。五项分值相加后的范围为0—13；</w:t>
      </w:r>
      <m:oMath>
        <m:sSub>
          <m:sSubPr/>
          <m:e>
            <m:r>
              <m:rPr/>
              <w:rPr>
                <w:rFonts w:ascii="Cambria Math" w:hAnsi="Cambria Math"/>
                <w:sz w:val="22"/>
              </w:rPr>
              <m:t>a</m:t>
            </m:r>
          </m:e>
          <m:sub>
            <m:r>
              <m:rPr/>
              <w:rPr>
                <w:rFonts w:ascii="Cambria Math" w:hAnsi="Cambria Math"/>
                <w:sz w:val="22"/>
              </w:rPr>
              <m:t>i</m:t>
            </m:r>
          </m:sub>
        </m:sSub>
      </m:oMath>
      <w:r>
        <w:rPr>
          <w:rFonts w:ascii="Times New Roman" w:hAnsi="Times New Roman" w:eastAsia="宋体"/>
          <w:b w:val="0"/>
          <w:sz w:val="18"/>
        </w:rPr>
        <w:t>为目标框面积与原始图像面积之比。</w:t>
      </w:r>
    </w:p>
    <w:p w14:paraId="76C987A0">
      <w:pPr>
        <w:keepLines/>
        <w:spacing w:after="100" w:line="312" w:lineRule="auto"/>
        <w:ind w:firstLine="425"/>
      </w:pPr>
      <w:r>
        <w:rPr>
          <w:rFonts w:ascii="Times New Roman" w:hAnsi="Times New Roman" w:eastAsia="宋体"/>
          <w:b w:val="0"/>
          <w:sz w:val="22"/>
        </w:rPr>
        <w:t>当某风险维度为unknown时，将其可能分值范围记为零至该维度最大分值，主分析采用该区间的中点作为操作性替代，并记录未知维数。选择中点是在缺少确定状态时采用范围中心值，不假设各可能状态等概率，也不将其解释为真实难度的期望。</w:t>
      </w:r>
    </w:p>
    <w:p>
      <w:pPr>
        <w:keepLines/>
        <w:spacing w:after="100" w:line="312" w:lineRule="auto"/>
        <w:ind w:firstLine="425"/>
      </w:pPr>
      <w:r>
        <w:rPr>
          <w:rFonts w:ascii="Times New Roman" w:hAnsi="Times New Roman" w:eastAsia="宋体"/>
          <w:b w:val="0"/>
          <w:sz w:val="22"/>
        </w:rPr>
        <w:t>该处理不会使综合风险超出预定义的0—13范围。多个未知维度会扩大评分的不确定范围，但不能仅凭未知维数判断评分被系统性高估或低估。敏感性分析分别将未知维度取零值和最大值，重新评分与分层，检查结论对未知处理的依赖。unknown仍不计为覆盖证据。</w:t>
      </w:r>
    </w:p>
    <w:p w14:paraId="46CFCF07">
      <w:pPr>
        <w:pStyle w:val="4"/>
        <w:spacing w:before="180" w:after="100"/>
        <w:rPr>
          <w:rFonts w:hint="eastAsia" w:ascii="黑体" w:hAnsi="黑体" w:eastAsia="黑体" w:cs="黑体"/>
        </w:rPr>
      </w:pPr>
      <w:r>
        <w:rPr>
          <w:rFonts w:hint="eastAsia" w:ascii="黑体" w:hAnsi="黑体" w:eastAsia="黑体" w:cs="黑体"/>
        </w:rPr>
        <w:t>3.4.2 类别内分层与风险混合</w:t>
      </w:r>
    </w:p>
    <w:p w14:paraId="4FE0F591">
      <w:pPr>
        <w:keepLines/>
        <w:spacing w:after="100" w:line="312" w:lineRule="auto"/>
        <w:ind w:firstLine="425"/>
      </w:pPr>
      <w:r>
        <w:rPr>
          <w:rFonts w:ascii="Times New Roman" w:hAnsi="Times New Roman" w:eastAsia="宋体"/>
          <w:b w:val="0"/>
          <w:sz w:val="22"/>
        </w:rPr>
        <w:t>在每个真实类别内按风险升序排列，同分按目标ID排序，将目标等分为Q1至Q5。Q1表示相对低风险，Q5表示相对高风险。分层在各候选池及类别内分别开展，不将其解释为跨类别统一的绝对难度阈值。</w:t>
      </w:r>
    </w:p>
    <w:p w14:paraId="22E4FB21">
      <w:pPr>
        <w:keepNext/>
        <w:keepLines/>
        <w:spacing w:after="100" w:line="312" w:lineRule="auto"/>
        <w:ind w:firstLine="425"/>
      </w:pPr>
      <w:r>
        <w:rPr>
          <w:rFonts w:ascii="Times New Roman" w:hAnsi="Times New Roman" w:eastAsia="宋体"/>
          <w:b w:val="0"/>
          <w:sz w:val="22"/>
        </w:rPr>
        <w:t>为考察测试构成对测得性能的影响，对每个类别保留相同目标数量</w:t>
      </w:r>
      <m:oMath>
        <m:r>
          <m:rPr/>
          <w:rPr>
            <w:rFonts w:ascii="Cambria Math" w:hAnsi="Cambria Math"/>
            <w:sz w:val="22"/>
          </w:rPr>
          <m:t>m</m:t>
        </m:r>
      </m:oMath>
      <w:r>
        <w:rPr>
          <w:rFonts w:ascii="Times New Roman" w:hAnsi="Times New Roman" w:eastAsia="宋体"/>
          <w:b w:val="0"/>
          <w:sz w:val="22"/>
        </w:rPr>
        <w:t>，并调节高风险占比</w:t>
      </w:r>
      <m:oMath>
        <m:r>
          <m:rPr/>
          <w:rPr>
            <w:rFonts w:ascii="Cambria Math" w:hAnsi="Cambria Math"/>
            <w:sz w:val="22"/>
          </w:rPr>
          <m:t>ρ</m:t>
        </m:r>
      </m:oMath>
      <w:r>
        <w:rPr>
          <w:rFonts w:ascii="Times New Roman" w:hAnsi="Times New Roman" w:eastAsia="宋体"/>
          <w:b w:val="0"/>
          <w:sz w:val="22"/>
        </w:rPr>
        <w:t>。主分析从Q5抽取</w:t>
      </w:r>
      <m:oMath>
        <m:r>
          <m:rPr/>
          <w:rPr>
            <w:rFonts w:ascii="Cambria Math" w:hAnsi="Cambria Math"/>
            <w:sz w:val="22"/>
          </w:rPr>
          <m:t>ρm</m:t>
        </m:r>
      </m:oMath>
      <w:r>
        <w:rPr>
          <w:rFonts w:ascii="Times New Roman" w:hAnsi="Times New Roman" w:eastAsia="宋体"/>
          <w:b w:val="0"/>
          <w:sz w:val="22"/>
        </w:rPr>
        <w:t>个目标，从Q1至Q4的并集抽取其余目标：</w:t>
      </w:r>
    </w:p>
    <w:p w14:paraId="6D45959D">
      <w:pPr>
        <w:spacing w:before="80" w:after="140"/>
        <w:jc w:val="center"/>
      </w:pPr>
      <m:oMathPara>
        <m:oMath>
          <m:sSubSup>
            <m:sSubSupPr/>
            <m:e>
              <m:r>
                <m:rPr/>
                <w:rPr>
                  <w:rFonts w:ascii="Cambria Math" w:hAnsi="Cambria Math"/>
                  <w:sz w:val="22"/>
                </w:rPr>
                <m:t>T</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ρ</m:t>
          </m:r>
          <m:r>
            <m:rPr>
              <m:sty m:val="p"/>
            </m:rPr>
            <w:rPr>
              <w:rFonts w:ascii="Cambria Math" w:hAnsi="Cambria Math"/>
              <w:sz w:val="22"/>
            </w:rPr>
            <m:t>)=Sample</m:t>
          </m:r>
          <m:d>
            <m:dPr>
              <m:sepChr m:val=""/>
            </m:dPr>
            <m:e>
              <m:sSubSup>
                <m:sSubSupPr/>
                <m:e>
                  <m:r>
                    <m:rPr/>
                    <w:rPr>
                      <w:rFonts w:ascii="Cambria Math" w:hAnsi="Cambria Math"/>
                      <w:sz w:val="22"/>
                    </w:rPr>
                    <m:t>Q</m:t>
                  </m:r>
                </m:e>
                <m:sub>
                  <m:r>
                    <m:rPr/>
                    <w:rPr>
                      <w:rFonts w:ascii="Cambria Math" w:hAnsi="Cambria Math"/>
                      <w:sz w:val="22"/>
                    </w:rPr>
                    <m:t>c</m:t>
                  </m:r>
                  <m:r>
                    <m:rPr>
                      <m:sty m:val="p"/>
                    </m:rPr>
                    <w:rPr>
                      <w:rFonts w:ascii="Cambria Math" w:hAnsi="Cambria Math"/>
                      <w:sz w:val="22"/>
                    </w:rPr>
                    <m:t>,</m:t>
                  </m:r>
                  <m:r>
                    <m:rPr/>
                    <w:rPr>
                      <w:rFonts w:ascii="Cambria Math" w:hAnsi="Cambria Math"/>
                      <w:sz w:val="22"/>
                    </w:rPr>
                    <m:t>5</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ρm</m:t>
              </m:r>
            </m:e>
          </m:d>
          <m:r>
            <m:rPr>
              <m:sty m:val="p"/>
            </m:rPr>
            <w:rPr>
              <w:rFonts w:ascii="Cambria Math" w:hAnsi="Cambria Math"/>
              <w:sz w:val="22"/>
            </w:rPr>
            <m:t>∪Sample</m:t>
          </m:r>
          <m:d>
            <m:dPr>
              <m:sepChr m:val=""/>
            </m:dPr>
            <m:e>
              <m:limLow>
                <m:limLowPr/>
                <m:e>
                  <m:limUpp>
                    <m:limUppPr/>
                    <m:e>
                      <m:r>
                        <m:rPr>
                          <m:sty m:val="p"/>
                        </m:rPr>
                        <w:rPr>
                          <w:rFonts w:ascii="Cambria Math" w:hAnsi="Cambria Math"/>
                          <w:sz w:val="22"/>
                        </w:rPr>
                        <m:t>⋃</m:t>
                      </m:r>
                    </m:e>
                    <m:lim>
                      <m:r>
                        <m:rPr/>
                        <w:rPr>
                          <w:rFonts w:ascii="Cambria Math" w:hAnsi="Cambria Math"/>
                          <w:sz w:val="22"/>
                        </w:rPr>
                        <m:t>4</m:t>
                      </m:r>
                    </m:lim>
                  </m:limUpp>
                </m:e>
                <m:lim>
                  <m:r>
                    <m:rPr/>
                    <w:rPr>
                      <w:rFonts w:ascii="Cambria Math" w:hAnsi="Cambria Math"/>
                      <w:sz w:val="22"/>
                    </w:rPr>
                    <m:t>ℓ</m:t>
                  </m:r>
                  <m:r>
                    <m:rPr>
                      <m:sty m:val="p"/>
                    </m:rPr>
                    <w:rPr>
                      <w:rFonts w:ascii="Cambria Math" w:hAnsi="Cambria Math"/>
                      <w:sz w:val="22"/>
                    </w:rPr>
                    <m:t>=</m:t>
                  </m:r>
                  <m:r>
                    <m:rPr/>
                    <w:rPr>
                      <w:rFonts w:ascii="Cambria Math" w:hAnsi="Cambria Math"/>
                      <w:sz w:val="22"/>
                    </w:rPr>
                    <m:t>1</m:t>
                  </m:r>
                </m:lim>
              </m:limLow>
              <m:sSubSup>
                <m:sSubSupPr/>
                <m:e>
                  <m:r>
                    <m:rPr/>
                    <w:rPr>
                      <w:rFonts w:ascii="Cambria Math" w:hAnsi="Cambria Math"/>
                      <w:sz w:val="22"/>
                    </w:rPr>
                    <m:t>Q</m:t>
                  </m:r>
                </m:e>
                <m:sub>
                  <m:r>
                    <m:rPr/>
                    <w:rPr>
                      <w:rFonts w:ascii="Cambria Math" w:hAnsi="Cambria Math"/>
                      <w:sz w:val="22"/>
                    </w:rPr>
                    <m:t>c</m:t>
                  </m:r>
                  <m:r>
                    <m:rPr>
                      <m:sty m:val="p"/>
                    </m:rPr>
                    <w:rPr>
                      <w:rFonts w:ascii="Cambria Math" w:hAnsi="Cambria Math"/>
                      <w:sz w:val="22"/>
                    </w:rPr>
                    <m:t>,</m:t>
                  </m:r>
                  <m:r>
                    <m:rPr/>
                    <w:rPr>
                      <w:rFonts w:ascii="Cambria Math" w:hAnsi="Cambria Math"/>
                      <w:sz w:val="22"/>
                    </w:rPr>
                    <m:t>ℓ</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ρ</m:t>
              </m:r>
              <m:r>
                <m:rPr>
                  <m:sty m:val="p"/>
                </m:rPr>
                <w:rPr>
                  <w:rFonts w:ascii="Cambria Math" w:hAnsi="Cambria Math"/>
                  <w:sz w:val="22"/>
                </w:rPr>
                <m:t>)</m:t>
              </m:r>
              <m:r>
                <m:rPr/>
                <w:rPr>
                  <w:rFonts w:ascii="Cambria Math" w:hAnsi="Cambria Math"/>
                  <w:sz w:val="22"/>
                </w:rPr>
                <m:t>m</m:t>
              </m:r>
            </m:e>
          </m:d>
          <m:r>
            <m:rPr>
              <m:sty m:val="p"/>
            </m:rPr>
            <w:rPr>
              <w:rFonts w:ascii="Cambria Math" w:hAnsi="Cambria Math"/>
              <w:sz w:val="22"/>
            </w:rPr>
            <m:t>.</m:t>
          </m:r>
        </m:oMath>
      </m:oMathPara>
    </w:p>
    <w:p w14:paraId="77258AA7">
      <w:pPr>
        <w:keepLines/>
        <w:spacing w:after="100" w:line="312" w:lineRule="auto"/>
        <w:ind w:firstLine="425"/>
      </w:pPr>
      <w:r>
        <w:rPr>
          <w:rFonts w:ascii="Times New Roman" w:hAnsi="Times New Roman" w:eastAsia="宋体"/>
          <w:b w:val="0"/>
          <w:sz w:val="22"/>
        </w:rPr>
        <w:t>Sample表示无放回抽样，</w:t>
      </w:r>
      <m:oMath>
        <m:r>
          <m:rPr/>
          <w:rPr>
            <w:rFonts w:ascii="Cambria Math" w:hAnsi="Cambria Math"/>
            <w:sz w:val="22"/>
          </w:rPr>
          <m:t>ρ</m:t>
        </m:r>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oMath>
      <w:r>
        <w:rPr>
          <w:rFonts w:ascii="Times New Roman" w:hAnsi="Times New Roman" w:eastAsia="宋体"/>
          <w:b w:val="0"/>
          <w:sz w:val="22"/>
        </w:rPr>
        <w:t>，且</w:t>
      </w:r>
      <m:oMath>
        <m:r>
          <m:rPr/>
          <w:rPr>
            <w:rFonts w:ascii="Cambria Math" w:hAnsi="Cambria Math"/>
            <w:sz w:val="22"/>
          </w:rPr>
          <m:t>ρm</m:t>
        </m:r>
      </m:oMath>
      <w:r>
        <w:rPr>
          <w:rFonts w:ascii="Times New Roman" w:hAnsi="Times New Roman" w:eastAsia="宋体"/>
          <w:b w:val="0"/>
          <w:sz w:val="22"/>
        </w:rPr>
        <w:t>与</w:t>
      </w:r>
      <m:oMath>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ρ</m:t>
        </m:r>
        <m:r>
          <m:rPr>
            <m:sty m:val="p"/>
          </m:rPr>
          <w:rPr>
            <w:rFonts w:ascii="Cambria Math" w:hAnsi="Cambria Math"/>
            <w:sz w:val="22"/>
          </w:rPr>
          <m:t>)</m:t>
        </m:r>
        <m:r>
          <m:rPr/>
          <w:rPr>
            <w:rFonts w:ascii="Cambria Math" w:hAnsi="Cambria Math"/>
            <w:sz w:val="22"/>
          </w:rPr>
          <m:t>m</m:t>
        </m:r>
      </m:oMath>
      <w:r>
        <w:rPr>
          <w:rFonts w:ascii="Times New Roman" w:hAnsi="Times New Roman" w:eastAsia="宋体"/>
          <w:b w:val="0"/>
          <w:sz w:val="22"/>
        </w:rPr>
        <w:t>均为整数，分别不超过Q5与Q1至Q4并集的候选容量。将各类别目标合并为测试集</w:t>
      </w:r>
      <m:oMath>
        <m:sSup>
          <m:sSupPr/>
          <m:e>
            <m:r>
              <m:rPr/>
              <w:rPr>
                <w:rFonts w:ascii="Cambria Math" w:hAnsi="Cambria Math"/>
                <w:sz w:val="22"/>
              </w:rPr>
              <m:t>T</m:t>
            </m:r>
          </m:e>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m:rPr/>
          <w:rPr>
            <w:rFonts w:ascii="Cambria Math" w:hAnsi="Cambria Math"/>
            <w:sz w:val="22"/>
          </w:rPr>
          <m:t>ρ</m:t>
        </m:r>
        <m:r>
          <m:rPr>
            <m:sty m:val="p"/>
          </m:rPr>
          <w:rPr>
            <w:rFonts w:ascii="Cambria Math" w:hAnsi="Cambria Math"/>
            <w:sz w:val="22"/>
          </w:rPr>
          <m:t>)</m:t>
        </m:r>
      </m:oMath>
      <w:r>
        <w:rPr>
          <w:rFonts w:ascii="Times New Roman" w:hAnsi="Times New Roman" w:eastAsia="宋体"/>
          <w:b w:val="0"/>
          <w:sz w:val="22"/>
        </w:rPr>
        <w:t>，使测试总量</w:t>
      </w:r>
      <m:oMath>
        <m:r>
          <m:rPr/>
          <w:rPr>
            <w:rFonts w:ascii="Cambria Math" w:hAnsi="Cambria Math"/>
            <w:sz w:val="22"/>
          </w:rPr>
          <m:t>Km</m:t>
        </m:r>
      </m:oMath>
      <w:r>
        <w:rPr>
          <w:rFonts w:ascii="Times New Roman" w:hAnsi="Times New Roman" w:eastAsia="宋体"/>
          <w:b w:val="0"/>
          <w:sz w:val="22"/>
        </w:rPr>
        <w:t>和类别比例保持一致。对各比例重复抽样；在每个比例及每次重复中，各模型使用同一测试样本集合，以比较性能响应及模型间排名变化。模型扩展分析采用Q1与Q5混合；两种混合协议对应的模型组、抽样设置和结果在实验章节分别说明。</w:t>
      </w:r>
    </w:p>
    <w:p w14:paraId="644EE53E">
      <w:pPr>
        <w:keepLines/>
        <w:spacing w:after="100" w:line="312" w:lineRule="auto"/>
        <w:ind w:firstLine="425"/>
      </w:pPr>
      <w:r>
        <w:rPr>
          <w:rFonts w:ascii="Times New Roman" w:hAnsi="Times New Roman" w:eastAsia="宋体"/>
          <w:b w:val="0"/>
          <w:sz w:val="22"/>
        </w:rPr>
        <w:t>风险构成约束使不同方法在规定预算点具有相同的风险格频数，但不保证所有视觉属性或潜在分类难度完全一致。覆盖度量描述状态支持，风险评分组织视觉条件；提高覆盖不预设提高风险，风险增大也不预设所有相邻层的实测表现严格递减。</w:t>
      </w:r>
    </w:p>
    <w:p w14:paraId="4325166F">
      <w:pPr>
        <w:pStyle w:val="3"/>
        <w:spacing w:before="180" w:after="100"/>
        <w:rPr>
          <w:rFonts w:hint="eastAsia" w:ascii="黑体" w:hAnsi="黑体" w:eastAsia="黑体" w:cs="黑体"/>
        </w:rPr>
      </w:pPr>
      <w:r>
        <w:rPr>
          <w:rFonts w:hint="eastAsia" w:ascii="黑体" w:hAnsi="黑体" w:eastAsia="黑体" w:cs="黑体"/>
        </w:rPr>
        <w:t>3.5 视觉条件评价与失败信息广度</w:t>
      </w:r>
    </w:p>
    <w:p w14:paraId="5926199B">
      <w:pPr>
        <w:pStyle w:val="4"/>
        <w:spacing w:before="180" w:after="100"/>
        <w:rPr>
          <w:rFonts w:hint="eastAsia" w:ascii="黑体" w:hAnsi="黑体" w:eastAsia="黑体" w:cs="黑体"/>
        </w:rPr>
      </w:pPr>
      <w:r>
        <w:rPr>
          <w:rFonts w:hint="eastAsia" w:ascii="黑体" w:hAnsi="黑体" w:eastAsia="黑体" w:cs="黑体"/>
        </w:rPr>
        <w:t>3.5.1 整体与状态条件表现</w:t>
      </w:r>
    </w:p>
    <w:p w14:paraId="45FDEE69">
      <w:pPr>
        <w:keepLines/>
        <w:spacing w:after="100" w:line="312" w:lineRule="auto"/>
        <w:ind w:firstLine="425"/>
      </w:pPr>
      <w:r>
        <w:rPr>
          <w:rFonts w:ascii="Times New Roman" w:hAnsi="Times New Roman" w:eastAsia="宋体"/>
          <w:b w:val="0"/>
          <w:sz w:val="22"/>
        </w:rPr>
        <w:t>被测分类器对目标裁剪图输出类别预测</w:t>
      </w:r>
      <m:oMath>
        <m:sSub>
          <m:sSubPr/>
          <m:e>
            <m:acc>
              <m:accPr/>
              <m:e>
                <m:r>
                  <m:rPr/>
                  <w:rPr>
                    <w:rFonts w:ascii="Cambria Math" w:hAnsi="Cambria Math"/>
                    <w:sz w:val="22"/>
                  </w:rPr>
                  <m:t>y</m:t>
                </m:r>
              </m:e>
            </m:acc>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f</m:t>
            </m:r>
          </m:e>
          <m:sub>
            <m:r>
              <m:rPr/>
              <w:rPr>
                <w:rFonts w:ascii="Cambria Math" w:hAnsi="Cambria Math"/>
                <w:sz w:val="22"/>
              </w:rPr>
              <m:t>θ</m:t>
            </m:r>
          </m:sub>
        </m:sSub>
        <m:r>
          <m:rPr>
            <m:sty m:val="p"/>
          </m:rPr>
          <w:rPr>
            <w:rFonts w:ascii="Cambria Math" w:hAnsi="Cambria Math"/>
            <w:sz w:val="22"/>
          </w:rPr>
          <m:t>(</m:t>
        </m:r>
        <m:sSub>
          <m:sSubPr/>
          <m:e>
            <m:r>
              <m:rPr/>
              <w:rPr>
                <w:rFonts w:ascii="Cambria Math" w:hAnsi="Cambria Math"/>
                <w:sz w:val="22"/>
              </w:rPr>
              <m:t>x</m:t>
            </m:r>
          </m:e>
          <m:sub>
            <m:r>
              <m:rPr/>
              <w:rPr>
                <w:rFonts w:ascii="Cambria Math" w:hAnsi="Cambria Math"/>
                <w:sz w:val="22"/>
              </w:rPr>
              <m:t>i</m:t>
            </m:r>
          </m:sub>
        </m:sSub>
        <m:r>
          <m:rPr>
            <m:sty m:val="p"/>
          </m:rPr>
          <w:rPr>
            <w:rFonts w:ascii="Cambria Math" w:hAnsi="Cambria Math"/>
            <w:sz w:val="22"/>
          </w:rPr>
          <m:t>)</m:t>
        </m:r>
      </m:oMath>
      <w:r>
        <w:rPr>
          <w:rFonts w:ascii="Times New Roman" w:hAnsi="Times New Roman" w:eastAsia="宋体"/>
          <w:b w:val="0"/>
          <w:sz w:val="22"/>
        </w:rPr>
        <w:t>。将预测、官方类别和视觉状态关联，计算测试集的Accuracy、Macro-Precision、Macro-Recall和Macro-F1。Macro-F1按各类别F1取算术平均，不由Macro-Precision与Macro-Recall直接求调和平均。</w:t>
      </w:r>
    </w:p>
    <w:p w14:paraId="772E7C43">
      <w:pPr>
        <w:keepNext/>
        <w:keepLines/>
        <w:spacing w:after="100" w:line="312" w:lineRule="auto"/>
        <w:ind w:firstLine="425"/>
      </w:pPr>
      <w:r>
        <w:rPr>
          <w:rFonts w:ascii="Times New Roman" w:hAnsi="Times New Roman" w:eastAsia="宋体"/>
          <w:b w:val="0"/>
          <w:sz w:val="22"/>
        </w:rPr>
        <w:t>进一步在真实类别</w:t>
      </w:r>
      <m:oMath>
        <m:r>
          <m:rPr/>
          <w:rPr>
            <w:rFonts w:ascii="Cambria Math" w:hAnsi="Cambria Math"/>
            <w:sz w:val="22"/>
          </w:rPr>
          <m:t>c</m:t>
        </m:r>
      </m:oMath>
      <w:r>
        <w:rPr>
          <w:rFonts w:ascii="Times New Roman" w:hAnsi="Times New Roman" w:eastAsia="宋体"/>
          <w:b w:val="0"/>
          <w:sz w:val="22"/>
        </w:rPr>
        <w:t>内，统计状态</w:t>
      </w:r>
      <m:oMath>
        <m:r>
          <m:rPr/>
          <w:rPr>
            <w:rFonts w:ascii="Cambria Math" w:hAnsi="Cambria Math"/>
            <w:sz w:val="22"/>
          </w:rPr>
          <m:t>s</m:t>
        </m:r>
      </m:oMath>
      <w:r>
        <w:rPr>
          <w:rFonts w:ascii="Times New Roman" w:hAnsi="Times New Roman" w:eastAsia="宋体"/>
          <w:b w:val="0"/>
          <w:sz w:val="22"/>
        </w:rPr>
        <w:t>的条件Recall：</w:t>
      </w:r>
    </w:p>
    <w:p w14:paraId="6F1DB560">
      <w:pPr>
        <w:spacing w:before="80" w:after="140"/>
        <w:jc w:val="center"/>
      </w:pPr>
      <m:oMathPara>
        <m:oMath>
          <m:sSubSup>
            <m:sSubSupPr/>
            <m:e>
              <m:r>
                <m:rPr>
                  <m:sty m:val="p"/>
                </m:rPr>
                <w:rPr>
                  <w:rFonts w:ascii="Cambria Math" w:hAnsi="Cambria Math"/>
                  <w:sz w:val="22"/>
                </w:rPr>
                <m:t>Rec</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f>
            <m:fPr/>
            <m:num>
              <m:nary>
                <m:naryPr>
                  <m:chr m:val="∑"/>
                  <m:limLoc m:val="undOvr"/>
                  <m:supHide m:val="1"/>
                </m:naryPr>
                <m:sub>
                  <m:r>
                    <m:rPr/>
                    <w:rPr>
                      <w:rFonts w:ascii="Cambria Math" w:hAnsi="Cambria Math"/>
                      <w:sz w:val="22"/>
                    </w:rPr>
                    <m:t>i</m:t>
                  </m:r>
                  <m:r>
                    <m:rPr>
                      <m:sty m:val="p"/>
                    </m:rPr>
                    <w:rPr>
                      <w:rFonts w:ascii="Cambria Math" w:hAnsi="Cambria Math"/>
                      <w:sz w:val="22"/>
                    </w:rPr>
                    <m:t>∈</m:t>
                  </m:r>
                  <m:r>
                    <m:rPr/>
                    <w:rPr>
                      <w:rFonts w:ascii="Cambria Math" w:hAnsi="Cambria Math"/>
                      <w:sz w:val="22"/>
                    </w:rPr>
                    <m:t>T</m:t>
                  </m:r>
                </m:sub>
                <m:sup>
                  <m:r>
                    <m:rPr/>
                    <w:rPr>
                      <w:rFonts w:ascii="Cambria Math" w:hAnsi="Cambria Math"/>
                      <w:sz w:val="22"/>
                    </w:rPr>
                    <m:t>​</m:t>
                  </m:r>
                </m:sup>
                <m:e>
                  <m:r>
                    <m:rPr>
                      <m:sty m:val="b"/>
                    </m:rPr>
                    <w:rPr>
                      <w:rFonts w:ascii="Cambria Math" w:hAnsi="Cambria Math"/>
                      <w:sz w:val="22"/>
                    </w:rPr>
                    <m:t>1</m:t>
                  </m:r>
                </m:e>
              </m:nary>
              <m:d>
                <m:dPr>
                  <m:begChr m:val="{"/>
                  <m:sepChr m:val=""/>
                  <m:endChr m:val="}"/>
                </m:dPr>
                <m:e>
                  <m:sSub>
                    <m:sSubPr/>
                    <m:e>
                      <m:r>
                        <m:rPr/>
                        <w:rPr>
                          <w:rFonts w:ascii="Cambria Math" w:hAnsi="Cambria Math"/>
                          <w:sz w:val="22"/>
                        </w:rPr>
                        <m:t>y</m:t>
                      </m:r>
                    </m:e>
                    <m:sub>
                      <m:r>
                        <m:rPr/>
                        <w:rPr>
                          <w:rFonts w:ascii="Cambria Math" w:hAnsi="Cambria Math"/>
                          <w:sz w:val="22"/>
                        </w:rPr>
                        <m:t>i</m:t>
                      </m:r>
                    </m:sub>
                  </m:sSub>
                  <m:r>
                    <m:rPr>
                      <m:sty m:val="p"/>
                    </m:rPr>
                    <w:rPr>
                      <w:rFonts w:ascii="Cambria Math" w:hAnsi="Cambria Math"/>
                      <w:sz w:val="22"/>
                    </w:rPr>
                    <m:t>=</m:t>
                  </m:r>
                  <m:r>
                    <m:rPr/>
                    <w:rPr>
                      <w:rFonts w:ascii="Cambria Math" w:hAnsi="Cambria Math"/>
                      <w:sz w:val="22"/>
                    </w:rPr>
                    <m:t>c</m:t>
                  </m:r>
                </m:e>
              </m:d>
              <m:r>
                <m:rPr/>
                <w:rPr>
                  <w:rFonts w:ascii="Cambria Math" w:hAnsi="Cambria Math"/>
                  <w:sz w:val="22"/>
                </w:rPr>
                <m:t> </m:t>
              </m:r>
              <m:r>
                <m:rPr>
                  <m:sty m:val="b"/>
                </m:rPr>
                <w:rPr>
                  <w:rFonts w:ascii="Cambria Math" w:hAnsi="Cambria Math"/>
                  <w:sz w:val="22"/>
                </w:rPr>
                <m:t>1</m:t>
              </m:r>
              <m:d>
                <m:dPr>
                  <m:begChr m:val="{"/>
                  <m:sepChr m:val=""/>
                  <m:endChr m:val="}"/>
                </m:dPr>
                <m:e>
                  <m:r>
                    <m:rPr/>
                    <w:rPr>
                      <w:rFonts w:ascii="Cambria Math" w:hAnsi="Cambria Math"/>
                      <w:sz w:val="22"/>
                    </w:rPr>
                    <m:t>s</m:t>
                  </m:r>
                  <m:r>
                    <m:rPr>
                      <m:sty m:val="p"/>
                    </m:rPr>
                    <w:rPr>
                      <w:rFonts w:ascii="Cambria Math" w:hAnsi="Cambria Math"/>
                      <w:sz w:val="22"/>
                    </w:rPr>
                    <m:t>∈</m:t>
                  </m:r>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d>
              <m:r>
                <m:rPr/>
                <w:rPr>
                  <w:rFonts w:ascii="Cambria Math" w:hAnsi="Cambria Math"/>
                  <w:sz w:val="22"/>
                </w:rPr>
                <m:t> </m:t>
              </m:r>
              <m:r>
                <m:rPr>
                  <m:sty m:val="b"/>
                </m:rPr>
                <w:rPr>
                  <w:rFonts w:ascii="Cambria Math" w:hAnsi="Cambria Math"/>
                  <w:sz w:val="22"/>
                </w:rPr>
                <m:t>1</m:t>
              </m:r>
              <m:d>
                <m:dPr>
                  <m:begChr m:val="{"/>
                  <m:sepChr m:val=""/>
                  <m:endChr m:val="}"/>
                </m:dPr>
                <m:e>
                  <m:sSub>
                    <m:sSubPr/>
                    <m:e>
                      <m:acc>
                        <m:accPr/>
                        <m:e>
                          <m:r>
                            <m:rPr/>
                            <w:rPr>
                              <w:rFonts w:ascii="Cambria Math" w:hAnsi="Cambria Math"/>
                              <w:sz w:val="22"/>
                            </w:rPr>
                            <m:t>y</m:t>
                          </m:r>
                        </m:e>
                      </m:acc>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y</m:t>
                      </m:r>
                    </m:e>
                    <m:sub>
                      <m:r>
                        <m:rPr/>
                        <w:rPr>
                          <w:rFonts w:ascii="Cambria Math" w:hAnsi="Cambria Math"/>
                          <w:sz w:val="22"/>
                        </w:rPr>
                        <m:t>i</m:t>
                      </m:r>
                    </m:sub>
                  </m:sSub>
                </m:e>
              </m:d>
            </m:num>
            <m:den>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den>
          </m:f>
          <m:r>
            <m:rPr>
              <m:sty m:val="p"/>
            </m:rPr>
            <w:rPr>
              <w:rFonts w:ascii="Cambria Math" w:hAnsi="Cambria Math"/>
              <w:sz w:val="22"/>
            </w:rPr>
            <m:t>.</m:t>
          </m:r>
        </m:oMath>
      </m:oMathPara>
    </w:p>
    <w:p w14:paraId="6C874ADD">
      <w:pPr>
        <w:keepNext/>
        <w:keepLines/>
        <w:spacing w:after="100" w:line="312" w:lineRule="auto"/>
        <w:ind w:firstLine="425"/>
      </w:pPr>
      <w:r>
        <w:rPr>
          <w:rFonts w:ascii="Times New Roman" w:hAnsi="Times New Roman" w:eastAsia="宋体"/>
          <w:b w:val="0"/>
          <w:sz w:val="22"/>
        </w:rPr>
        <w:t>该指标表示具有相应视觉状态的该类目标中被正确识别的比例。只有状态支持数大于零时才计算，并同时报告支持数。以该类别在同一目标集合上的总体Recall为参考，定义状态差：</w:t>
      </w:r>
    </w:p>
    <w:p w14:paraId="2B694282">
      <w:pPr>
        <w:spacing w:before="80" w:after="140"/>
        <w:jc w:val="center"/>
      </w:pPr>
      <m:oMathPara>
        <m:oMath>
          <m:sSubSup>
            <m:sSubSupPr/>
            <m:e>
              <m:r>
                <m:rPr>
                  <m:sty m:val="p"/>
                </m:rPr>
                <w:rPr>
                  <w:rFonts w:ascii="Cambria Math" w:hAnsi="Cambria Math"/>
                  <w:sz w:val="22"/>
                </w:rPr>
                <m:t>Δ</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sSubSup>
            <m:sSubSupPr/>
            <m:e>
              <m:r>
                <m:rPr>
                  <m:sty m:val="p"/>
                </m:rPr>
                <w:rPr>
                  <w:rFonts w:ascii="Cambria Math" w:hAnsi="Cambria Math"/>
                  <w:sz w:val="22"/>
                </w:rPr>
                <m:t>Rec</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sSub>
            <m:sSubPr/>
            <m:e>
              <m:r>
                <m:rPr>
                  <m:sty m:val="p"/>
                </m:rPr>
                <w:rPr>
                  <w:rFonts w:ascii="Cambria Math" w:hAnsi="Cambria Math"/>
                  <w:sz w:val="22"/>
                </w:rPr>
                <m:t>Rec</m:t>
              </m:r>
            </m:e>
            <m:sub>
              <m:r>
                <m:rPr/>
                <w:rPr>
                  <w:rFonts w:ascii="Cambria Math" w:hAnsi="Cambria Math"/>
                  <w:sz w:val="22"/>
                </w:rPr>
                <m:t>c</m:t>
              </m:r>
            </m:sub>
          </m:sSub>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oMath>
      </m:oMathPara>
    </w:p>
    <w:p w14:paraId="2DAF630E">
      <w:pPr>
        <w:keepLines/>
        <w:spacing w:after="100" w:line="312" w:lineRule="auto"/>
        <w:ind w:firstLine="425"/>
      </w:pPr>
      <w:r>
        <w:rPr>
          <w:rFonts w:ascii="Times New Roman" w:hAnsi="Times New Roman" w:eastAsia="宋体"/>
          <w:b w:val="0"/>
          <w:sz w:val="22"/>
        </w:rPr>
        <w:t>负差表示模型在该状态下的表现低于对应类别参考。状态集合可能重叠，因此各条件差不作为互相独立的错误类型或因果效应。</w:t>
      </w:r>
    </w:p>
    <w:p w14:paraId="651740BE">
      <w:pPr>
        <w:pStyle w:val="4"/>
        <w:spacing w:before="180" w:after="100"/>
        <w:rPr>
          <w:rFonts w:hint="eastAsia" w:ascii="黑体" w:hAnsi="黑体" w:eastAsia="黑体" w:cs="黑体"/>
        </w:rPr>
      </w:pPr>
      <w:r>
        <w:rPr>
          <w:rFonts w:hint="eastAsia" w:ascii="黑体" w:hAnsi="黑体" w:eastAsia="黑体" w:cs="黑体"/>
        </w:rPr>
        <w:t>3.5.2 错误数量与失败信息的区分</w:t>
      </w:r>
    </w:p>
    <w:p w14:paraId="0EFA6508">
      <w:pPr>
        <w:keepLines/>
        <w:spacing w:after="100" w:line="312" w:lineRule="auto"/>
        <w:ind w:firstLine="425"/>
      </w:pPr>
      <w:r>
        <w:rPr>
          <w:rFonts w:ascii="Times New Roman" w:hAnsi="Times New Roman" w:eastAsia="宋体"/>
          <w:b w:val="0"/>
          <w:sz w:val="22"/>
        </w:rPr>
        <w:t>对选样结果分别统计失败状态广度、混淆类型广度与表征簇广度。失败状态广度为已选集合中满足预设支持门槛且包含至少一个分类错误的视觉状态数，占该类别固定状态集合</w:t>
      </w:r>
      <m:oMath>
        <m:sSub>
          <m:sSubPr/>
          <m:e>
            <m:r>
              <m:rPr/>
              <w:rPr>
                <w:rFonts w:ascii="Cambria Math" w:hAnsi="Cambria Math"/>
                <w:sz w:val="22"/>
              </w:rPr>
              <m:t>U</m:t>
            </m:r>
          </m:e>
          <m:sub>
            <m:r>
              <m:rPr/>
              <w:rPr>
                <w:rFonts w:ascii="Cambria Math" w:hAnsi="Cambria Math"/>
                <w:sz w:val="22"/>
              </w:rPr>
              <m:t>c</m:t>
            </m:r>
          </m:sub>
        </m:sSub>
      </m:oMath>
      <w:r>
        <w:rPr>
          <w:rFonts w:ascii="Times New Roman" w:hAnsi="Times New Roman" w:eastAsia="宋体"/>
          <w:b w:val="0"/>
          <w:sz w:val="22"/>
        </w:rPr>
        <w:t>的比例，再进行类别宏平均。该支持门槛当前取3，用于判断状态是否具有基本测试支持，与第3.6节的薄弱条件筛选门槛分别设置。失败状态广度未经等错误数控制，可能随错误数量增加而增大，也直接依赖用于选样的自动状态词表，故作为描述性指标，与对应错误数量和错误率同时报告，不据此单独认定获得了更多独立失败信息。</w:t>
      </w:r>
    </w:p>
    <w:p w14:paraId="710048CA">
      <w:pPr>
        <w:keepLines/>
        <w:spacing w:after="100" w:line="312" w:lineRule="auto"/>
        <w:ind w:firstLine="425"/>
      </w:pPr>
      <w:r>
        <w:rPr>
          <w:rFonts w:ascii="Times New Roman" w:hAnsi="Times New Roman" w:eastAsia="宋体"/>
          <w:b w:val="0"/>
          <w:sz w:val="22"/>
        </w:rPr>
        <w:t>混淆类型由真实类别与错误预测类别的配对定义，其广度为所选错误覆盖的混淆类型比例。对于给定模型、训练种子和真实类别，归一化分母取其在完整候选池中实际出现的错误预测类别数。“完整候选池”指选样之前用于本轮评价的全部候选目标，而非某个预算下已选出的目标。</w:t>
      </w:r>
    </w:p>
    <w:p>
      <w:pPr>
        <w:keepLines/>
        <w:spacing w:after="100" w:line="312" w:lineRule="auto"/>
        <w:ind w:firstLine="425"/>
      </w:pPr>
      <w:r>
        <w:rPr>
          <w:rFonts w:ascii="Times New Roman" w:hAnsi="Times New Roman" w:eastAsia="宋体"/>
          <w:b w:val="0"/>
          <w:sz w:val="22"/>
        </w:rPr>
        <w:t>表征簇广度为所选错误覆盖的表征簇比例。对给定模型、训练种子和真实类别，先从完整候选池中提取全部分类错误目标，并仅对这些错误目标的表征聚类；正确目标不参与该聚类。所得簇数作为固定分母，表示当前模型在该候选池中错误目标的表征划分，不代表完整输入空间的簇数。比较同一模型和训练种子下的不同选样方法及预算时，沿用相同的错误集合、聚类结果和分母。</w:t>
      </w:r>
    </w:p>
    <w:p>
      <w:pPr>
        <w:keepLines/>
        <w:spacing w:after="100" w:line="312" w:lineRule="auto"/>
        <w:ind w:firstLine="425"/>
      </w:pPr>
      <w:r>
        <w:rPr>
          <w:rFonts w:ascii="Times New Roman" w:hAnsi="Times New Roman" w:eastAsia="宋体"/>
          <w:b w:val="0"/>
          <w:sz w:val="22"/>
        </w:rPr>
        <w:t>选样独立确认的主分析使用被测分类器最终分类层的输入表征，另以统一ViT-B/16表征作敏感性分析；风险混合分析使用统一ViT-B/16表征。错误表征先进行L2归一化，再以K-means聚类。错误数不少于2时，簇数取其平方根四舍五入后截在2至8之间；零错误和单错误分别对应零簇和一簇。初始化次数与随机种子在实验设置中给出。</w:t>
      </w:r>
    </w:p>
    <w:p>
      <w:pPr>
        <w:keepLines/>
        <w:spacing w:after="100" w:line="312" w:lineRule="auto"/>
        <w:ind w:firstLine="425"/>
      </w:pPr>
      <w:r>
        <w:rPr>
          <w:rFonts w:ascii="Times New Roman" w:hAnsi="Times New Roman" w:eastAsia="宋体"/>
          <w:b w:val="0"/>
          <w:sz w:val="22"/>
        </w:rPr>
        <w:t>即使使用统一表征，不同模型或训练种子的错误集合及聚类结果也可能不同。因此，跨模型分析先计算各模型内选样方法的配对差异，再按架构汇总，不直接以原始簇比例进行跨模型排名。表征簇描述错误样本的表征多样性，不等同于独立缺陷或错误根因。</w:t>
      </w:r>
    </w:p>
    <w:p w14:paraId="65199596">
      <w:pPr>
        <w:keepNext/>
        <w:keepLines/>
        <w:spacing w:after="100" w:line="312" w:lineRule="auto"/>
        <w:ind w:firstLine="425"/>
      </w:pPr>
      <w:r>
        <w:rPr>
          <w:rFonts w:ascii="Times New Roman" w:hAnsi="Times New Roman" w:eastAsia="宋体"/>
          <w:b w:val="0"/>
          <w:sz w:val="22"/>
        </w:rPr>
        <w:t>为比较相同错误数量下的信息广度，仅对混淆类型与表征簇进行等错误数控制。在每个真实类别中，取两种方法错误数的较小值</w:t>
      </w:r>
      <m:oMath>
        <m:r>
          <m:rPr/>
          <w:rPr>
            <w:rFonts w:ascii="Cambria Math" w:hAnsi="Cambria Math"/>
            <w:sz w:val="22"/>
          </w:rPr>
          <m:t>q</m:t>
        </m:r>
      </m:oMath>
      <w:r>
        <w:rPr>
          <w:rFonts w:ascii="Times New Roman" w:hAnsi="Times New Roman" w:eastAsia="宋体"/>
          <w:b w:val="0"/>
          <w:sz w:val="22"/>
        </w:rPr>
        <w:t>。设某方法共有</w:t>
      </w:r>
      <m:oMath>
        <m:r>
          <m:rPr/>
          <w:rPr>
            <w:rFonts w:ascii="Cambria Math" w:hAnsi="Cambria Math"/>
            <w:sz w:val="22"/>
          </w:rPr>
          <m:t>N</m:t>
        </m:r>
      </m:oMath>
      <w:r>
        <w:rPr>
          <w:rFonts w:ascii="Times New Roman" w:hAnsi="Times New Roman" w:eastAsia="宋体"/>
          <w:b w:val="0"/>
          <w:sz w:val="22"/>
        </w:rPr>
        <w:t>个错误，其中一种混淆类型或表征簇出现</w:t>
      </w:r>
      <m:oMath>
        <m:r>
          <m:rPr/>
          <w:rPr>
            <w:rFonts w:ascii="Cambria Math" w:hAnsi="Cambria Math"/>
            <w:sz w:val="22"/>
          </w:rPr>
          <m:t>e</m:t>
        </m:r>
      </m:oMath>
      <w:r>
        <w:rPr>
          <w:rFonts w:ascii="Times New Roman" w:hAnsi="Times New Roman" w:eastAsia="宋体"/>
          <w:b w:val="0"/>
          <w:sz w:val="22"/>
        </w:rPr>
        <w:t>次，则无放回抽取</w:t>
      </w:r>
      <m:oMath>
        <m:r>
          <m:rPr/>
          <w:rPr>
            <w:rFonts w:ascii="Cambria Math" w:hAnsi="Cambria Math"/>
            <w:sz w:val="22"/>
          </w:rPr>
          <m:t>q</m:t>
        </m:r>
      </m:oMath>
      <w:r>
        <w:rPr>
          <w:rFonts w:ascii="Times New Roman" w:hAnsi="Times New Roman" w:eastAsia="宋体"/>
          <w:b w:val="0"/>
          <w:sz w:val="22"/>
        </w:rPr>
        <w:t>个错误后观察到该类型的期望贡献为：</w:t>
      </w:r>
    </w:p>
    <w:p w14:paraId="6C171FC7">
      <w:pPr>
        <w:spacing w:before="80" w:after="140"/>
        <w:jc w:val="center"/>
      </w:pPr>
      <m:oMathPara>
        <m:oMath>
          <m:r>
            <m:rPr>
              <m:sty m:val="p"/>
              <m:scr m:val="double-struck"/>
            </m:rPr>
            <w:rPr>
              <w:rFonts w:ascii="Cambria Math" w:hAnsi="Cambria Math"/>
              <w:sz w:val="22"/>
            </w:rPr>
            <m:t>E</m:t>
          </m:r>
          <m:d>
            <m:dPr>
              <m:begChr m:val="["/>
              <m:sepChr m:val=""/>
              <m:endChr m:val="]"/>
            </m:dPr>
            <m:e>
              <m:r>
                <m:rPr>
                  <m:sty m:val="b"/>
                </m:rPr>
                <w:rPr>
                  <w:rFonts w:ascii="Cambria Math" w:hAnsi="Cambria Math"/>
                  <w:sz w:val="22"/>
                </w:rPr>
                <m:t>1</m:t>
              </m:r>
              <m:d>
                <m:dPr>
                  <m:begChr m:val="{"/>
                  <m:sepChr m:val=""/>
                  <m:endChr m:val="}"/>
                </m:dPr>
                <m:e>
                  <m:r>
                    <m:rPr>
                      <m:nor/>
                      <m:sty m:val="p"/>
                    </m:rPr>
                    <w:rPr>
                      <w:rFonts w:ascii="Cambria Math" w:hAnsi="Cambria Math"/>
                      <w:b w:val="0"/>
                      <w:i w:val="0"/>
                      <w:sz w:val="22"/>
                    </w:rPr>
                    <m:t>type observed</m:t>
                  </m:r>
                </m:e>
              </m:d>
            </m:e>
          </m:d>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f>
            <m:fPr/>
            <m:num>
              <m:d>
                <m:dPr>
                  <m:sepChr m:val=""/>
                </m:dPr>
                <m:e>
                  <m:f>
                    <m:fPr>
                      <m:type m:val="noBar"/>
                    </m:fPr>
                    <m:num>
                      <m:r>
                        <m:rPr/>
                        <w:rPr>
                          <w:rFonts w:ascii="Cambria Math" w:hAnsi="Cambria Math"/>
                          <w:sz w:val="22"/>
                        </w:rPr>
                        <m:t>N</m:t>
                      </m:r>
                      <m:r>
                        <m:rPr>
                          <m:sty m:val="p"/>
                        </m:rPr>
                        <w:rPr>
                          <w:rFonts w:ascii="Cambria Math" w:hAnsi="Cambria Math"/>
                          <w:sz w:val="22"/>
                        </w:rPr>
                        <m:t>−</m:t>
                      </m:r>
                      <m:r>
                        <m:rPr/>
                        <w:rPr>
                          <w:rFonts w:ascii="Cambria Math" w:hAnsi="Cambria Math"/>
                          <w:sz w:val="22"/>
                        </w:rPr>
                        <m:t>e</m:t>
                      </m:r>
                    </m:num>
                    <m:den>
                      <m:r>
                        <m:rPr/>
                        <w:rPr>
                          <w:rFonts w:ascii="Cambria Math" w:hAnsi="Cambria Math"/>
                          <w:sz w:val="22"/>
                        </w:rPr>
                        <m:t>q</m:t>
                      </m:r>
                    </m:den>
                  </m:f>
                </m:e>
              </m:d>
            </m:num>
            <m:den>
              <m:d>
                <m:dPr>
                  <m:sepChr m:val=""/>
                </m:dPr>
                <m:e>
                  <m:f>
                    <m:fPr>
                      <m:type m:val="noBar"/>
                    </m:fPr>
                    <m:num>
                      <m:r>
                        <m:rPr/>
                        <w:rPr>
                          <w:rFonts w:ascii="Cambria Math" w:hAnsi="Cambria Math"/>
                          <w:sz w:val="22"/>
                        </w:rPr>
                        <m:t>N</m:t>
                      </m:r>
                    </m:num>
                    <m:den>
                      <m:r>
                        <m:rPr/>
                        <w:rPr>
                          <w:rFonts w:ascii="Cambria Math" w:hAnsi="Cambria Math"/>
                          <w:sz w:val="22"/>
                        </w:rPr>
                        <m:t>q</m:t>
                      </m:r>
                    </m:den>
                  </m:f>
                </m:e>
              </m:d>
            </m:den>
          </m:f>
          <m:r>
            <m:rPr>
              <m:sty m:val="p"/>
            </m:rPr>
            <w:rPr>
              <w:rFonts w:ascii="Cambria Math" w:hAnsi="Cambria Math"/>
              <w:sz w:val="22"/>
            </w:rPr>
            <m:t>.</m:t>
          </m:r>
        </m:oMath>
      </m:oMathPara>
    </w:p>
    <w:p w14:paraId="2CB749FE">
      <w:pPr>
        <w:keepLines/>
        <w:spacing w:after="100" w:line="312" w:lineRule="auto"/>
        <w:ind w:firstLine="425"/>
      </w:pPr>
      <w:r>
        <w:rPr>
          <w:rFonts w:ascii="Times New Roman" w:hAnsi="Times New Roman" w:eastAsia="宋体"/>
          <w:b w:val="0"/>
          <w:sz w:val="22"/>
        </w:rPr>
        <w:t>上式在</w:t>
      </w:r>
      <m:oMath>
        <m:r>
          <m:rPr/>
          <w:rPr>
            <w:rFonts w:ascii="Cambria Math" w:hAnsi="Cambria Math"/>
            <w:sz w:val="22"/>
          </w:rPr>
          <m:t>N</m:t>
        </m:r>
        <m:r>
          <m:rPr>
            <m:sty m:val="p"/>
          </m:rPr>
          <w:rPr>
            <w:rFonts w:ascii="Cambria Math" w:hAnsi="Cambria Math"/>
            <w:sz w:val="22"/>
          </w:rPr>
          <m:t>&gt;</m:t>
        </m:r>
        <m:r>
          <m:rPr/>
          <w:rPr>
            <w:rFonts w:ascii="Cambria Math" w:hAnsi="Cambria Math"/>
            <w:sz w:val="22"/>
          </w:rPr>
          <m:t>0</m:t>
        </m:r>
      </m:oMath>
      <w:r>
        <w:rPr>
          <w:rFonts w:ascii="Times New Roman" w:hAnsi="Times New Roman" w:eastAsia="宋体"/>
          <w:b w:val="0"/>
          <w:sz w:val="22"/>
        </w:rPr>
        <w:t>、</w:t>
      </w:r>
      <m:oMath>
        <m:r>
          <m:rPr/>
          <w:rPr>
            <w:rFonts w:ascii="Cambria Math" w:hAnsi="Cambria Math"/>
            <w:sz w:val="22"/>
          </w:rPr>
          <m:t>0</m:t>
        </m:r>
        <m:r>
          <m:rPr>
            <m:sty m:val="p"/>
          </m:rPr>
          <w:rPr>
            <w:rFonts w:ascii="Cambria Math" w:hAnsi="Cambria Math"/>
            <w:sz w:val="22"/>
          </w:rPr>
          <m:t>≤</m:t>
        </m:r>
        <m:r>
          <m:rPr/>
          <w:rPr>
            <w:rFonts w:ascii="Cambria Math" w:hAnsi="Cambria Math"/>
            <w:sz w:val="22"/>
          </w:rPr>
          <m:t>q</m:t>
        </m:r>
        <m:r>
          <m:rPr>
            <m:sty m:val="p"/>
          </m:rPr>
          <w:rPr>
            <w:rFonts w:ascii="Cambria Math" w:hAnsi="Cambria Math"/>
            <w:sz w:val="22"/>
          </w:rPr>
          <m:t>≤</m:t>
        </m:r>
        <m:r>
          <m:rPr/>
          <w:rPr>
            <w:rFonts w:ascii="Cambria Math" w:hAnsi="Cambria Math"/>
            <w:sz w:val="22"/>
          </w:rPr>
          <m:t>N</m:t>
        </m:r>
      </m:oMath>
      <w:r>
        <w:rPr>
          <w:rFonts w:ascii="Times New Roman" w:hAnsi="Times New Roman" w:eastAsia="宋体"/>
          <w:b w:val="0"/>
          <w:sz w:val="22"/>
        </w:rPr>
        <w:t>时计算；若</w:t>
      </w:r>
      <m:oMath>
        <m:r>
          <m:rPr/>
          <w:rPr>
            <w:rFonts w:ascii="Cambria Math" w:hAnsi="Cambria Math"/>
            <w:sz w:val="22"/>
          </w:rPr>
          <m:t>q</m:t>
        </m:r>
        <m:r>
          <m:rPr>
            <m:sty m:val="p"/>
          </m:rPr>
          <w:rPr>
            <w:rFonts w:ascii="Cambria Math" w:hAnsi="Cambria Math"/>
            <w:sz w:val="22"/>
          </w:rPr>
          <m:t>&gt;</m:t>
        </m:r>
        <m:r>
          <m:rPr/>
          <w:rPr>
            <w:rFonts w:ascii="Cambria Math" w:hAnsi="Cambria Math"/>
            <w:sz w:val="22"/>
          </w:rPr>
          <m:t>N</m:t>
        </m:r>
        <m:r>
          <m:rPr>
            <m:sty m:val="p"/>
          </m:rPr>
          <w:rPr>
            <w:rFonts w:ascii="Cambria Math" w:hAnsi="Cambria Math"/>
            <w:sz w:val="22"/>
          </w:rPr>
          <m:t>−</m:t>
        </m:r>
        <m:r>
          <m:rPr/>
          <w:rPr>
            <w:rFonts w:ascii="Cambria Math" w:hAnsi="Cambria Math"/>
            <w:sz w:val="22"/>
          </w:rPr>
          <m:t>e</m:t>
        </m:r>
      </m:oMath>
      <w:r>
        <w:rPr>
          <w:rFonts w:ascii="Times New Roman" w:hAnsi="Times New Roman" w:eastAsia="宋体"/>
          <w:b w:val="0"/>
          <w:sz w:val="22"/>
        </w:rPr>
        <w:t>，分子组合数取零。分别对两类指标的类型贡献求和，按上述完整候选池中的类型数或簇数归一化，再进行类别宏平均。若</w:t>
      </w:r>
      <m:oMath>
        <m:r>
          <m:rPr/>
          <w:rPr>
            <w:rFonts w:ascii="Cambria Math" w:hAnsi="Cambria Math"/>
            <w:sz w:val="22"/>
          </w:rPr>
          <m:t>q</m:t>
        </m:r>
      </m:oMath>
      <w:r>
        <w:rPr>
          <w:rFonts w:ascii="Times New Roman" w:hAnsi="Times New Roman" w:eastAsia="宋体"/>
          <w:b w:val="0"/>
          <w:sz w:val="22"/>
        </w:rPr>
        <w:t>为零或相应分母为零，广度贡献记为零，同时注明缺少可比较的错误证据。不同选样规模下的曲线可通过归一化面积汇总；此面积是测试规模曲线的统计量，不是ROC-AUC或分类性能提升。</w:t>
      </w:r>
    </w:p>
    <w:p w14:paraId="6F8FD118">
      <w:pPr>
        <w:keepLines/>
        <w:spacing w:after="100" w:line="312" w:lineRule="auto"/>
        <w:ind w:firstLine="425"/>
      </w:pPr>
      <w:r>
        <w:rPr>
          <w:rFonts w:ascii="Times New Roman" w:hAnsi="Times New Roman" w:eastAsia="宋体"/>
          <w:b w:val="0"/>
          <w:sz w:val="22"/>
        </w:rPr>
        <w:t>等错误数处理是分类预测后的评价步骤，不用于提前选择目标。错误数量与信息广度分别回答“发现多少错误”和“在相同错误数量下获得多少不同失败信息”。</w:t>
      </w:r>
    </w:p>
    <w:p w14:paraId="5FEA7519">
      <w:pPr>
        <w:pStyle w:val="3"/>
        <w:spacing w:before="180" w:after="100"/>
        <w:rPr>
          <w:rFonts w:hint="eastAsia" w:ascii="黑体" w:hAnsi="黑体" w:eastAsia="黑体" w:cs="黑体"/>
        </w:rPr>
      </w:pPr>
      <w:r>
        <w:rPr>
          <w:rFonts w:hint="eastAsia" w:ascii="黑体" w:hAnsi="黑体" w:eastAsia="黑体" w:cs="黑体"/>
        </w:rPr>
        <w:t>3.6 条件能力报告与薄弱条件复查</w:t>
      </w:r>
    </w:p>
    <w:p w14:paraId="6D377E47">
      <w:pPr>
        <w:keepLines/>
        <w:spacing w:after="100" w:line="312" w:lineRule="auto"/>
        <w:ind w:firstLine="425"/>
      </w:pPr>
      <w:r>
        <w:rPr>
          <w:rFonts w:ascii="Times New Roman" w:hAnsi="Times New Roman" w:eastAsia="宋体"/>
          <w:b w:val="0"/>
          <w:sz w:val="22"/>
        </w:rPr>
        <w:t>将模型预测、真实类别与视觉状态关联，形成条件能力报告。报告逐行记录数据集、标注来源、模型架构与训练种子、真实类别、状态字段及枚举值、状态支持数、条件Recall、类别总体Recall、二者差值及复查状态。该结构同时呈现识别表现和支持量，便于判断条件差异是否具有足够样本依据。</w:t>
      </w:r>
    </w:p>
    <w:p>
      <w:pPr>
        <w:keepLines/>
        <w:spacing w:after="100" w:line="312" w:lineRule="auto"/>
        <w:ind w:firstLine="425"/>
      </w:pPr>
      <w:r>
        <w:rPr>
          <w:rFonts w:ascii="Times New Roman" w:hAnsi="Times New Roman" w:eastAsia="宋体"/>
          <w:b w:val="0"/>
          <w:sz w:val="22"/>
        </w:rPr>
        <w:t>在发现集合中，先对同一架构的不同训练种子平均条件Recall与类别Recall，再筛选支持数不少于20、平均条件Recall低于类别Recall至少10个百分点的状态。每个标注来源、类别和架构最多保留三项，按差值从低到高排序，同差时按字段及枚举值排序。不足三项时不补选。候选条件清单在查看复查数据的分类预测前确定。</w:t>
      </w:r>
    </w:p>
    <w:p>
      <w:pPr>
        <w:keepLines/>
        <w:spacing w:after="100" w:line="312" w:lineRule="auto"/>
        <w:ind w:firstLine="425"/>
      </w:pPr>
      <w:r>
        <w:rPr>
          <w:rFonts w:ascii="Times New Roman" w:hAnsi="Times New Roman" w:eastAsia="宋体"/>
          <w:b w:val="0"/>
          <w:sz w:val="22"/>
        </w:rPr>
        <w:t>复查使用与既有训练、验证及研究样本排重后的新目标集合，保持类别任务、状态定义和分类器一致；目标框由各数据源官方标注确定，并沿用同类多目标时选取最大合法框的规则。当前研究分别使用COCO、VOC2007和Objects365构建复查集合，具体来源、规模与排重设置在实验章节说明。构建过程不依据分类器错误或待复查状态富集样本。</w:t>
      </w:r>
    </w:p>
    <w:p>
      <w:pPr>
        <w:keepLines/>
        <w:spacing w:after="100" w:line="312" w:lineRule="auto"/>
        <w:ind w:firstLine="425"/>
      </w:pPr>
      <w:r>
        <w:rPr>
          <w:rFonts w:ascii="Times New Roman" w:hAnsi="Times New Roman" w:eastAsia="宋体"/>
          <w:b w:val="0"/>
          <w:sz w:val="22"/>
        </w:rPr>
        <w:t>对每个候选条件，分别计算各训练种子在新集合中的状态支持数和Recall差值。支持数不少于20且差值</w:t>
      </w:r>
      <m:oMath>
        <m:sSubSup>
          <m:e>
            <m:r>
              <m:rPr>
                <m:sty m:val="p"/>
              </m:rPr>
              <w:rPr>
                <w:rFonts w:ascii="Cambria Math" w:hAnsi="Cambria Math"/>
                <w:sz w:val="22"/>
              </w:rPr>
              <m:t>Δ</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&lt;</m:t>
        </m:r>
        <m:r>
          <w:rPr>
            <w:rFonts w:ascii="Cambria Math" w:hAnsi="Cambria Math"/>
            <w:sz w:val="22"/>
          </w:rPr>
          <m:t>0</m:t>
        </m:r>
      </m:oMath>
      <w:r>
        <w:rPr>
          <w:rFonts w:ascii="Times New Roman" w:hAnsi="Times New Roman" w:eastAsia="宋体"/>
          <w:b w:val="0"/>
          <w:sz w:val="22"/>
        </w:rPr>
        <w:t>，记为“薄弱方向复现”；支持充分但差值</w:t>
      </w:r>
      <m:oMath>
        <m:sSubSup>
          <m:e>
            <m:r>
              <m:rPr>
                <m:sty m:val="p"/>
              </m:rPr>
              <w:rPr>
                <w:rFonts w:ascii="Cambria Math" w:hAnsi="Cambria Math"/>
                <w:sz w:val="22"/>
              </w:rPr>
              <m:t>Δ</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r>
          <w:rPr>
            <w:rFonts w:ascii="Cambria Math" w:hAnsi="Cambria Math"/>
            <w:sz w:val="22"/>
          </w:rPr>
          <m:t>0</m:t>
        </m:r>
      </m:oMath>
      <w:r>
        <w:rPr>
          <w:rFonts w:ascii="Times New Roman" w:hAnsi="Times New Roman" w:eastAsia="宋体"/>
          <w:b w:val="0"/>
          <w:sz w:val="22"/>
        </w:rPr>
        <w:t>，记为“未复现”；支持数不足20，记为“支持不足”。方向复现表示该状态仍低于对应类别参考，不要求重新达到发现阶段10个百分点的落差，也不等同于逐项统计显著。</w:t>
      </w:r>
    </w:p>
    <w:p>
      <w:pPr>
        <w:keepLines/>
        <w:spacing w:after="100" w:line="312" w:lineRule="auto"/>
        <w:ind w:firstLine="425"/>
      </w:pPr>
      <w:r>
        <w:rPr>
          <w:rFonts w:ascii="Times New Roman" w:hAnsi="Times New Roman" w:eastAsia="宋体"/>
          <w:b w:val="0"/>
          <w:sz w:val="22"/>
        </w:rPr>
        <w:t>各训练种子的结果分别保留，并报告同一架构的种子均值。整体比较先在每个架构、种子内平均可评价条件的差值，再在架构内平均种子，以架构为统计单位。未复现和支持不足的条件均保留，不根据复查结果替换候选清单。具体统计检验及报告实例在实验章节说明。</w:t>
      </w:r>
    </w:p>
    <w:p w14:paraId="32F39C10">
      <w:pPr>
        <w:keepLines/>
        <w:spacing w:after="100" w:line="312" w:lineRule="auto"/>
        <w:ind w:firstLine="425"/>
      </w:pPr>
    </w:p>
    <w:sectPr>
      <w:footerReference r:id="rId5" w:type="default"/>
      <w:pgSz w:w="11906" w:h="16838"/>
      <w:pgMar w:top="1191"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ＭＳ ゴシック">
    <w:altName w:val="Arial Unicode M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BB90">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8F9415"/>
    <w:rsid w:val="77F7AB19"/>
    <w:rsid w:val="7CEE156C"/>
    <w:rsid w:val="7DAF838E"/>
    <w:rsid w:val="B4FB2942"/>
    <w:rsid w:val="BBEF2BAA"/>
    <w:rsid w:val="DEEA6E60"/>
    <w:rsid w:val="E55F39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29</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QE项目</dc:creator>
  <dc:description>generated by python-docx</dc:description>
  <cp:lastModifiedBy>忽忽溜~</cp:lastModifiedBy>
  <dcterms:modified xsi:type="dcterms:W3CDTF">2026-10-12T12:25:44Z</dcterms:modified>
  <dc:title>研究方法：视觉状态驱动的模型测试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1F793E4C496E21E05E4ACC6A9915D82C_42</vt:lpwstr>
  </property>
</Properties>
</file>