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研究方法"/>
    <w:p>
      <w:pPr>
        <w:pStyle w:val="3"/>
        <w:keepNext/>
        <w:widowControl/>
      </w:pPr>
      <w:r>
        <w:t xml:space="preserve">3 </w:t>
      </w:r>
      <w:r>
        <w:rPr>
          <w:rFonts w:hint="eastAsia"/>
        </w:rPr>
        <w:t xml:space="preserve">研究方法</w:t>
      </w:r>
    </w:p>
    <w:p>
      <w:pPr>
        <w:pStyle w:val="FirstParagraph"/>
        <w:widowControl/>
        <w:ind w:firstLine="397"/>
      </w:pPr>
      <w:r>
        <w:rPr>
          <w:rFonts w:hint="eastAsia"/>
        </w:rPr>
        <w:t xml:space="preserve">本文以犬、猫、马、羊、人和车六类目标为对象，研究如何对已训练的图像分类模型开展视觉条件测试，判断模型在什么条件下能够正确识别目标、在哪些条件下表现较弱，以及测得的性能如何随测试样本构成变化。测试阶段保持模型参数固定，以目标尺度、身体可见性、遮挡、截断和朝向等可观察条件组织样本，使总体分类分数能够对应到具体的测试条件。</w:t>
      </w:r>
    </w:p>
    <w:p>
      <w:pPr>
        <w:pStyle w:val="19"/>
        <w:widowControl/>
        <w:ind w:firstLine="397"/>
      </w:pPr>
      <w:r>
        <w:rPr>
          <w:rFonts w:hint="eastAsia"/>
        </w:rPr>
        <w:t xml:space="preserve">方法从带有官方目标框和类别标签的图像出发。首先，为每个目标生成视觉状态描述；随后，一方面根据状态支持数选择测试样本，优先补充测试支持不足的条件，另一方面根据五维视觉风险划分目标，构建不同风险组成的测试集合。将这些目标的分类预测与真实类别、视觉状态关联后，评价整体性能、条件表现和失败信息，再把发现的薄弱条件放到新数据中复查。覆盖选样和风险组织共同使用视觉状态，分别用于安排测试支持和构造条件比较。</w:t>
      </w:r>
    </w:p>
    <w:p>
      <w:pPr>
        <w:pStyle w:val="19"/>
        <w:widowControl/>
        <w:ind w:firstLine="397"/>
      </w:pPr>
      <w:r>
        <w:rPr>
          <w:rFonts w:hint="eastAsia"/>
        </w:rPr>
        <w:t xml:space="preserve">方法最终形成三类结果：状态覆盖报告，说明测试样本支持了哪些视觉条件；条件性能与失败分析，说明模型在这些条件下的识别表现及发现的错误类型；薄弱条件复查报告，说明发现的性能差异是否在新数据中继续出现。以下六个小节围绕这一流程展开，具体实验结果在实验章节报告。</w:t>
      </w:r>
    </w:p>
    <w:p>
      <w:pPr>
        <w:pStyle w:val="CaptionedFigure"/>
        <w:widowControl/>
      </w:pPr>
      <w:r>
        <w:drawing>
          <wp:inline>
            <wp:extent cx="5399999" cy="2699999"/>
            <wp:effectExtent b="0" l="0" r="0" t="0"/>
            <wp:docPr descr="图1 视觉状态驱动的图像分类模型测试框架" title="" id="17" name="Picture"/>
            <a:graphic>
              <a:graphicData uri="http://schemas.openxmlformats.org/drawingml/2006/picture">
                <pic:pic>
                  <pic:nvPicPr>
                    <pic:cNvPr descr="../output/imagegen/qe_method_final_stage_image2_20261010.png" id="18" name="Picture"/>
                    <pic:cNvPicPr>
                      <a:picLocks noChangeArrowheads="1" noChangeAspect="1"/>
                    </pic:cNvPicPr>
                  </pic:nvPicPr>
                  <pic:blipFill>
                    <a:blip r:embed="rId16"/>
                    <a:stretch>
                      <a:fillRect/>
                    </a:stretch>
                  </pic:blipFill>
                  <pic:spPr bwMode="auto">
                    <a:xfrm>
                      <a:off x="0" y="0"/>
                      <a:ext cx="5399999" cy="2699999"/>
                    </a:xfrm>
                    <a:prstGeom prst="rect">
                      <a:avLst/>
                    </a:prstGeom>
                    <a:noFill/>
                    <a:ln w="9525">
                      <a:noFill/>
                      <a:headEnd/>
                      <a:tailEnd/>
                    </a:ln>
                  </pic:spPr>
                </pic:pic>
              </a:graphicData>
            </a:graphic>
          </wp:inline>
        </w:drawing>
      </w:r>
    </w:p>
    <w:p>
      <w:pPr>
        <w:pStyle w:val="ImageCaption"/>
        <w:widowControl/>
      </w:pPr>
      <w:r>
        <w:rPr>
          <w:rFonts w:hint="eastAsia"/>
        </w:rPr>
        <w:t xml:space="preserve">图1</w:t>
      </w:r>
      <w:r>
        <w:t xml:space="preserve"> </w:t>
      </w:r>
      <w:r>
        <w:rPr>
          <w:rFonts w:hint="eastAsia"/>
        </w:rPr>
        <w:t xml:space="preserve">视觉状态驱动的图像分类模型测试框架</w:t>
      </w:r>
    </w:p>
    <w:p>
      <w:pPr>
        <w:pStyle w:val="19"/>
        <w:widowControl/>
      </w:pPr>
      <w:r>
        <w:rPr>
          <w:rFonts w:hint="eastAsia"/>
        </w:rPr>
        <w:t xml:space="preserve">图1</w:t>
      </w:r>
      <w:r>
        <w:t xml:space="preserve">　</w:t>
      </w:r>
      <w:r>
        <w:rPr>
          <w:rFonts w:hint="eastAsia"/>
        </w:rPr>
        <w:t xml:space="preserve">视觉状态驱动的图像分类模型测试框架。官方标注确定测试目标与真实类别，视觉语言模型描述目标的视觉状态，程序计算目标尺度。依据状态覆盖和视觉风险组织测试，再将分类预测与视觉状态关联，形成条件能力报告。图中的图像和状态标签为示意。</w:t>
      </w:r>
    </w:p>
    <w:bookmarkStart w:id="19" w:name="测试问题与五维视觉条件定义"/>
    <w:p>
      <w:pPr>
        <w:pStyle w:val="4"/>
        <w:keepNext/>
        <w:widowControl/>
      </w:pPr>
      <w:r>
        <w:t xml:space="preserve">3.1 </w:t>
      </w:r>
      <w:r>
        <w:rPr>
          <w:rFonts w:hint="eastAsia"/>
        </w:rPr>
        <w:t xml:space="preserve">测试问题与五维视觉条件定义</w:t>
      </w:r>
    </w:p>
    <w:p>
      <w:pPr>
        <w:pStyle w:val="FirstParagraph"/>
        <w:widowControl/>
        <w:ind w:firstLine="397"/>
      </w:pPr>
      <w:r>
        <w:rPr>
          <w:rFonts w:hint="eastAsia"/>
        </w:rPr>
        <w:t xml:space="preserve">本文研究利用视觉条件构建测试集合并诊断图像分类模型的识别表现。具体任务是：给定一个已训练的分类模型和候选图像集合，在规定的测试样本数量下，依据目标的视觉状态选择和组织样本，评价模型在不同条件下的分类表现，并形成能够在新数据中复查的薄弱条件清单。当前测试任务包含犬、猫、马、羊、人和车六个类别。</w:t>
      </w:r>
    </w:p>
    <w:p>
      <w:pPr>
        <w:pStyle w:val="19"/>
        <w:widowControl/>
        <w:ind w:firstLine="397"/>
      </w:pPr>
      <w:r>
        <w:rPr>
          <w:rFonts w:hint="eastAsia"/>
        </w:rPr>
        <w:t xml:space="preserve">这一问题源于整体性能评价所提供的信息有限。整体准确率汇总了测试目标的分类结果，但不能直接说明哪些视觉条件获得了测试支持，以及模型在哪些条件下表现较弱。例如，若犬类测试样本主要是大尺度、完整可见的目标，较高的犬类识别分数仍不足以说明模型对小尺度、重度遮挡或背向犬类目标的表现。因此，需要把测试样本的视觉条件与模型预测关联，明确“测试了哪些条件”和“模型在这些条件下表现如何”。</w:t>
      </w:r>
    </w:p>
    <w:p>
      <w:pPr>
        <w:pStyle w:val="19"/>
        <w:widowControl/>
        <w:ind w:firstLine="397"/>
      </w:pPr>
      <w:r>
        <w:rPr>
          <w:rFonts w:hint="eastAsia"/>
        </w:rPr>
        <w:t xml:space="preserve">围绕这一目标，本文开展三项相互关联的工作。首先，统计各视觉状态的样本支持，在给定测试数量下优先补充支持不足的状态。其次，依据视觉风险划分目标，比较不同条件下的性能，并在测试总量和类别比例一致时调节高风险目标占比，分析测得性能对测试构成的响应。最后，识别相对于类别总体表现较弱的视觉状态，在新数据中检查薄弱方向是否复现。状态支持描述测试证据，分类结果描述模型表现，两者共同构成条件能力报告。</w:t>
      </w:r>
    </w:p>
    <w:p>
      <w:pPr>
        <w:pStyle w:val="19"/>
        <w:widowControl/>
        <w:ind w:firstLine="397"/>
      </w:pPr>
      <w:r>
        <w:rPr>
          <w:rFonts w:hint="eastAsia"/>
        </w:rPr>
        <w:t xml:space="preserve">测试单位为官方目标框确定的单个目标。设候选目标集合为</w:t>
      </w:r>
      <m:oMath>
        <m:r>
          <m:t>P</m:t>
        </m:r>
      </m:oMath>
      <w:r>
        <w:rPr>
          <w:rFonts w:hint="eastAsia"/>
        </w:rPr>
        <w:t xml:space="preserve">，每个目标包含原始图像</w:t>
      </w:r>
      <m:oMath>
        <m:sSub>
          <m:e>
            <m:r>
              <m:t>I</m:t>
            </m:r>
          </m:e>
          <m:sub>
            <m:r>
              <m:t>i</m:t>
            </m:r>
          </m:sub>
        </m:sSub>
      </m:oMath>
      <w:r>
        <w:rPr>
          <w:rFonts w:hint="eastAsia"/>
        </w:rPr>
        <w:t xml:space="preserve">、官方目标框</w:t>
      </w:r>
      <m:oMath>
        <m:sSub>
          <m:e>
            <m:r>
              <m:t>b</m:t>
            </m:r>
          </m:e>
          <m:sub>
            <m:r>
              <m:t>i</m:t>
            </m:r>
          </m:sub>
        </m:sSub>
      </m:oMath>
      <w:r>
        <w:rPr>
          <w:rFonts w:hint="eastAsia"/>
        </w:rPr>
        <w:t xml:space="preserve">和真实类别标签</w:t>
      </w:r>
      <m:oMath>
        <m:sSub>
          <m:e>
            <m:r>
              <m:t>y</m:t>
            </m:r>
          </m:e>
          <m:sub>
            <m:r>
              <m:t>i</m:t>
            </m:r>
          </m:sub>
        </m:sSub>
      </m:oMath>
      <w:r>
        <w:rPr>
          <w:rFonts w:hint="eastAsia"/>
        </w:rPr>
        <w:t xml:space="preserve">。根据目标框生成裁剪图，经既定预处理后得到输入</w:t>
      </w:r>
      <m:oMath>
        <m:sSub>
          <m:e>
            <m:r>
              <m:t>x</m:t>
            </m:r>
          </m:e>
          <m:sub>
            <m:r>
              <m:t>i</m:t>
            </m:r>
          </m:sub>
        </m:sSub>
      </m:oMath>
      <w:r>
        <w:rPr>
          <w:rFonts w:hint="eastAsia"/>
        </w:rPr>
        <w:t xml:space="preserve">。被测分类器记为</w:t>
      </w:r>
      <m:oMath>
        <m:sSub>
          <m:e>
            <m:r>
              <m:t>f</m:t>
            </m:r>
          </m:e>
          <m:sub>
            <m:r>
              <m:t>θ</m:t>
            </m:r>
          </m:sub>
        </m:sSub>
      </m:oMath>
      <w:r>
        <w:rPr>
          <w:rFonts w:hint="eastAsia"/>
        </w:rPr>
        <w:t xml:space="preserve">，类别数记为</w:t>
      </w:r>
      <m:oMath>
        <m:r>
          <m:t>K</m:t>
        </m:r>
      </m:oMath>
      <w:r>
        <w:rPr>
          <w:rFonts w:hint="eastAsia"/>
        </w:rPr>
        <w:t xml:space="preserve">。分类器对裁剪图预测类别，官方标签用于判断预测是否正确。测试阶段保持模型参数与推理处理一致，每个目标的预测可以预先计算并复用。</w:t>
      </w:r>
    </w:p>
    <w:p>
      <w:pPr>
        <w:pStyle w:val="19"/>
        <w:widowControl/>
        <w:ind w:firstLine="397"/>
      </w:pPr>
      <w:r>
        <w:rPr>
          <w:rFonts w:hint="eastAsia"/>
        </w:rPr>
        <w:t xml:space="preserve">为明确测试条件，本文将目标尺度、身体可见性、遮挡程度、截断程度和身体朝向定义为五个核心视觉维度，用于描述目标的大小、可见完整程度、缺失情况和观察方向，并据此开展风险组织。各维度的描述对象和状态划分如下。</w:t>
      </w:r>
    </w:p>
    <w:p>
      <w:pPr>
        <w:pStyle w:val="19"/>
        <w:widowControl/>
      </w:pPr>
      <w:r>
        <w:rPr>
          <w:rFonts w:hint="eastAsia"/>
        </w:rPr>
        <w:t xml:space="preserve">表1</w:t>
      </w:r>
      <w:r>
        <w:t xml:space="preserve">　</w:t>
      </w:r>
      <w:r>
        <w:rPr>
          <w:rFonts w:hint="eastAsia"/>
        </w:rPr>
        <w:t xml:space="preserve">五维视觉条件的定义与状态划分。</w:t>
      </w:r>
    </w:p>
    <w:tbl>
      <w:tblPr>
        <w:tblStyle w:val="Table"/>
        <w:tblW w:type="pct" w:w="5000"/>
        <w:tblLayout w:type="fixed"/>
        <w:tblLook w:firstRow="1" w:lastRow="0" w:firstColumn="0" w:lastColumn="0" w:noHBand="0" w:noVBand="0" w:val="0020"/>
      </w:tblPr>
      <w:tblGrid>
        <w:gridCol w:w="1701"/>
        <w:gridCol w:w="7370"/>
      </w:tblGrid>
      <w:tr>
        <w:trPr>
          <w:tblHeader w:val="on"/>
          <w:cantSplit/>
          <w:tblHeader/>
        </w:trPr>
        <w:tc>
          <w:tcPr>
            <w:tcW w:type="dxa" w:w="1701"/>
          </w:tcPr>
          <w:p>
            <w:pPr>
              <w:pStyle w:val="Compact"/>
              <w:spacing w:after="60" w:line="264" w:lineRule="auto"/>
              <w:ind w:firstLine="0"/>
            </w:pPr>
            <w:r>
              <w:rPr>
                <w:rFonts w:hint="eastAsia"/>
                <w:b/>
                <w:sz w:val="20"/>
              </w:rPr>
              <w:t xml:space="preserve">维度</w:t>
            </w:r>
          </w:p>
        </w:tc>
        <w:tc>
          <w:tcPr>
            <w:tcW w:type="dxa" w:w="7370"/>
          </w:tcPr>
          <w:p>
            <w:pPr>
              <w:pStyle w:val="Compact"/>
              <w:spacing w:after="60" w:line="264" w:lineRule="auto"/>
              <w:ind w:firstLine="0"/>
            </w:pPr>
            <w:r>
              <w:rPr>
                <w:rFonts w:hint="eastAsia"/>
                <w:b/>
                <w:sz w:val="20"/>
              </w:rPr>
              <w:t xml:space="preserve">定义、状态划分与判断要点</w:t>
            </w:r>
          </w:p>
        </w:tc>
      </w:tr>
      <w:tr>
        <w:trPr>
          <w:cantSplit/>
        </w:trPr>
        <w:tc>
          <w:tcPr>
            <w:tcW w:type="dxa" w:w="1701"/>
          </w:tcPr>
          <w:p>
            <w:pPr>
              <w:pStyle w:val="Compact"/>
              <w:spacing w:after="60" w:line="264" w:lineRule="auto"/>
              <w:ind w:firstLine="0"/>
            </w:pPr>
            <w:r>
              <w:rPr>
                <w:rFonts w:hint="eastAsia"/>
                <w:sz w:val="20"/>
              </w:rPr>
              <w:t xml:space="preserve">目标尺度</w:t>
            </w:r>
          </w:p>
        </w:tc>
        <w:tc>
          <w:tcPr>
            <w:tcW w:type="dxa" w:w="7370"/>
          </w:tcPr>
          <w:p>
            <w:pPr>
              <w:pStyle w:val="Compact"/>
              <w:spacing w:after="60" w:line="264" w:lineRule="auto"/>
              <w:ind w:firstLine="0"/>
            </w:pPr>
            <w:r>
              <w:rPr>
                <w:rFonts w:hint="eastAsia"/>
                <w:sz w:val="20"/>
              </w:rPr>
              <w:t xml:space="preserve">描述目标在原始图像中占据的相对面积。以官方目标框面积与原图面积之比</w:t>
            </w:r>
            <m:oMath>
              <m:sSub>
                <m:e>
                  <m:r>
                    <m:t>a</m:t>
                  </m:r>
                </m:e>
                <m:sub>
                  <m:r>
                    <m:t>i</m:t>
                  </m:r>
                </m:sub>
              </m:sSub>
            </m:oMath>
            <w:r>
              <w:rPr>
                <w:rFonts w:hint="eastAsia"/>
                <w:sz w:val="20"/>
              </w:rPr>
              <w:t xml:space="preserve">表示，分为极小（tiny，</w:t>
            </w:r>
            <m:oMath>
              <m:sSub>
                <m:e>
                  <m:r>
                    <m:t>a</m:t>
                  </m:r>
                </m:e>
                <m:sub>
                  <m:r>
                    <m:t>i</m:t>
                  </m:r>
                </m:sub>
              </m:sSub>
              <m:r>
                <m:rPr>
                  <m:sty m:val="p"/>
                </m:rPr>
                <m:t>&lt;</m:t>
              </m:r>
              <m:r>
                <m:t>0.01</m:t>
              </m:r>
            </m:oMath>
            <w:r>
              <w:rPr>
                <w:rFonts w:hint="eastAsia"/>
                <w:sz w:val="20"/>
              </w:rPr>
              <w:t xml:space="preserve">）、小（small，</w:t>
            </w:r>
            <m:oMath>
              <m:r>
                <m:t>0.01</m:t>
              </m:r>
              <m:r>
                <m:rPr>
                  <m:sty m:val="p"/>
                </m:rPr>
                <m:t>≤</m:t>
              </m:r>
              <m:sSub>
                <m:e>
                  <m:r>
                    <m:t>a</m:t>
                  </m:r>
                </m:e>
                <m:sub>
                  <m:r>
                    <m:t>i</m:t>
                  </m:r>
                </m:sub>
              </m:sSub>
              <m:r>
                <m:rPr>
                  <m:sty m:val="p"/>
                </m:rPr>
                <m:t>&lt;</m:t>
              </m:r>
              <m:r>
                <m:t>0.03</m:t>
              </m:r>
            </m:oMath>
            <w:r>
              <w:rPr>
                <w:rFonts w:hint="eastAsia"/>
                <w:sz w:val="20"/>
              </w:rPr>
              <w:t xml:space="preserve">）、中（medium，</w:t>
            </w:r>
            <m:oMath>
              <m:r>
                <m:t>0.03</m:t>
              </m:r>
              <m:r>
                <m:rPr>
                  <m:sty m:val="p"/>
                </m:rPr>
                <m:t>≤</m:t>
              </m:r>
              <m:sSub>
                <m:e>
                  <m:r>
                    <m:t>a</m:t>
                  </m:r>
                </m:e>
                <m:sub>
                  <m:r>
                    <m:t>i</m:t>
                  </m:r>
                </m:sub>
              </m:sSub>
              <m:r>
                <m:rPr>
                  <m:sty m:val="p"/>
                </m:rPr>
                <m:t>&lt;</m:t>
              </m:r>
              <m:r>
                <m:t>0.10</m:t>
              </m:r>
            </m:oMath>
            <w:r>
              <w:rPr>
                <w:rFonts w:hint="eastAsia"/>
                <w:sz w:val="20"/>
              </w:rPr>
              <w:t xml:space="preserve">）和大（large，</w:t>
            </w:r>
            <m:oMath>
              <m:sSub>
                <m:e>
                  <m:r>
                    <m:t>a</m:t>
                  </m:r>
                </m:e>
                <m:sub>
                  <m:r>
                    <m:t>i</m:t>
                  </m:r>
                </m:sub>
              </m:sSub>
              <m:r>
                <m:rPr>
                  <m:sty m:val="p"/>
                </m:rPr>
                <m:t>≥</m:t>
              </m:r>
              <m:r>
                <m:t>0.10</m:t>
              </m:r>
            </m:oMath>
            <w:r>
              <w:rPr>
                <w:rFonts w:hint="eastAsia"/>
                <w:sz w:val="20"/>
              </w:rPr>
              <w:t xml:space="preserve">）四档。</w:t>
            </w:r>
          </w:p>
        </w:tc>
      </w:tr>
      <w:tr>
        <w:trPr>
          <w:cantSplit/>
        </w:trPr>
        <w:tc>
          <w:tcPr>
            <w:tcW w:type="dxa" w:w="1701"/>
          </w:tcPr>
          <w:p>
            <w:pPr>
              <w:pStyle w:val="Compact"/>
              <w:spacing w:after="60" w:line="264" w:lineRule="auto"/>
              <w:ind w:firstLine="0"/>
            </w:pPr>
            <w:r>
              <w:rPr>
                <w:rFonts w:hint="eastAsia"/>
                <w:sz w:val="20"/>
              </w:rPr>
              <w:t xml:space="preserve">身体可见性</w:t>
            </w:r>
          </w:p>
        </w:tc>
        <w:tc>
          <w:tcPr>
            <w:tcW w:type="dxa" w:w="7370"/>
          </w:tcPr>
          <w:p>
            <w:pPr>
              <w:pStyle w:val="Compact"/>
              <w:spacing w:after="60" w:line="264" w:lineRule="auto"/>
              <w:ind w:firstLine="0"/>
            </w:pPr>
            <w:r>
              <w:rPr>
                <w:rFonts w:hint="eastAsia"/>
                <w:sz w:val="20"/>
              </w:rPr>
              <w:t xml:space="preserve">描述目标整体被呈现的完整程度，分为完整可见（full）、大部分可见（most）、部分可见（partial）和仅少量可见（minimal）。动物和人物对应身体整体，车辆对应整辆车。该维度记录可见结果，缺失原因由遮挡与截断分别描述。</w:t>
            </w:r>
          </w:p>
        </w:tc>
      </w:tr>
      <w:tr>
        <w:trPr>
          <w:cantSplit/>
        </w:trPr>
        <w:tc>
          <w:tcPr>
            <w:tcW w:type="dxa" w:w="1701"/>
          </w:tcPr>
          <w:p>
            <w:pPr>
              <w:pStyle w:val="Compact"/>
              <w:spacing w:after="60" w:line="264" w:lineRule="auto"/>
              <w:ind w:firstLine="0"/>
            </w:pPr>
            <w:r>
              <w:rPr>
                <w:rFonts w:hint="eastAsia"/>
                <w:sz w:val="20"/>
              </w:rPr>
              <w:t xml:space="preserve">遮挡程度</w:t>
            </w:r>
          </w:p>
        </w:tc>
        <w:tc>
          <w:tcPr>
            <w:tcW w:type="dxa" w:w="7370"/>
          </w:tcPr>
          <w:p>
            <w:pPr>
              <w:pStyle w:val="Compact"/>
              <w:spacing w:after="60" w:line="264" w:lineRule="auto"/>
              <w:ind w:firstLine="0"/>
            </w:pPr>
            <w:r>
              <w:rPr>
                <w:rFonts w:hint="eastAsia"/>
                <w:sz w:val="20"/>
              </w:rPr>
              <w:t xml:space="preserve">描述目标被其他可见物体遮蔽的程度，分为无遮挡（none）、轻度遮挡（light）、中度遮挡（moderate）和重度遮挡（heavy）。例如，栏杆挡住目标腿部，或其他目标挡住其身体，均属于遮挡。</w:t>
            </w:r>
          </w:p>
        </w:tc>
      </w:tr>
      <w:tr>
        <w:trPr>
          <w:cantSplit/>
        </w:trPr>
        <w:tc>
          <w:tcPr>
            <w:tcW w:type="dxa" w:w="1701"/>
          </w:tcPr>
          <w:p>
            <w:pPr>
              <w:pStyle w:val="Compact"/>
              <w:spacing w:after="60" w:line="264" w:lineRule="auto"/>
              <w:ind w:firstLine="0"/>
            </w:pPr>
            <w:r>
              <w:rPr>
                <w:rFonts w:hint="eastAsia"/>
                <w:sz w:val="20"/>
              </w:rPr>
              <w:t xml:space="preserve">截断程度</w:t>
            </w:r>
          </w:p>
        </w:tc>
        <w:tc>
          <w:tcPr>
            <w:tcW w:type="dxa" w:w="7370"/>
          </w:tcPr>
          <w:p>
            <w:pPr>
              <w:pStyle w:val="Compact"/>
              <w:spacing w:after="60" w:line="264" w:lineRule="auto"/>
              <w:ind w:firstLine="0"/>
            </w:pPr>
            <w:r>
              <w:rPr>
                <w:rFonts w:hint="eastAsia"/>
                <w:sz w:val="20"/>
              </w:rPr>
              <w:t xml:space="preserve">描述目标超出图像或裁剪边界而产生的缺失，分为无截断（none）、轻度截断（light）、中度截断（moderate）和重度截断（heavy）。例如，头部或腿部超出画面边缘属于截断，应结合原图与裁剪图判断。</w:t>
            </w:r>
          </w:p>
        </w:tc>
      </w:tr>
      <w:tr>
        <w:trPr>
          <w:cantSplit/>
        </w:trPr>
        <w:tc>
          <w:tcPr>
            <w:tcW w:type="dxa" w:w="1701"/>
          </w:tcPr>
          <w:p>
            <w:pPr>
              <w:pStyle w:val="Compact"/>
              <w:spacing w:after="60" w:line="264" w:lineRule="auto"/>
              <w:ind w:firstLine="0"/>
            </w:pPr>
            <w:r>
              <w:rPr>
                <w:rFonts w:hint="eastAsia"/>
                <w:sz w:val="20"/>
              </w:rPr>
              <w:t xml:space="preserve">身体朝向</w:t>
            </w:r>
          </w:p>
        </w:tc>
        <w:tc>
          <w:tcPr>
            <w:tcW w:type="dxa" w:w="7370"/>
          </w:tcPr>
          <w:p>
            <w:pPr>
              <w:pStyle w:val="Compact"/>
              <w:spacing w:after="60" w:line="264" w:lineRule="auto"/>
              <w:ind w:firstLine="0"/>
            </w:pPr>
            <w:r>
              <w:rPr>
                <w:rFonts w:hint="eastAsia"/>
                <w:sz w:val="20"/>
              </w:rPr>
              <w:t xml:space="preserve">描述目标整体相对于观察视角的方向，分为正向（front）、背向（back）、左侧（left_side）、右侧（right_side）、斜向（three_quarter）以及俯视或非常规视角（overhead_or_unusual）。左右侧以目标自身方位为准；车辆的正向与背向分别对应车头与车尾朝向镜头。</w:t>
            </w:r>
          </w:p>
        </w:tc>
      </w:tr>
    </w:tbl>
    <w:p>
      <w:pPr>
        <w:pStyle w:val="19"/>
        <w:widowControl/>
        <w:ind w:firstLine="397"/>
      </w:pPr>
      <w:r>
        <w:rPr>
          <w:rFonts w:hint="eastAsia"/>
        </w:rPr>
        <w:t xml:space="preserve">目标尺度按下式计算，其中</w:t>
      </w:r>
      <m:oMath>
        <m:sSub>
          <m:e>
            <m:r>
              <m:t>w</m:t>
            </m:r>
          </m:e>
          <m:sub>
            <m:r>
              <m:t>i</m:t>
            </m:r>
          </m:sub>
        </m:sSub>
      </m:oMath>
      <w:r>
        <w:rPr>
          <w:rFonts w:hint="eastAsia"/>
        </w:rPr>
        <w:t xml:space="preserve">和</w:t>
      </w:r>
      <m:oMath>
        <m:sSub>
          <m:e>
            <m:r>
              <m:t>h</m:t>
            </m:r>
          </m:e>
          <m:sub>
            <m:r>
              <m:t>i</m:t>
            </m:r>
          </m:sub>
        </m:sSub>
      </m:oMath>
      <w:r>
        <w:rPr>
          <w:rFonts w:hint="eastAsia"/>
        </w:rPr>
        <w:t xml:space="preserve">为官方目标框的宽、高，</w:t>
      </w:r>
      <m:oMath>
        <m:sSub>
          <m:e>
            <m:r>
              <m:t>W</m:t>
            </m:r>
          </m:e>
          <m:sub>
            <m:r>
              <m:t>i</m:t>
            </m:r>
          </m:sub>
        </m:sSub>
      </m:oMath>
      <w:r>
        <w:rPr>
          <w:rFonts w:hint="eastAsia"/>
        </w:rPr>
        <w:t xml:space="preserve">和</w:t>
      </w:r>
      <m:oMath>
        <m:sSub>
          <m:e>
            <m:r>
              <m:t>H</m:t>
            </m:r>
          </m:e>
          <m:sub>
            <m:r>
              <m:t>i</m:t>
            </m:r>
          </m:sub>
        </m:sSub>
      </m:oMath>
      <w:r>
        <w:rPr>
          <w:rFonts w:hint="eastAsia"/>
        </w:rPr>
        <w:t xml:space="preserve">为原图的宽、高：</w:t>
      </w:r>
    </w:p>
    <w:p>
      <w:pPr>
        <w:pStyle w:val="19"/>
        <w:widowControl/>
      </w:pPr>
      <m:oMathPara>
        <m:oMathParaPr>
          <m:jc m:val="center"/>
        </m:oMathParaPr>
        <m:oMath>
          <m:sSub>
            <m:e>
              <m:r>
                <m:t>a</m:t>
              </m:r>
            </m:e>
            <m:sub>
              <m:r>
                <m:t>i</m:t>
              </m:r>
            </m:sub>
          </m:sSub>
          <m:r>
            <m:rPr>
              <m:sty m:val="p"/>
            </m:rPr>
            <m:t>=</m:t>
          </m:r>
          <m:f>
            <m:fPr>
              <m:type m:val="bar"/>
            </m:fPr>
            <m:num>
              <m:sSub>
                <m:e>
                  <m:r>
                    <m:t>w</m:t>
                  </m:r>
                </m:e>
                <m:sub>
                  <m:r>
                    <m:t>i</m:t>
                  </m:r>
                </m:sub>
              </m:sSub>
              <m:sSub>
                <m:e>
                  <m:r>
                    <m:t>h</m:t>
                  </m:r>
                </m:e>
                <m:sub>
                  <m:r>
                    <m:t>i</m:t>
                  </m:r>
                </m:sub>
              </m:sSub>
            </m:num>
            <m:den>
              <m:sSub>
                <m:e>
                  <m:r>
                    <m:t>W</m:t>
                  </m:r>
                </m:e>
                <m:sub>
                  <m:r>
                    <m:t>i</m:t>
                  </m:r>
                </m:sub>
              </m:sSub>
              <m:sSub>
                <m:e>
                  <m:r>
                    <m:t>H</m:t>
                  </m:r>
                </m:e>
                <m:sub>
                  <m:r>
                    <m:t>i</m:t>
                  </m:r>
                </m:sub>
              </m:sSub>
            </m:den>
          </m:f>
          <m:r>
            <m:rPr>
              <m:sty m:val="p"/>
            </m:rPr>
            <m:t>.</m:t>
          </m:r>
        </m:oMath>
      </m:oMathPara>
    </w:p>
    <w:p>
      <w:pPr>
        <w:pStyle w:val="FirstParagraph"/>
        <w:widowControl/>
        <w:ind w:firstLine="397"/>
      </w:pPr>
      <w:r>
        <w:rPr>
          <w:rFonts w:hint="eastAsia"/>
        </w:rPr>
        <w:t xml:space="preserve">该尺度保留目标在原始场景中的面积占比；裁剪图缩放为固定输入尺寸后，仍使用原图尺度。身体可见性、遮挡和截断采用定性等级，具体描述遵循标注协议，不另设未经验证的面积比例阈值。无法可靠判断的状态记为unknown。例如，一个目标可以同时具有“小尺度、部分可见、中度遮挡、无截断、背向”等条件，五个维度并非互相排斥。</w:t>
      </w:r>
    </w:p>
    <w:p>
      <w:pPr>
        <w:pStyle w:val="19"/>
        <w:widowControl/>
        <w:ind w:firstLine="397"/>
      </w:pPr>
      <w:r>
        <w:rPr>
          <w:rFonts w:hint="eastAsia"/>
        </w:rPr>
        <w:t xml:space="preserve">五维条件是风险组织的预定义子集。背景、模糊、照明等其他视觉状态仍用于覆盖统计和条件评价。头部、腿部、尾部等局部可见性可由类别专用协议进一步描述，但这些局部字段未进入当前六分类共享分析；整体可见性等级也不能直接推得各部位的可见状态。</w:t>
      </w:r>
    </w:p>
    <w:p>
      <w:pPr>
        <w:pStyle w:val="19"/>
        <w:widowControl/>
        <w:ind w:firstLine="397"/>
      </w:pPr>
      <w:r>
        <w:rPr>
          <w:rFonts w:hint="eastAsia"/>
        </w:rPr>
        <w:t xml:space="preserve">方法输出包含三个部分：各状态获得多少测试支持的覆盖报告；模型在不同状态和风险条件下的性能与失败分析；包含状态支持数、条件表现及新数据复查状态的薄弱条件清单。后续第3.2节提取状态，第3.3和3.4节选择并组织样本，第3.5节评价模型行为，第3.6节生成并复查薄弱条件清单。</w:t>
      </w:r>
    </w:p>
    <w:bookmarkEnd w:id="19"/>
    <w:bookmarkStart w:id="20" w:name="测试目标的视觉状态提取与表示"/>
    <w:p>
      <w:pPr>
        <w:pStyle w:val="4"/>
        <w:keepNext/>
        <w:widowControl/>
      </w:pPr>
      <w:r>
        <w:t xml:space="preserve">3.2 </w:t>
      </w:r>
      <w:r>
        <w:rPr>
          <w:rFonts w:hint="eastAsia"/>
        </w:rPr>
        <w:t xml:space="preserve">测试目标的视觉状态提取与表示</w:t>
      </w:r>
    </w:p>
    <w:p>
      <w:pPr>
        <w:pStyle w:val="FirstParagraph"/>
        <w:widowControl/>
        <w:ind w:firstLine="397"/>
      </w:pPr>
      <w:r>
        <w:rPr>
          <w:rFonts w:hint="eastAsia"/>
        </w:rPr>
        <w:t xml:space="preserve">本节将目标的可观察视觉条件转化为能够计数、选样和分组的结构化状态。例如，把目标的观察方向记为“身体朝向—背向”，把遮蔽情况记为“遮挡程度—重度遮挡”。这些状态随后用于统计测试支持和组织风险条件。</w:t>
      </w:r>
    </w:p>
    <w:p>
      <w:pPr>
        <w:pStyle w:val="19"/>
        <w:widowControl/>
        <w:ind w:firstLine="397"/>
      </w:pPr>
      <w:r>
        <w:rPr>
          <w:rFonts w:hint="eastAsia"/>
        </w:rPr>
        <w:t xml:space="preserve">为了同时描述场景信息与目标细节，对每个目标构建原始图像</w:t>
      </w:r>
      <m:oMath>
        <m:sSub>
          <m:e>
            <m:r>
              <m:t>I</m:t>
            </m:r>
          </m:e>
          <m:sub>
            <m:r>
              <m:t>i</m:t>
            </m:r>
          </m:sub>
        </m:sSub>
      </m:oMath>
      <w:r>
        <w:rPr>
          <w:rFonts w:hint="eastAsia"/>
        </w:rPr>
        <w:t xml:space="preserve">、目标框标记图</w:t>
      </w:r>
      <m:oMath>
        <m:sSub>
          <m:e>
            <m:r>
              <m:t>M</m:t>
            </m:r>
          </m:e>
          <m:sub>
            <m:r>
              <m:t>i</m:t>
            </m:r>
          </m:sub>
        </m:sSub>
      </m:oMath>
      <w:r>
        <w:rPr>
          <w:rFonts w:hint="eastAsia"/>
        </w:rPr>
        <w:t xml:space="preserve">和放大裁剪图</w:t>
      </w:r>
      <m:oMath>
        <m:sSub>
          <m:e>
            <m:r>
              <m:t>V</m:t>
            </m:r>
          </m:e>
          <m:sub>
            <m:r>
              <m:t>i</m:t>
            </m:r>
          </m:sub>
        </m:sSub>
      </m:oMath>
      <w:r>
        <w:rPr>
          <w:rFonts w:hint="eastAsia"/>
        </w:rPr>
        <w:t xml:space="preserve">。原图提供场景上下文，标记图明确待描述目标，放大裁剪图补充局部信息。三种视图共同输入视觉语言模型（VLM），按照预定义字段和有限枚举值生成结构化描述：</w:t>
      </w:r>
    </w:p>
    <w:p>
      <w:pPr>
        <w:pStyle w:val="19"/>
        <w:widowControl/>
      </w:pPr>
      <m:oMathPara>
        <m:oMathParaPr>
          <m:jc m:val="center"/>
        </m:oMathParaPr>
        <m:oMath>
          <m:sSubSup>
            <m:e>
              <m:r>
                <m:t>z</m:t>
              </m:r>
            </m:e>
            <m:sub>
              <m:r>
                <m:t>i</m:t>
              </m:r>
            </m:sub>
            <m:sup>
              <m:r>
                <m:rPr>
                  <m:sty m:val="p"/>
                </m:rPr>
                <m:t>(</m:t>
              </m:r>
              <m:r>
                <m:t>r</m:t>
              </m:r>
              <m:r>
                <m:rPr>
                  <m:sty m:val="p"/>
                </m:rPr>
                <m:t>)</m:t>
              </m:r>
            </m:sup>
          </m:sSubSup>
          <m:r>
            <m:rPr>
              <m:sty m:val="p"/>
            </m:rPr>
            <m:t>=</m:t>
          </m:r>
          <m:sSub>
            <m:e>
              <m:r>
                <m:t>ϕ</m:t>
              </m:r>
            </m:e>
            <m:sub>
              <m:r>
                <m:t>r</m:t>
              </m:r>
            </m:sub>
          </m:sSub>
          <m:r>
            <m:rPr>
              <m:sty m:val="p"/>
            </m:rPr>
            <m:t>(</m:t>
          </m:r>
          <m:sSub>
            <m:e>
              <m:r>
                <m:t>I</m:t>
              </m:r>
            </m:e>
            <m:sub>
              <m:r>
                <m:t>i</m:t>
              </m:r>
            </m:sub>
          </m:sSub>
          <m:r>
            <m:rPr>
              <m:sty m:val="p"/>
            </m:rPr>
            <m:t>,</m:t>
          </m:r>
          <m:sSub>
            <m:e>
              <m:r>
                <m:t>M</m:t>
              </m:r>
            </m:e>
            <m:sub>
              <m:r>
                <m:t>i</m:t>
              </m:r>
            </m:sub>
          </m:sSub>
          <m:r>
            <m:rPr>
              <m:sty m:val="p"/>
            </m:rPr>
            <m:t>,</m:t>
          </m:r>
          <m:sSub>
            <m:e>
              <m:r>
                <m:t>V</m:t>
              </m:r>
            </m:e>
            <m:sub>
              <m:r>
                <m:t>i</m:t>
              </m:r>
            </m:sub>
          </m:sSub>
          <m:r>
            <m:rPr>
              <m:sty m:val="p"/>
            </m:rPr>
            <m:t>)</m:t>
          </m:r>
          <m:r>
            <m:rPr>
              <m:sty m:val="p"/>
            </m:rPr>
            <m:t>.</m:t>
          </m:r>
        </m:oMath>
      </m:oMathPara>
    </w:p>
    <w:p>
      <w:pPr>
        <w:pStyle w:val="FirstParagraph"/>
        <w:widowControl/>
        <w:ind w:firstLine="397"/>
      </w:pPr>
      <w:r>
        <w:rPr>
          <w:rFonts w:hint="eastAsia"/>
        </w:rPr>
        <w:t xml:space="preserve">其中，</w:t>
      </w:r>
      <m:oMath>
        <m:r>
          <m:t>r</m:t>
        </m:r>
      </m:oMath>
      <w:r>
        <w:rPr>
          <w:rFonts w:hint="eastAsia"/>
        </w:rPr>
        <w:t xml:space="preserve">表示标注来源，</w:t>
      </w:r>
      <m:oMath>
        <m:sSub>
          <m:e>
            <m:r>
              <m:t>ϕ</m:t>
            </m:r>
          </m:e>
          <m:sub>
            <m:r>
              <m:t>r</m:t>
            </m:r>
          </m:sub>
        </m:sSub>
      </m:oMath>
      <w:r>
        <w:rPr>
          <w:rFonts w:hint="eastAsia"/>
        </w:rPr>
        <w:t xml:space="preserve">为相应的状态描述器，</w:t>
      </w:r>
      <m:oMath>
        <m:sSubSup>
          <m:e>
            <m:r>
              <m:t>z</m:t>
            </m:r>
          </m:e>
          <m:sub>
            <m:r>
              <m:t>i</m:t>
            </m:r>
          </m:sub>
          <m:sup>
            <m:r>
              <m:rPr>
                <m:sty m:val="p"/>
              </m:rPr>
              <m:t>(</m:t>
            </m:r>
            <m:r>
              <m:t>r</m:t>
            </m:r>
            <m:r>
              <m:rPr>
                <m:sty m:val="p"/>
              </m:rPr>
              <m:t>)</m:t>
            </m:r>
          </m:sup>
        </m:sSubSup>
      </m:oMath>
      <w:r>
        <w:rPr>
          <w:rFonts w:hint="eastAsia"/>
        </w:rPr>
        <w:t xml:space="preserve">为目标的状态输出。当前采用本地Qwen3-VL与线上SenseNova，两种来源分别描述同一目标。主分析固定一种来源，用该来源的状态完成选样、风险组织和条件评价；跨来源分析另行注明各步骤所使用的来源。模型版本和完整提示在实验设置与补充材料中说明。</w:t>
      </w:r>
    </w:p>
    <w:p>
      <w:pPr>
        <w:pStyle w:val="19"/>
        <w:widowControl/>
        <w:ind w:firstLine="397"/>
      </w:pPr>
      <w:r>
        <w:rPr>
          <w:rFonts w:hint="eastAsia"/>
        </w:rPr>
        <w:t xml:space="preserve">类别专用协议映射为14项共享字段：身体可见性、身体朝向、遮挡程度、遮挡物类型、截断程度、群体关系、交互关系、场景、背景复杂度、模糊、照明、目标背景对比、可识别性与呈现形式。程序计算的目标尺度作为第15项字段。由此形成用于当前六分类分析的共享状态表示。</w:t>
      </w:r>
    </w:p>
    <w:p>
      <w:pPr>
        <w:pStyle w:val="19"/>
        <w:widowControl/>
        <w:ind w:firstLine="397"/>
      </w:pPr>
      <w:r>
        <w:rPr>
          <w:rFonts w:hint="eastAsia"/>
        </w:rPr>
        <w:t xml:space="preserve">将“字段—枚举值”对称为一个视觉状态，例如“身体朝向—背向”。目标</w:t>
      </w:r>
      <m:oMath>
        <m:r>
          <m:t>i</m:t>
        </m:r>
      </m:oMath>
      <w:r>
        <w:rPr>
          <w:rFonts w:hint="eastAsia"/>
        </w:rPr>
        <w:t xml:space="preserve">在来源</w:t>
      </w:r>
      <m:oMath>
        <m:r>
          <m:t>r</m:t>
        </m:r>
      </m:oMath>
      <w:r>
        <w:rPr>
          <w:rFonts w:hint="eastAsia"/>
        </w:rPr>
        <w:t xml:space="preserve">下具有的已知状态集合记为</w:t>
      </w:r>
      <m:oMath>
        <m:sSubSup>
          <m:e>
            <m:r>
              <m:t>A</m:t>
            </m:r>
          </m:e>
          <m:sub>
            <m:r>
              <m:t>i</m:t>
            </m:r>
          </m:sub>
          <m:sup>
            <m:r>
              <m:rPr>
                <m:sty m:val="p"/>
              </m:rPr>
              <m:t>(</m:t>
            </m:r>
            <m:r>
              <m:t>r</m:t>
            </m:r>
            <m:r>
              <m:rPr>
                <m:sty m:val="p"/>
              </m:rPr>
              <m:t>)</m:t>
            </m:r>
          </m:sup>
        </m:sSubSup>
      </m:oMath>
      <w:r>
        <w:rPr>
          <w:rFonts w:hint="eastAsia"/>
        </w:rPr>
        <w:t xml:space="preserve">。一个目标可以支持多个状态；多值字段按集合记录，同一目标对同一状态最多计数一次。unknown保留在标注中，但不计入已获得的状态覆盖。</w:t>
      </w:r>
    </w:p>
    <w:p>
      <w:pPr>
        <w:pStyle w:val="19"/>
        <w:widowControl/>
        <w:ind w:firstLine="397"/>
      </w:pPr>
      <w:r>
        <w:rPr>
          <w:rFonts w:hint="eastAsia"/>
        </w:rPr>
        <w:t xml:space="preserve">官方类别标签提供分类真值，VLM提供状态描述，被测分类器提供类别预测。VLM接收三种视图完成状态描述，分类器仍使用既定预处理后的目标裁剪图完成分类。VLM提示可获得类别信息，状态描述不替代真实类别。输出校验检查字段、枚举和格式是否合法；自动状态的语义可靠性通过来源一致性、分歧敏感性及可用参考属性等分析评价，具体结果在实验章节报告。</w:t>
      </w:r>
    </w:p>
    <w:bookmarkEnd w:id="20"/>
    <w:bookmarkStart w:id="21" w:name="基于视觉状态覆盖的测试样本选择"/>
    <w:p>
      <w:pPr>
        <w:pStyle w:val="4"/>
        <w:keepNext/>
        <w:widowControl/>
      </w:pPr>
      <w:r>
        <w:t xml:space="preserve">3.3 </w:t>
      </w:r>
      <w:r>
        <w:rPr>
          <w:rFonts w:hint="eastAsia"/>
        </w:rPr>
        <w:t xml:space="preserve">基于视觉状态覆盖的测试样本选择</w:t>
      </w:r>
    </w:p>
    <w:p>
      <w:pPr>
        <w:pStyle w:val="FirstParagraph"/>
        <w:widowControl/>
        <w:ind w:firstLine="397"/>
      </w:pPr>
      <w:r>
        <w:rPr>
          <w:rFonts w:hint="eastAsia"/>
        </w:rPr>
        <w:t xml:space="preserve">本节解决有限测试数量下如何安排视觉条件的样本支持。对已有较多样本的常见状态，限制重复支持的覆盖贡献；对样本较少的状态，通过选样优先增加支持。例如，当“犬—背向”获得的支持不足时，具有该状态的候选目标可以提供新增测试证据。状态覆盖描述这种证据分布，分类预测随后用于评价相应条件下的模型表现。</w:t>
      </w:r>
    </w:p>
    <w:p>
      <w:pPr>
        <w:pStyle w:val="19"/>
        <w:widowControl/>
        <w:ind w:firstLine="397"/>
      </w:pPr>
      <w:r>
        <w:rPr>
          <w:rFonts w:hint="eastAsia"/>
        </w:rPr>
        <w:t xml:space="preserve">在类别</w:t>
      </w:r>
      <m:oMath>
        <m:r>
          <m:t>c</m:t>
        </m:r>
      </m:oMath>
      <w:r>
        <w:rPr>
          <w:rFonts w:hint="eastAsia"/>
        </w:rPr>
        <w:t xml:space="preserve">内，对两种来源观察到的已知状态取并集，形成共同状态集合</w:t>
      </w:r>
      <m:oMath>
        <m:sSub>
          <m:e>
            <m:r>
              <m:t>U</m:t>
            </m:r>
          </m:e>
          <m:sub>
            <m:r>
              <m:t>c</m:t>
            </m:r>
          </m:sub>
        </m:sSub>
      </m:oMath>
      <w:r>
        <w:rPr>
          <w:rFonts w:hint="eastAsia"/>
        </w:rPr>
        <w:t xml:space="preserve">。该集合统一覆盖计算的词表和分母，每个目标仍使用指定来源的状态。若某状态只在另一来源中出现，其在当前来源中的支持数为零，仍保留在共同分母中。</w:t>
      </w:r>
    </w:p>
    <w:p>
      <w:pPr>
        <w:pStyle w:val="19"/>
        <w:widowControl/>
        <w:ind w:firstLine="397"/>
      </w:pPr>
      <w:r>
        <w:rPr>
          <w:rFonts w:hint="eastAsia"/>
        </w:rPr>
        <w:t xml:space="preserve">设</w:t>
      </w:r>
      <m:oMath>
        <m:r>
          <m:t>S</m:t>
        </m:r>
      </m:oMath>
      <w:r>
        <w:rPr>
          <w:rFonts w:hint="eastAsia"/>
        </w:rPr>
        <w:t xml:space="preserve">为已选目标的索引集合，状态</w:t>
      </w:r>
      <m:oMath>
        <m:r>
          <m:t>s</m:t>
        </m:r>
      </m:oMath>
      <w:r>
        <w:rPr>
          <w:rFonts w:hint="eastAsia"/>
        </w:rPr>
        <w:t xml:space="preserve">的支持数为：</w:t>
      </w:r>
    </w:p>
    <w:p>
      <w:pPr>
        <w:pStyle w:val="19"/>
        <w:widowControl/>
      </w:pPr>
      <m:oMathPara>
        <m:oMathParaPr>
          <m:jc m:val="center"/>
        </m:oMathParaPr>
        <m:oMath>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nary>
            <m:naryPr>
              <m:chr m:val="∑"/>
              <m:limLoc m:val="undOvr"/>
              <m:subHide m:val="off"/>
              <m:supHide m:val="on"/>
            </m:naryPr>
            <m:sub>
              <m:r>
                <m:t>i</m:t>
              </m:r>
              <m:r>
                <m:rPr>
                  <m:sty m:val="p"/>
                </m:rPr>
                <m:t>∈</m:t>
              </m:r>
              <m:r>
                <m:t>S</m:t>
              </m:r>
            </m:sub>
            <m:sup>
              <m:r>
                <m:t>​</m:t>
              </m:r>
            </m:sup>
            <m:e>
              <m:r>
                <m:rPr>
                  <m:sty m:val="b"/>
                </m:rPr>
                <m:t>1</m:t>
              </m:r>
            </m:e>
          </m:nary>
          <m:r>
            <m:rPr>
              <m:sty m:val="p"/>
            </m:rPr>
            <m:t>{</m:t>
          </m:r>
          <m:sSub>
            <m:e>
              <m:r>
                <m:t>y</m:t>
              </m:r>
            </m:e>
            <m:sub>
              <m:r>
                <m:t>i</m:t>
              </m:r>
            </m:sub>
          </m:sSub>
          <m:r>
            <m:rPr>
              <m:sty m:val="p"/>
            </m:rPr>
            <m:t>=</m:t>
          </m:r>
          <m:r>
            <m:t>c</m:t>
          </m:r>
          <m:r>
            <m:rPr>
              <m:sty m:val="p"/>
            </m:rPr>
            <m:t>}</m:t>
          </m:r>
          <m:r>
            <m:rPr>
              <m:sty m:val="b"/>
            </m:rPr>
            <m:t>1</m:t>
          </m:r>
          <m:r>
            <m:rPr>
              <m:sty m:val="p"/>
            </m:rPr>
            <m:t>{</m:t>
          </m:r>
          <m:r>
            <m:t>s</m:t>
          </m:r>
          <m:r>
            <m:rPr>
              <m:sty m:val="p"/>
            </m:rPr>
            <m:t>∈</m:t>
          </m:r>
          <m:sSubSup>
            <m:e>
              <m:r>
                <m:t>A</m:t>
              </m:r>
            </m:e>
            <m:sub>
              <m:r>
                <m:t>i</m:t>
              </m:r>
            </m:sub>
            <m:sup>
              <m:r>
                <m:rPr>
                  <m:sty m:val="p"/>
                </m:rPr>
                <m:t>(</m:t>
              </m:r>
              <m:r>
                <m:t>r</m:t>
              </m:r>
              <m:r>
                <m:rPr>
                  <m:sty m:val="p"/>
                </m:rPr>
                <m:t>)</m:t>
              </m:r>
            </m:sup>
          </m:sSubSup>
          <m:r>
            <m:rPr>
              <m:sty m:val="p"/>
            </m:rPr>
            <m:t>}</m:t>
          </m:r>
          <m:r>
            <m:rPr>
              <m:sty m:val="p"/>
            </m:rPr>
            <m:t>.</m:t>
          </m:r>
        </m:oMath>
      </m:oMathPara>
    </w:p>
    <w:p>
      <w:pPr>
        <w:pStyle w:val="FirstParagraph"/>
        <w:widowControl/>
        <w:ind w:firstLine="397"/>
      </w:pPr>
      <w:r>
        <w:rPr>
          <w:rFonts w:hint="eastAsia"/>
        </w:rPr>
        <w:t xml:space="preserve">其中，</w:t>
      </w:r>
      <m:oMath>
        <m:r>
          <m:rPr>
            <m:sty m:val="b"/>
          </m:rPr>
          <m:t>1</m:t>
        </m:r>
        <m:r>
          <m:rPr>
            <m:sty m:val="p"/>
          </m:rPr>
          <m:t>{</m:t>
        </m:r>
        <m:r>
          <m:rPr>
            <m:sty m:val="p"/>
          </m:rPr>
          <m:t>⋅</m:t>
        </m:r>
        <m:r>
          <m:rPr>
            <m:sty m:val="p"/>
          </m:rPr>
          <m:t>}</m:t>
        </m:r>
      </m:oMath>
      <w:r>
        <w:rPr>
          <w:rFonts w:hint="eastAsia"/>
        </w:rPr>
        <w:t xml:space="preserve">为指示函数，条件成立时取1，否则取0。为限制常见状态的重复样本持续增加覆盖值，设置支持数饱和阈值</w:t>
      </w:r>
      <m:oMath>
        <m:r>
          <m:t>τ</m:t>
        </m:r>
      </m:oMath>
      <w:r>
        <w:rPr>
          <w:rFonts w:hint="eastAsia"/>
        </w:rPr>
        <w:t xml:space="preserve">，并定义类别覆盖及总体覆盖：</w:t>
      </w:r>
    </w:p>
    <w:p>
      <w:pPr>
        <w:pStyle w:val="19"/>
        <w:widowControl/>
      </w:pPr>
      <m:oMathPara>
        <m:oMathParaPr>
          <m:jc m:val="center"/>
        </m:oMathParaPr>
        <m:oMath>
          <m:eqArr>
            <m:e>
              <m:sSubSup>
                <m:e>
                  <m:r>
                    <m:t>C</m:t>
                  </m:r>
                </m:e>
                <m:sub>
                  <m:r>
                    <m:t>c</m:t>
                  </m:r>
                </m:sub>
                <m:sup>
                  <m:r>
                    <m:rPr>
                      <m:sty m:val="p"/>
                    </m:rPr>
                    <m:t>(</m:t>
                  </m:r>
                  <m:r>
                    <m:t>r</m:t>
                  </m:r>
                  <m:r>
                    <m:rPr>
                      <m:sty m:val="p"/>
                    </m:rPr>
                    <m:t>)</m:t>
                  </m:r>
                </m:sup>
              </m:sSubSup>
              <m:r>
                <m:rPr>
                  <m:sty m:val="p"/>
                </m:rPr>
                <m:t>(</m:t>
              </m:r>
              <m:r>
                <m:t>S</m:t>
              </m:r>
              <m:r>
                <m:rPr>
                  <m:sty m:val="p"/>
                </m:rPr>
                <m:t>)</m:t>
              </m:r>
              <m:r>
                <m:t>&amp;</m:t>
              </m:r>
              <m:r>
                <m:rPr>
                  <m:sty m:val="p"/>
                </m:rPr>
                <m:t>=</m:t>
              </m:r>
              <m:f>
                <m:fPr>
                  <m:type m:val="bar"/>
                </m:fPr>
                <m:num>
                  <m:r>
                    <m:t>1</m:t>
                  </m:r>
                </m:num>
                <m:den>
                  <m:r>
                    <m:rPr>
                      <m:sty m:val="p"/>
                    </m:rPr>
                    <m:t>|</m:t>
                  </m:r>
                  <m:sSub>
                    <m:e>
                      <m:r>
                        <m:t>U</m:t>
                      </m:r>
                    </m:e>
                    <m:sub>
                      <m:r>
                        <m:t>c</m:t>
                      </m:r>
                    </m:sub>
                  </m:sSub>
                  <m:r>
                    <m:rPr>
                      <m:sty m:val="p"/>
                    </m:rPr>
                    <m:t>|</m:t>
                  </m:r>
                </m:den>
              </m:f>
              <m:nary>
                <m:naryPr>
                  <m:chr m:val="∑"/>
                  <m:limLoc m:val="undOvr"/>
                  <m:subHide m:val="off"/>
                  <m:supHide m:val="on"/>
                </m:naryPr>
                <m:sub>
                  <m:r>
                    <m:t>s</m:t>
                  </m:r>
                  <m:r>
                    <m:rPr>
                      <m:sty m:val="p"/>
                    </m:rPr>
                    <m:t>∈</m:t>
                  </m:r>
                  <m:sSub>
                    <m:e>
                      <m:r>
                        <m:t>U</m:t>
                      </m:r>
                    </m:e>
                    <m:sub>
                      <m:r>
                        <m:t>c</m:t>
                      </m:r>
                    </m:sub>
                  </m:sSub>
                </m:sub>
                <m:sup>
                  <m:r>
                    <m:t>​</m:t>
                  </m:r>
                </m:sup>
                <m:e>
                  <m:r>
                    <m:rPr>
                      <m:sty m:val="p"/>
                    </m:rPr>
                    <m:t>min</m:t>
                  </m:r>
                </m:e>
              </m:nary>
              <m:d>
                <m:dPr>
                  <m:begChr m:val="("/>
                  <m:sepChr m:val=""/>
                  <m:endChr m:val=")"/>
                  <m:grow/>
                </m:dPr>
                <m:e>
                  <m:f>
                    <m:fPr>
                      <m:type m:val="bar"/>
                    </m:fPr>
                    <m:num>
                      <m:sSubSup>
                        <m:e>
                          <m:r>
                            <m:t>n</m:t>
                          </m:r>
                        </m:e>
                        <m:sub>
                          <m:r>
                            <m:t>c</m:t>
                          </m:r>
                          <m:r>
                            <m:rPr>
                              <m:sty m:val="p"/>
                            </m:rPr>
                            <m:t>,</m:t>
                          </m:r>
                          <m:r>
                            <m:t>s</m:t>
                          </m:r>
                        </m:sub>
                        <m:sup>
                          <m:r>
                            <m:rPr>
                              <m:sty m:val="p"/>
                            </m:rPr>
                            <m:t>(</m:t>
                          </m:r>
                          <m:r>
                            <m:t>r</m:t>
                          </m:r>
                          <m:r>
                            <m:rPr>
                              <m:sty m:val="p"/>
                            </m:rPr>
                            <m:t>)</m:t>
                          </m:r>
                        </m:sup>
                      </m:sSubSup>
                      <m:r>
                        <m:rPr>
                          <m:sty m:val="p"/>
                        </m:rPr>
                        <m:t>(</m:t>
                      </m:r>
                      <m:r>
                        <m:t>S</m:t>
                      </m:r>
                      <m:r>
                        <m:rPr>
                          <m:sty m:val="p"/>
                        </m:rPr>
                        <m:t>)</m:t>
                      </m:r>
                    </m:num>
                    <m:den>
                      <m:r>
                        <m:t>τ</m:t>
                      </m:r>
                    </m:den>
                  </m:f>
                  <m:r>
                    <m:rPr>
                      <m:sty m:val="p"/>
                    </m:rPr>
                    <m:t>,</m:t>
                  </m:r>
                  <m:r>
                    <m:t>1</m:t>
                  </m:r>
                </m:e>
              </m:d>
              <m:r>
                <m:rPr>
                  <m:sty m:val="p"/>
                </m:rPr>
                <m:t>,</m:t>
              </m:r>
            </m:e>
            <m:e>
              <m:sSup>
                <m:e>
                  <m:r>
                    <m:t>C</m:t>
                  </m:r>
                </m:e>
                <m:sup>
                  <m:r>
                    <m:rPr>
                      <m:sty m:val="p"/>
                    </m:rPr>
                    <m:t>(</m:t>
                  </m:r>
                  <m:r>
                    <m:t>r</m:t>
                  </m:r>
                  <m:r>
                    <m:rPr>
                      <m:sty m:val="p"/>
                    </m:rPr>
                    <m:t>)</m:t>
                  </m:r>
                </m:sup>
              </m:sSup>
              <m:r>
                <m:rPr>
                  <m:sty m:val="p"/>
                </m:rPr>
                <m:t>(</m:t>
              </m:r>
              <m:r>
                <m:t>S</m:t>
              </m:r>
              <m:r>
                <m:rPr>
                  <m:sty m:val="p"/>
                </m:rPr>
                <m:t>)</m:t>
              </m:r>
              <m:r>
                <m:t>&amp;</m:t>
              </m:r>
              <m:r>
                <m:rPr>
                  <m:sty m:val="p"/>
                </m:rPr>
                <m:t>=</m:t>
              </m:r>
              <m:f>
                <m:fPr>
                  <m:type m:val="bar"/>
                </m:fPr>
                <m:num>
                  <m:r>
                    <m:t>1</m:t>
                  </m:r>
                </m:num>
                <m:den>
                  <m:r>
                    <m:t>K</m:t>
                  </m:r>
                </m:den>
              </m:f>
              <m:nary>
                <m:naryPr>
                  <m:chr m:val="∑"/>
                  <m:limLoc m:val="undOvr"/>
                  <m:subHide m:val="off"/>
                  <m:supHide m:val="off"/>
                </m:naryPr>
                <m:sub>
                  <m:r>
                    <m:t>c</m:t>
                  </m:r>
                  <m:r>
                    <m:rPr>
                      <m:sty m:val="p"/>
                    </m:rPr>
                    <m:t>=</m:t>
                  </m:r>
                  <m:r>
                    <m:t>1</m:t>
                  </m:r>
                </m:sub>
                <m:sup>
                  <m:r>
                    <m:t>K</m:t>
                  </m:r>
                </m:sup>
                <m:e>
                  <m:sSubSup>
                    <m:e>
                      <m:r>
                        <m:t>C</m:t>
                      </m:r>
                    </m:e>
                    <m:sub>
                      <m:r>
                        <m:t>c</m:t>
                      </m:r>
                    </m:sub>
                    <m:sup>
                      <m:r>
                        <m:rPr>
                          <m:sty m:val="p"/>
                        </m:rPr>
                        <m:t>(</m:t>
                      </m:r>
                      <m:r>
                        <m:t>r</m:t>
                      </m:r>
                      <m:r>
                        <m:rPr>
                          <m:sty m:val="p"/>
                        </m:rPr>
                        <m:t>)</m:t>
                      </m:r>
                    </m:sup>
                  </m:sSubSup>
                </m:e>
              </m:nary>
              <m:r>
                <m:rPr>
                  <m:sty m:val="p"/>
                </m:rPr>
                <m:t>(</m:t>
              </m:r>
              <m:r>
                <m:t>S</m:t>
              </m:r>
              <m:r>
                <m:rPr>
                  <m:sty m:val="p"/>
                </m:rPr>
                <m:t>)</m:t>
              </m:r>
              <m:r>
                <m:rPr>
                  <m:sty m:val="p"/>
                </m:rPr>
                <m:t>.</m:t>
              </m:r>
            </m:e>
          </m:eqArr>
        </m:oMath>
      </m:oMathPara>
    </w:p>
    <w:p>
      <w:pPr>
        <w:pStyle w:val="FirstParagraph"/>
        <w:widowControl/>
        <w:ind w:firstLine="397"/>
      </w:pPr>
      <w:r>
        <w:rPr>
          <w:rFonts w:hint="eastAsia"/>
        </w:rPr>
        <w:t xml:space="preserve">当前固定</w:t>
      </w:r>
      <m:oMath>
        <m:r>
          <m:t>τ</m:t>
        </m:r>
        <m:r>
          <m:rPr>
            <m:sty m:val="p"/>
          </m:rPr>
          <m:t>=</m:t>
        </m:r>
        <m:r>
          <m:t>20</m:t>
        </m:r>
      </m:oMath>
      <w:r>
        <w:rPr>
          <w:rFonts w:hint="eastAsia"/>
        </w:rPr>
        <w:t xml:space="preserve">。状态支持数不足20时，新增样本会增加其覆盖贡献；达到20后，贡献保持为1。先在类别内平均，再对类别平均，避免样本较多的类别主导总体结果。同一候选池内比较不同方法与样本数量时，沿用相同的状态集合和阈值。覆盖对状态等权，未再次按字段均衡，因此枚举状态较多的字段具有更大的潜在贡献。该指标描述单状态的样本支持，不覆盖全部状态组合，也不直接比较不同词表下的覆盖百分比。</w:t>
      </w:r>
    </w:p>
    <w:p>
      <w:pPr>
        <w:pStyle w:val="19"/>
        <w:widowControl/>
        <w:ind w:firstLine="397"/>
      </w:pPr>
      <w:r>
        <w:rPr>
          <w:rFonts w:hint="eastAsia"/>
        </w:rPr>
        <w:t xml:space="preserve">覆盖引导选样优先补充支持不足的状态。候选目标</w:t>
      </w:r>
      <m:oMath>
        <m:r>
          <m:t>i</m:t>
        </m:r>
      </m:oMath>
      <w:r>
        <w:rPr>
          <w:rFonts w:hint="eastAsia"/>
        </w:rPr>
        <w:t xml:space="preserve">对当前集合</w:t>
      </w:r>
      <m:oMath>
        <m:r>
          <m:t>S</m:t>
        </m:r>
      </m:oMath>
      <w:r>
        <w:rPr>
          <w:rFonts w:hint="eastAsia"/>
        </w:rPr>
        <w:t xml:space="preserve">的增益定义为：</w:t>
      </w:r>
    </w:p>
    <w:p>
      <w:pPr>
        <w:pStyle w:val="19"/>
        <w:widowControl/>
      </w:pPr>
      <m:oMathPara>
        <m:oMathParaPr>
          <m:jc m:val="center"/>
        </m:oMathParaPr>
        <m:oMath>
          <m:sSubSup>
            <m:e>
              <m:r>
                <m:t>g</m:t>
              </m:r>
            </m:e>
            <m:sub>
              <m:r>
                <m:t>c</m:t>
              </m:r>
            </m:sub>
            <m:sup>
              <m:r>
                <m:rPr>
                  <m:sty m:val="p"/>
                </m:rPr>
                <m:t>(</m:t>
              </m:r>
              <m:r>
                <m:t>r</m:t>
              </m:r>
              <m:r>
                <m:rPr>
                  <m:sty m:val="p"/>
                </m:rPr>
                <m:t>)</m:t>
              </m:r>
            </m:sup>
          </m:sSubSup>
          <m:r>
            <m:rPr>
              <m:sty m:val="p"/>
            </m:rPr>
            <m:t>(</m:t>
          </m:r>
          <m:r>
            <m:t>i</m:t>
          </m:r>
          <m:r>
            <m:rPr>
              <m:sty m:val="p"/>
            </m:rPr>
            <m:t>∣</m:t>
          </m:r>
          <m:r>
            <m:t>S</m:t>
          </m:r>
          <m:r>
            <m:rPr>
              <m:sty m:val="p"/>
            </m:rPr>
            <m:t>)</m:t>
          </m:r>
          <m:r>
            <m:rPr>
              <m:sty m:val="p"/>
            </m:rPr>
            <m:t>=</m:t>
          </m:r>
          <m:nary>
            <m:naryPr>
              <m:chr m:val="∑"/>
              <m:limLoc m:val="undOvr"/>
              <m:subHide m:val="off"/>
              <m:supHide m:val="on"/>
            </m:naryPr>
            <m:sub>
              <m:m>
                <m:mPr>
                  <m:baseJc m:val="center"/>
                  <m:plcHide m:val="on"/>
                  <m:mcs>
                    <m:mc>
                      <m:mcPr>
                        <m:mcJc m:val="center"/>
                        <m:count m:val="1"/>
                      </m:mcPr>
                    </m:mc>
                  </m:mcs>
                </m:mPr>
                <m:mr>
                  <m:e>
                    <m:r>
                      <m:t>s</m:t>
                    </m:r>
                    <m:r>
                      <m:rPr>
                        <m:sty m:val="p"/>
                      </m:rPr>
                      <m:t>∈</m:t>
                    </m:r>
                    <m:sSubSup>
                      <m:e>
                        <m:r>
                          <m:t>A</m:t>
                        </m:r>
                      </m:e>
                      <m:sub>
                        <m:r>
                          <m:t>i</m:t>
                        </m:r>
                      </m:sub>
                      <m:sup>
                        <m:r>
                          <m:rPr>
                            <m:sty m:val="p"/>
                          </m:rPr>
                          <m:t>(</m:t>
                        </m:r>
                        <m:r>
                          <m:t>r</m:t>
                        </m:r>
                        <m:r>
                          <m:rPr>
                            <m:sty m:val="p"/>
                          </m:rPr>
                          <m:t>)</m:t>
                        </m:r>
                      </m:sup>
                    </m:sSubSup>
                  </m:e>
                </m:mr>
                <m:m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&lt;</m:t>
                    </m:r>
                    <m:r>
                      <m:t>τ</m:t>
                    </m:r>
                  </m:e>
                </m:mr>
              </m:m>
            </m:sub>
            <m:sup>
              <m:r>
                <m:t>​</m:t>
              </m:r>
            </m:sup>
            <m:e>
              <m:d>
                <m:dPr>
                  <m:begChr m:val="["/>
                  <m:sepChr m:val=""/>
                  <m:endChr m:val="]"/>
                  <m:grow/>
                </m:dPr>
                <m:e>
                  <m:r>
                    <m:rPr>
                      <m:sty m:val="p"/>
                    </m:rPr>
                    <m:t>log</m:t>
                  </m:r>
                  <m:d>
                    <m:dPr>
                      <m:begChr m:val="("/>
                      <m:sepChr m:val=""/>
                      <m:endChr m:val=")"/>
                      <m:grow/>
                    </m:dP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r>
                        <m:t>2</m:t>
                      </m:r>
                    </m:e>
                  </m:d>
                  <m:r>
                    <m:rPr>
                      <m:sty m:val="p"/>
                    </m:rPr>
                    <m:t>−</m:t>
                  </m:r>
                  <m:r>
                    <m:rPr>
                      <m:sty m:val="p"/>
                    </m:rPr>
                    <m:t>log</m:t>
                  </m:r>
                  <m:d>
                    <m:dPr>
                      <m:begChr m:val="("/>
                      <m:sepChr m:val=""/>
                      <m:endChr m:val=")"/>
                      <m:grow/>
                    </m:dP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r>
                        <m:t>1</m:t>
                      </m:r>
                    </m:e>
                  </m:d>
                </m:e>
              </m:d>
            </m:e>
          </m:nary>
          <m:r>
            <m:rPr>
              <m:sty m:val="p"/>
            </m:rPr>
            <m:t>.</m:t>
          </m:r>
        </m:oMath>
      </m:oMathPara>
    </w:p>
    <w:p>
      <w:pPr>
        <w:pStyle w:val="FirstParagraph"/>
        <w:widowControl/>
        <w:ind w:firstLine="397"/>
      </w:pPr>
      <w:r>
        <w:rPr>
          <w:rFonts w:hint="eastAsia"/>
        </w:rPr>
        <w:t xml:space="preserve">已有支持数越少，该状态的边际增益越大。选样从空集开始，每轮选取可行候选中增益最大的目标，更新状态支持数；增益相同时按目标ID升序选择。报告覆盖采用线性截断贡献，选样采用对数边际增益，两者分别定义。该策略用于补充稀缺状态，不直接优化分类准确率或错误数量。</w:t>
      </w:r>
    </w:p>
    <w:p>
      <w:pPr>
        <w:pStyle w:val="19"/>
        <w:widowControl/>
        <w:ind w:firstLine="397"/>
      </w:pPr>
      <w:r>
        <w:rPr>
          <w:rFonts w:hint="eastAsia"/>
        </w:rPr>
        <w:t xml:space="preserve">在独立确认的选样对照中，各方法使用共同的类别、风险层和风险格配额。风险层由第3.4节定义；风险格由风险分值与未知维数的组合确定。各层格内配额依据候选数量比例和最大余数法分配，即先取比例名额的整数部分，再将剩余名额依次分给小数余数最大的格。按Q1至Q5依次选样，每轮只考虑当前层内未选中且所在格仍有剩余配额的目标，状态计数在类别内跨层累计。</w:t>
      </w:r>
    </w:p>
    <w:p>
      <w:pPr>
        <w:pStyle w:val="19"/>
        <w:widowControl/>
        <w:ind w:firstLine="397"/>
      </w:pPr>
      <w:r>
        <w:rPr>
          <w:rFonts w:hint="eastAsia"/>
        </w:rPr>
        <w:t xml:space="preserve">完成每层后核对风险格频数。在完整层配额的完成边界，各方法具有相同的风险格构成；任意截取层内部的样本前缀不自动满足这一条件。发现阶段的匹配随机对照以覆盖选样结果的风险格频数分配名额，具体适用实验在实验章节区分。配额约束控制规定的风险构成，不保证其他视觉属性完全一致。</w:t>
      </w:r>
    </w:p>
    <w:bookmarkEnd w:id="21"/>
    <w:bookmarkStart w:id="22" w:name="基于视觉风险分层的测试集构建"/>
    <w:p>
      <w:pPr>
        <w:pStyle w:val="4"/>
        <w:keepNext/>
        <w:widowControl/>
      </w:pPr>
      <w:r>
        <w:t xml:space="preserve">3.4 </w:t>
      </w:r>
      <w:r>
        <w:rPr>
          <w:rFonts w:hint="eastAsia"/>
        </w:rPr>
        <w:t xml:space="preserve">基于视觉风险分层的测试集构建</w:t>
      </w:r>
    </w:p>
    <w:p>
      <w:pPr>
        <w:pStyle w:val="FirstParagraph"/>
        <w:widowControl/>
        <w:ind w:firstLine="397"/>
      </w:pPr>
      <w:r>
        <w:rPr>
          <w:rFonts w:hint="eastAsia"/>
        </w:rPr>
        <w:t xml:space="preserve">本节根据五维视觉条件构建风险层和混合测试集合，评价模型的表现如何随视觉条件变化。先在各类别内划分相对低风险至高风险的目标，比较不同层的性能；再保持测试总量和类别比例一致，调节高风险目标占比，观察测得性能的响应。</w:t>
      </w:r>
    </w:p>
    <w:p>
      <w:pPr>
        <w:pStyle w:val="19"/>
        <w:widowControl/>
        <w:ind w:firstLine="397"/>
      </w:pPr>
      <w:r>
        <w:rPr>
          <w:rFonts w:hint="eastAsia"/>
        </w:rPr>
        <w:t xml:space="preserve">根据第3.1节定义的五维条件，预先设置各状态的分值。设风险维度集合为</w:t>
      </w:r>
      <m:oMath>
        <m:r>
          <m:t>D</m:t>
        </m:r>
      </m:oMath>
      <w:r>
        <w:rPr>
          <w:rFonts w:hint="eastAsia"/>
        </w:rPr>
        <w:t xml:space="preserve">，目标</w:t>
      </w:r>
      <m:oMath>
        <m:r>
          <m:t>i</m:t>
        </m:r>
      </m:oMath>
      <w:r>
        <w:rPr>
          <w:rFonts w:hint="eastAsia"/>
        </w:rPr>
        <w:t xml:space="preserve">的综合风险记为</w:t>
      </w:r>
      <m:oMath>
        <m:sSubSup>
          <m:e>
            <m:r>
              <m:t>R</m:t>
            </m:r>
          </m:e>
          <m:sub>
            <m:r>
              <m:t>i</m:t>
            </m:r>
          </m:sub>
          <m:sup>
            <m:r>
              <m:rPr>
                <m:sty m:val="p"/>
              </m:rPr>
              <m:t>(</m:t>
            </m:r>
            <m:r>
              <m:t>r</m:t>
            </m:r>
            <m:r>
              <m:rPr>
                <m:sty m:val="p"/>
              </m:rPr>
              <m:t>)</m:t>
            </m:r>
          </m:sup>
        </m:sSubSup>
      </m:oMath>
      <w:r>
        <w:rPr>
          <w:rFonts w:hint="eastAsia"/>
        </w:rPr>
        <w:t xml:space="preserve">：</w:t>
      </w:r>
    </w:p>
    <w:p>
      <w:pPr>
        <w:pStyle w:val="19"/>
        <w:widowControl/>
      </w:pPr>
      <m:oMathPara>
        <m:oMathParaPr>
          <m:jc m:val="center"/>
        </m:oMathParaPr>
        <m:oMath>
          <m:sSubSup>
            <m:e>
              <m:r>
                <m:t>R</m:t>
              </m:r>
            </m:e>
            <m:sub>
              <m:r>
                <m:t>i</m:t>
              </m:r>
            </m:sub>
            <m:sup>
              <m:r>
                <m:rPr>
                  <m:sty m:val="p"/>
                </m:rPr>
                <m:t>(</m:t>
              </m:r>
              <m:r>
                <m:t>r</m:t>
              </m:r>
              <m:r>
                <m:rPr>
                  <m:sty m:val="p"/>
                </m:rPr>
                <m:t>)</m:t>
              </m:r>
            </m:sup>
          </m:sSubSup>
          <m:r>
            <m:rPr>
              <m:sty m:val="p"/>
            </m:rPr>
            <m:t>=</m:t>
          </m:r>
          <m:nary>
            <m:naryPr>
              <m:chr m:val="∑"/>
              <m:limLoc m:val="undOvr"/>
              <m:subHide m:val="off"/>
              <m:supHide m:val="on"/>
            </m:naryPr>
            <m:sub>
              <m:r>
                <m:t>d</m:t>
              </m:r>
              <m:r>
                <m:rPr>
                  <m:sty m:val="p"/>
                </m:rPr>
                <m:t>∈</m:t>
              </m:r>
              <m:r>
                <m:t>D</m:t>
              </m:r>
            </m:sub>
            <m:sup>
              <m:r>
                <m:t>​</m:t>
              </m:r>
            </m:sup>
            <m:e>
              <m:sSub>
                <m:e>
                  <m:r>
                    <m:t>h</m:t>
                  </m:r>
                </m:e>
                <m:sub>
                  <m:r>
                    <m:t>d</m:t>
                  </m:r>
                </m:sub>
              </m:sSub>
            </m:e>
          </m:nary>
          <m:r>
            <m:rPr>
              <m:sty m:val="p"/>
            </m:rPr>
            <m:t>(</m:t>
          </m:r>
          <m:r>
            <m:t>i</m:t>
          </m:r>
          <m:r>
            <m:rPr>
              <m:sty m:val="p"/>
            </m:rPr>
            <m:t>,</m:t>
          </m:r>
          <m:r>
            <m:t>r</m:t>
          </m:r>
          <m:r>
            <m:rPr>
              <m:sty m:val="p"/>
            </m:rPr>
            <m:t>)</m:t>
          </m:r>
          <m:r>
            <m:rPr>
              <m:sty m:val="p"/>
            </m:rPr>
            <m:t>.</m:t>
          </m:r>
        </m:oMath>
      </m:oMathPara>
    </w:p>
    <w:p>
      <w:pPr>
        <w:pStyle w:val="FirstParagraph"/>
        <w:widowControl/>
        <w:ind w:firstLine="397"/>
      </w:pPr>
      <w:r>
        <w:rPr>
          <w:rFonts w:hint="eastAsia"/>
        </w:rPr>
        <w:t xml:space="preserve">其中，</w:t>
      </w:r>
      <m:oMath>
        <m:sSub>
          <m:e>
            <m:r>
              <m:t>h</m:t>
            </m:r>
          </m:e>
          <m:sub>
            <m:r>
              <m:t>d</m:t>
            </m:r>
          </m:sub>
        </m:sSub>
        <m:r>
          <m:rPr>
            <m:sty m:val="p"/>
          </m:rPr>
          <m:t>(</m:t>
        </m:r>
        <m:r>
          <m:t>i</m:t>
        </m:r>
        <m:r>
          <m:rPr>
            <m:sty m:val="p"/>
          </m:rPr>
          <m:t>,</m:t>
        </m:r>
        <m:r>
          <m:t>r</m:t>
        </m:r>
        <m:r>
          <m:rPr>
            <m:sty m:val="p"/>
          </m:rPr>
          <m:t>)</m:t>
        </m:r>
      </m:oMath>
      <w:r>
        <w:rPr>
          <w:rFonts w:hint="eastAsia"/>
        </w:rPr>
        <w:t xml:space="preserve">为第</w:t>
      </w:r>
      <m:oMath>
        <m:r>
          <m:t>d</m:t>
        </m:r>
      </m:oMath>
      <w:r>
        <w:rPr>
          <w:rFonts w:hint="eastAsia"/>
        </w:rPr>
        <w:t xml:space="preserve">维的分值映射。具体规则见表2。</w:t>
      </w:r>
    </w:p>
    <w:p>
      <w:pPr>
        <w:pStyle w:val="19"/>
        <w:widowControl/>
      </w:pPr>
      <w:r>
        <w:rPr>
          <w:rFonts w:hint="eastAsia"/>
        </w:rPr>
        <w:t xml:space="preserve">表2</w:t>
      </w:r>
      <w:r>
        <w:t xml:space="preserve">　</w:t>
      </w:r>
      <w:r>
        <w:rPr>
          <w:rFonts w:hint="eastAsia"/>
        </w:rPr>
        <w:t xml:space="preserve">五维视觉条件的风险赋分规则。</w:t>
      </w:r>
    </w:p>
    <w:tbl>
      <w:tblPr>
        <w:tblStyle w:val="Table"/>
        <w:tblW w:type="auto" w:w="0"/>
        <w:tblLayout w:type="fixed"/>
        <w:tblLook w:firstRow="1" w:lastRow="0" w:firstColumn="0" w:lastColumn="0" w:noHBand="0" w:noVBand="0" w:val="0020"/>
      </w:tblPr>
      <w:tblGrid>
        <w:gridCol w:w="1701"/>
        <w:gridCol w:w="7370"/>
      </w:tblGrid>
      <w:tr>
        <w:trPr>
          <w:tblHeader w:val="on"/>
          <w:cantSplit/>
          <w:tblHeader/>
        </w:trPr>
        <w:tc>
          <w:tcPr>
            <w:tcW w:type="dxa" w:w="1701"/>
          </w:tcPr>
          <w:p>
            <w:pPr>
              <w:pStyle w:val="Compact"/>
              <w:spacing w:after="60" w:line="264" w:lineRule="auto"/>
              <w:ind w:firstLine="0"/>
            </w:pPr>
            <w:r>
              <w:rPr>
                <w:rFonts w:hint="eastAsia"/>
                <w:b/>
                <w:sz w:val="20"/>
              </w:rPr>
              <w:t xml:space="preserve">维度</w:t>
            </w:r>
          </w:p>
        </w:tc>
        <w:tc>
          <w:tcPr>
            <w:tcW w:type="dxa" w:w="7370"/>
          </w:tcPr>
          <w:p>
            <w:pPr>
              <w:pStyle w:val="Compact"/>
              <w:spacing w:after="60" w:line="264" w:lineRule="auto"/>
              <w:ind w:firstLine="0"/>
            </w:pPr>
            <w:r>
              <w:rPr>
                <w:rFonts w:hint="eastAsia"/>
                <w:b/>
                <w:sz w:val="20"/>
              </w:rPr>
              <w:t xml:space="preserve">状态及对应分值</w:t>
            </w:r>
          </w:p>
        </w:tc>
      </w:tr>
      <w:tr>
        <w:trPr>
          <w:cantSplit/>
        </w:trPr>
        <w:tc>
          <w:tcPr>
            <w:tcW w:type="dxa" w:w="1701"/>
          </w:tcPr>
          <w:p>
            <w:pPr>
              <w:pStyle w:val="Compact"/>
              <w:spacing w:after="60" w:line="264" w:lineRule="auto"/>
              <w:ind w:firstLine="0"/>
            </w:pPr>
            <w:r>
              <w:rPr>
                <w:rFonts w:hint="eastAsia"/>
                <w:sz w:val="20"/>
              </w:rPr>
              <w:t xml:space="preserve">目标尺度</w:t>
            </w:r>
          </w:p>
        </w:tc>
        <w:tc>
          <w:tcPr>
            <w:tcW w:type="dxa" w:w="7370"/>
          </w:tcPr>
          <w:p>
            <w:pPr>
              <w:pStyle w:val="Compact"/>
              <w:spacing w:after="60" w:line="264" w:lineRule="auto"/>
              <w:ind w:firstLine="0"/>
            </w:pPr>
            <w:r>
              <w:rPr>
                <w:rFonts w:hint="eastAsia"/>
                <w:sz w:val="20"/>
              </w:rPr>
              <w:t xml:space="preserve">大：0；中：1；小：2；极小：3。尺度区间沿用表1。</w:t>
            </w:r>
          </w:p>
        </w:tc>
      </w:tr>
      <w:tr>
        <w:trPr>
          <w:cantSplit/>
        </w:trPr>
        <w:tc>
          <w:tcPr>
            <w:tcW w:type="dxa" w:w="1701"/>
          </w:tcPr>
          <w:p>
            <w:pPr>
              <w:pStyle w:val="Compact"/>
              <w:spacing w:after="60" w:line="264" w:lineRule="auto"/>
              <w:ind w:firstLine="0"/>
            </w:pPr>
            <w:r>
              <w:rPr>
                <w:rFonts w:hint="eastAsia"/>
                <w:sz w:val="20"/>
              </w:rPr>
              <w:t xml:space="preserve">身体可见性</w:t>
            </w:r>
          </w:p>
        </w:tc>
        <w:tc>
          <w:tcPr>
            <w:tcW w:type="dxa" w:w="7370"/>
          </w:tcPr>
          <w:p>
            <w:pPr>
              <w:pStyle w:val="Compact"/>
              <w:spacing w:after="60" w:line="264" w:lineRule="auto"/>
              <w:ind w:firstLine="0"/>
            </w:pPr>
            <w:r>
              <w:rPr>
                <w:rFonts w:hint="eastAsia"/>
                <w:sz w:val="20"/>
              </w:rPr>
              <w:t xml:space="preserve">完整可见或大部分可见：0；部分可见：2；仅少量可见：3。</w:t>
            </w:r>
          </w:p>
        </w:tc>
      </w:tr>
      <w:tr>
        <w:trPr>
          <w:cantSplit/>
        </w:trPr>
        <w:tc>
          <w:tcPr>
            <w:tcW w:type="dxa" w:w="1701"/>
          </w:tcPr>
          <w:p>
            <w:pPr>
              <w:pStyle w:val="Compact"/>
              <w:spacing w:after="60" w:line="264" w:lineRule="auto"/>
              <w:ind w:firstLine="0"/>
            </w:pPr>
            <w:r>
              <w:rPr>
                <w:rFonts w:hint="eastAsia"/>
                <w:sz w:val="20"/>
              </w:rPr>
              <w:t xml:space="preserve">遮挡程度</w:t>
            </w:r>
          </w:p>
        </w:tc>
        <w:tc>
          <w:tcPr>
            <w:tcW w:type="dxa" w:w="7370"/>
          </w:tcPr>
          <w:p>
            <w:pPr>
              <w:pStyle w:val="Compact"/>
              <w:spacing w:after="60" w:line="264" w:lineRule="auto"/>
              <w:ind w:firstLine="0"/>
            </w:pPr>
            <w:r>
              <w:rPr>
                <w:rFonts w:hint="eastAsia"/>
                <w:sz w:val="20"/>
              </w:rPr>
              <w:t xml:space="preserve">无遮挡：0；轻度遮挡：1；中度遮挡：2；重度遮挡：3。</w:t>
            </w:r>
          </w:p>
        </w:tc>
      </w:tr>
      <w:tr>
        <w:trPr>
          <w:cantSplit/>
        </w:trPr>
        <w:tc>
          <w:tcPr>
            <w:tcW w:type="dxa" w:w="1701"/>
          </w:tcPr>
          <w:p>
            <w:pPr>
              <w:pStyle w:val="Compact"/>
              <w:spacing w:after="60" w:line="264" w:lineRule="auto"/>
              <w:ind w:firstLine="0"/>
            </w:pPr>
            <w:r>
              <w:rPr>
                <w:rFonts w:hint="eastAsia"/>
                <w:sz w:val="20"/>
              </w:rPr>
              <w:t xml:space="preserve">截断程度</w:t>
            </w:r>
          </w:p>
        </w:tc>
        <w:tc>
          <w:tcPr>
            <w:tcW w:type="dxa" w:w="7370"/>
          </w:tcPr>
          <w:p>
            <w:pPr>
              <w:pStyle w:val="Compact"/>
              <w:spacing w:after="60" w:line="264" w:lineRule="auto"/>
              <w:ind w:firstLine="0"/>
            </w:pPr>
            <w:r>
              <w:rPr>
                <w:rFonts w:hint="eastAsia"/>
                <w:sz w:val="20"/>
              </w:rPr>
              <w:t xml:space="preserve">无截断：0；轻度截断：0.5；中度截断：1；重度截断：2。</w:t>
            </w:r>
          </w:p>
        </w:tc>
      </w:tr>
      <w:tr>
        <w:trPr>
          <w:cantSplit/>
        </w:trPr>
        <w:tc>
          <w:tcPr>
            <w:tcW w:type="dxa" w:w="1701"/>
          </w:tcPr>
          <w:p>
            <w:pPr>
              <w:pStyle w:val="Compact"/>
              <w:spacing w:after="60" w:line="264" w:lineRule="auto"/>
              <w:ind w:firstLine="0"/>
            </w:pPr>
            <w:r>
              <w:rPr>
                <w:rFonts w:hint="eastAsia"/>
                <w:sz w:val="20"/>
              </w:rPr>
              <w:t xml:space="preserve">身体朝向</w:t>
            </w:r>
          </w:p>
        </w:tc>
        <w:tc>
          <w:tcPr>
            <w:tcW w:type="dxa" w:w="7370"/>
          </w:tcPr>
          <w:p>
            <w:pPr>
              <w:pStyle w:val="Compact"/>
              <w:spacing w:after="60" w:line="264" w:lineRule="auto"/>
              <w:ind w:firstLine="0"/>
            </w:pPr>
            <w:r>
              <w:rPr>
                <w:rFonts w:hint="eastAsia"/>
                <w:sz w:val="20"/>
              </w:rPr>
              <w:t xml:space="preserve">正向、左侧、右侧或斜向：0；背向：1；俯视或非常规视角：2。</w:t>
            </w:r>
          </w:p>
        </w:tc>
      </w:tr>
    </w:tbl>
    <w:p>
      <w:pPr>
        <w:pStyle w:val="19"/>
        <w:widowControl/>
        <w:ind w:firstLine="397"/>
      </w:pPr>
      <w:r>
        <w:rPr>
          <w:rFonts w:hint="eastAsia"/>
        </w:rPr>
        <w:t xml:space="preserve">五项直接求和，综合风险范围为0至13。各维最大分值不同，直接求和具有隐含权重。该规则是预定义的测试组织方式，不由分类性能拟合，也不读取模型预测、置信度、表征或错误信息。可识别性等其他字段不参与风险评分。</w:t>
      </w:r>
    </w:p>
    <w:p>
      <w:pPr>
        <w:pStyle w:val="19"/>
        <w:widowControl/>
        <w:ind w:firstLine="397"/>
      </w:pPr>
      <w:r>
        <w:rPr>
          <w:rFonts w:hint="eastAsia"/>
        </w:rPr>
        <w:t xml:space="preserve">某维度为unknown时，使用该维可能分值范围的中点，并记录未知维数；同时分别取零值和最大值重新评分、分层，检查结论对未知处理的依赖。中点是操作性替代值，不表示真实难度的期望。unknown在覆盖计算中仍不作为已知状态证据。</w:t>
      </w:r>
    </w:p>
    <w:p>
      <w:pPr>
        <w:pStyle w:val="19"/>
        <w:widowControl/>
        <w:ind w:firstLine="397"/>
      </w:pPr>
      <w:r>
        <w:rPr>
          <w:rFonts w:hint="eastAsia"/>
        </w:rPr>
        <w:t xml:space="preserve">在每个候选池、每个真实类别内，按风险升序排列，同分按目标ID排序，将目标分为数量尽可能相等的Q1至Q5五层。Q1表示该类别内相对低风险，Q5表示相对高风险。随后分别计算各层的模型表现，检验风险组织与实际分类表现的关系。风险层不作为跨类别统一的绝对难度等级，也不预设各相邻层的表现严格递减。</w:t>
      </w:r>
    </w:p>
    <w:p>
      <w:pPr>
        <w:pStyle w:val="19"/>
        <w:widowControl/>
        <w:ind w:firstLine="397"/>
      </w:pPr>
      <w:r>
        <w:rPr>
          <w:rFonts w:hint="eastAsia"/>
        </w:rPr>
        <w:t xml:space="preserve">为分析测试构成的影响，每个类别保留相同目标数量</w:t>
      </w:r>
      <m:oMath>
        <m:r>
          <m:t>m</m:t>
        </m:r>
      </m:oMath>
      <w:r>
        <w:rPr>
          <w:rFonts w:hint="eastAsia"/>
        </w:rPr>
        <w:t xml:space="preserve">，调节高风险目标占比</w:t>
      </w:r>
      <m:oMath>
        <m:r>
          <m:t>ρ</m:t>
        </m:r>
      </m:oMath>
      <w:r>
        <w:rPr>
          <w:rFonts w:hint="eastAsia"/>
        </w:rPr>
        <w:t xml:space="preserve">。主分析从Q5抽取</w:t>
      </w:r>
      <m:oMath>
        <m:r>
          <m:t>ρ</m:t>
        </m:r>
        <m:r>
          <m:t>m</m:t>
        </m:r>
      </m:oMath>
      <w:r>
        <w:rPr>
          <w:rFonts w:hint="eastAsia"/>
        </w:rPr>
        <w:t xml:space="preserve">个目标，从Q1至Q4的并集抽取其余目标。记低风险侧候选集合为</w:t>
      </w:r>
      <m:oMath>
        <m:sSubSup>
          <m:e>
            <m:r>
              <m:t>L</m:t>
            </m:r>
          </m:e>
          <m:sub>
            <m:r>
              <m:t>c</m:t>
            </m:r>
          </m:sub>
          <m:sup>
            <m:r>
              <m:rPr>
                <m:sty m:val="p"/>
              </m:rPr>
              <m:t>(</m:t>
            </m:r>
            <m:r>
              <m:t>r</m:t>
            </m:r>
            <m:r>
              <m:rPr>
                <m:sty m:val="p"/>
              </m:rPr>
              <m:t>)</m:t>
            </m:r>
          </m:sup>
        </m:sSubSup>
        <m:r>
          <m:rPr>
            <m:sty m:val="p"/>
          </m:rPr>
          <m:t>=</m:t>
        </m:r>
        <m:sSubSup>
          <m:e>
            <m:r>
              <m:t>Q</m:t>
            </m:r>
          </m:e>
          <m:sub>
            <m:r>
              <m:t>c</m:t>
            </m:r>
            <m:r>
              <m:rPr>
                <m:sty m:val="p"/>
              </m:rPr>
              <m:t>,</m:t>
            </m:r>
            <m:r>
              <m:t>1</m:t>
            </m:r>
          </m:sub>
          <m:sup>
            <m:r>
              <m:rPr>
                <m:sty m:val="p"/>
              </m:rPr>
              <m:t>(</m:t>
            </m:r>
            <m:r>
              <m:t>r</m:t>
            </m:r>
            <m:r>
              <m:rPr>
                <m:sty m:val="p"/>
              </m:rPr>
              <m:t>)</m:t>
            </m:r>
          </m:sup>
        </m:sSubSup>
        <m:r>
          <m:rPr>
            <m:sty m:val="p"/>
          </m:rPr>
          <m:t>∪</m:t>
        </m:r>
        <m:sSubSup>
          <m:e>
            <m:r>
              <m:t>Q</m:t>
            </m:r>
          </m:e>
          <m:sub>
            <m:r>
              <m:t>c</m:t>
            </m:r>
            <m:r>
              <m:rPr>
                <m:sty m:val="p"/>
              </m:rPr>
              <m:t>,</m:t>
            </m:r>
            <m:r>
              <m:t>2</m:t>
            </m:r>
          </m:sub>
          <m:sup>
            <m:r>
              <m:rPr>
                <m:sty m:val="p"/>
              </m:rPr>
              <m:t>(</m:t>
            </m:r>
            <m:r>
              <m:t>r</m:t>
            </m:r>
            <m:r>
              <m:rPr>
                <m:sty m:val="p"/>
              </m:rPr>
              <m:t>)</m:t>
            </m:r>
          </m:sup>
        </m:sSubSup>
        <m:r>
          <m:rPr>
            <m:sty m:val="p"/>
          </m:rPr>
          <m:t>∪</m:t>
        </m:r>
        <m:sSubSup>
          <m:e>
            <m:r>
              <m:t>Q</m:t>
            </m:r>
          </m:e>
          <m:sub>
            <m:r>
              <m:t>c</m:t>
            </m:r>
            <m:r>
              <m:rPr>
                <m:sty m:val="p"/>
              </m:rPr>
              <m:t>,</m:t>
            </m:r>
            <m:r>
              <m:t>3</m:t>
            </m:r>
          </m:sub>
          <m:sup>
            <m:r>
              <m:rPr>
                <m:sty m:val="p"/>
              </m:rPr>
              <m:t>(</m:t>
            </m:r>
            <m:r>
              <m:t>r</m:t>
            </m:r>
            <m:r>
              <m:rPr>
                <m:sty m:val="p"/>
              </m:rPr>
              <m:t>)</m:t>
            </m:r>
          </m:sup>
        </m:sSubSup>
        <m:r>
          <m:rPr>
            <m:sty m:val="p"/>
          </m:rPr>
          <m:t>∪</m:t>
        </m:r>
        <m:sSubSup>
          <m:e>
            <m:r>
              <m:t>Q</m:t>
            </m:r>
          </m:e>
          <m:sub>
            <m:r>
              <m:t>c</m:t>
            </m:r>
            <m:r>
              <m:rPr>
                <m:sty m:val="p"/>
              </m:rPr>
              <m:t>,</m:t>
            </m:r>
            <m:r>
              <m:t>4</m:t>
            </m:r>
          </m:sub>
          <m:sup>
            <m:r>
              <m:rPr>
                <m:sty m:val="p"/>
              </m:rPr>
              <m:t>(</m:t>
            </m:r>
            <m:r>
              <m:t>r</m:t>
            </m:r>
            <m:r>
              <m:rPr>
                <m:sty m:val="p"/>
              </m:rPr>
              <m:t>)</m:t>
            </m:r>
          </m:sup>
        </m:sSubSup>
      </m:oMath>
      <w:r>
        <w:rPr>
          <w:rFonts w:hint="eastAsia"/>
        </w:rPr>
        <w:t xml:space="preserve">，则：</w:t>
      </w:r>
    </w:p>
    <w:p>
      <w:pPr>
        <w:pStyle w:val="19"/>
        <w:widowControl/>
      </w:pPr>
      <m:oMathPara>
        <m:oMathParaPr>
          <m:jc m:val="center"/>
        </m:oMathParaPr>
        <m:oMath>
          <m:eqArr>
            <m:e>
              <m:sSubSup>
                <m:e>
                  <m:r>
                    <m:t>T</m:t>
                  </m:r>
                </m:e>
                <m:sub>
                  <m:r>
                    <m:t>c</m:t>
                  </m:r>
                </m:sub>
                <m:sup>
                  <m:r>
                    <m:rPr>
                      <m:sty m:val="p"/>
                    </m:rPr>
                    <m:t>(</m:t>
                  </m:r>
                  <m:r>
                    <m:t>r</m:t>
                  </m:r>
                  <m:r>
                    <m:rPr>
                      <m:sty m:val="p"/>
                    </m:rPr>
                    <m:t>)</m:t>
                  </m:r>
                </m:sup>
              </m:sSubSup>
              <m:r>
                <m:rPr>
                  <m:sty m:val="p"/>
                </m:rPr>
                <m:t>(</m:t>
              </m:r>
              <m:r>
                <m:t>ρ</m:t>
              </m:r>
              <m:r>
                <m:rPr>
                  <m:sty m:val="p"/>
                </m:rPr>
                <m:t>)</m:t>
              </m:r>
              <m:r>
                <m:rPr>
                  <m:sty m:val="p"/>
                </m:rPr>
                <m:t>=</m:t>
              </m:r>
              <m:r>
                <m:t>​</m:t>
              </m:r>
              <m:r>
                <m:t>&amp;</m:t>
              </m:r>
              <m:r>
                <m:rPr>
                  <m:sty m:val="p"/>
                </m:rPr>
                <m:t>Sample</m:t>
              </m:r>
              <m:r>
                <m:rPr>
                  <m:sty m:val="p"/>
                </m:rPr>
                <m:t>(</m:t>
              </m:r>
              <m:sSubSup>
                <m:e>
                  <m:r>
                    <m:t>Q</m:t>
                  </m:r>
                </m:e>
                <m:sub>
                  <m:r>
                    <m:t>c</m:t>
                  </m:r>
                  <m:r>
                    <m:rPr>
                      <m:sty m:val="p"/>
                    </m:rPr>
                    <m:t>,</m:t>
                  </m:r>
                  <m:r>
                    <m:t>5</m:t>
                  </m:r>
                </m:sub>
                <m:sup>
                  <m:r>
                    <m:rPr>
                      <m:sty m:val="p"/>
                    </m:rPr>
                    <m:t>(</m:t>
                  </m:r>
                  <m:r>
                    <m:t>r</m:t>
                  </m:r>
                  <m:r>
                    <m:rPr>
                      <m:sty m:val="p"/>
                    </m:rPr>
                    <m:t>)</m:t>
                  </m:r>
                </m:sup>
              </m:sSubSup>
              <m:r>
                <m:rPr>
                  <m:sty m:val="p"/>
                </m:rPr>
                <m:t>,</m:t>
              </m:r>
              <m:r>
                <m:t>ρ</m:t>
              </m:r>
              <m:r>
                <m:t>m</m:t>
              </m:r>
              <m:r>
                <m:rPr>
                  <m:sty m:val="p"/>
                </m:rPr>
                <m:t>)</m:t>
              </m:r>
            </m:e>
            <m:e>
              <m:r>
                <m:t>&amp;</m:t>
              </m:r>
              <m:r>
                <m:rPr>
                  <m:sty m:val="p"/>
                </m:rPr>
                <m:t>∪</m:t>
              </m:r>
              <m:r>
                <m:rPr>
                  <m:sty m:val="p"/>
                </m:rPr>
                <m:t>Sample</m:t>
              </m:r>
              <m:r>
                <m:rPr>
                  <m:sty m:val="p"/>
                </m:rPr>
                <m:t>(</m:t>
              </m:r>
              <m:sSubSup>
                <m:e>
                  <m:r>
                    <m:t>L</m:t>
                  </m:r>
                </m:e>
                <m:sub>
                  <m:r>
                    <m:t>c</m:t>
                  </m:r>
                </m:sub>
                <m:sup>
                  <m:r>
                    <m:rPr>
                      <m:sty m:val="p"/>
                    </m:rPr>
                    <m:t>(</m:t>
                  </m:r>
                  <m:r>
                    <m:t>r</m:t>
                  </m:r>
                  <m:r>
                    <m:rPr>
                      <m:sty m:val="p"/>
                    </m:rPr>
                    <m:t>)</m:t>
                  </m:r>
                </m:sup>
              </m:sSubSup>
              <m:r>
                <m:rPr>
                  <m:sty m:val="p"/>
                </m:rPr>
                <m:t>,</m:t>
              </m:r>
              <m:r>
                <m:rPr>
                  <m:sty m:val="p"/>
                </m:rPr>
                <m:t>(</m:t>
              </m:r>
              <m:r>
                <m:t>1</m:t>
              </m:r>
              <m:r>
                <m:rPr>
                  <m:sty m:val="p"/>
                </m:rPr>
                <m:t>−</m:t>
              </m:r>
              <m:r>
                <m:t>ρ</m:t>
              </m:r>
              <m:r>
                <m:rPr>
                  <m:sty m:val="p"/>
                </m:rPr>
                <m:t>)</m:t>
              </m:r>
              <m:r>
                <m:t>m</m:t>
              </m:r>
              <m:r>
                <m:rPr>
                  <m:sty m:val="p"/>
                </m:rPr>
                <m:t>)</m:t>
              </m:r>
              <m:r>
                <m:rPr>
                  <m:sty m:val="p"/>
                </m:rPr>
                <m:t>.</m:t>
              </m:r>
            </m:e>
          </m:eqArr>
        </m:oMath>
      </m:oMathPara>
    </w:p>
    <w:p>
      <w:pPr>
        <w:pStyle w:val="FirstParagraph"/>
        <w:widowControl/>
        <w:ind w:firstLine="397"/>
      </w:pPr>
      <w:r>
        <w:rPr>
          <w:rFonts w:hint="eastAsia"/>
        </w:rPr>
        <w:t xml:space="preserve">Sample表示无放回抽样，</w:t>
      </w:r>
      <m:oMath>
        <m:r>
          <m:t>ρ</m:t>
        </m:r>
        <m:r>
          <m:rPr>
            <m:sty m:val="p"/>
          </m:rPr>
          <m:t>∈</m:t>
        </m:r>
        <m:r>
          <m:rPr>
            <m:sty m:val="p"/>
          </m:rPr>
          <m:t>[</m:t>
        </m:r>
        <m:r>
          <m:t>0</m:t>
        </m:r>
        <m:r>
          <m:rPr>
            <m:sty m:val="p"/>
          </m:rPr>
          <m:t>,</m:t>
        </m:r>
        <m:r>
          <m:t>1</m:t>
        </m:r>
        <m:r>
          <m:rPr>
            <m:sty m:val="p"/>
          </m:rPr>
          <m:t>]</m:t>
        </m:r>
      </m:oMath>
      <w:r>
        <w:rPr>
          <w:rFonts w:hint="eastAsia"/>
        </w:rPr>
        <w:t xml:space="preserve">，两部分样本数均取整数且不超过相应候选容量。合并各类别后，测试总量为</w:t>
      </w:r>
      <m:oMath>
        <m:r>
          <m:t>K</m:t>
        </m:r>
        <m:r>
          <m:t>m</m:t>
        </m:r>
      </m:oMath>
      <w:r>
        <w:rPr>
          <w:rFonts w:hint="eastAsia"/>
        </w:rPr>
        <w:t xml:space="preserve">，类别比例保持一致。每个比例重复抽样，同一次抽样中各模型使用相同测试集合，以比较性能响应和模型排名变化。模型扩展分析采用Q1与Q5混合，两种协议对应的模型组和抽样设置在实验章节分别说明。</w:t>
      </w:r>
    </w:p>
    <w:p>
      <w:pPr>
        <w:pStyle w:val="19"/>
        <w:widowControl/>
        <w:ind w:firstLine="397"/>
      </w:pPr>
      <w:r>
        <w:rPr>
          <w:rFonts w:hint="eastAsia"/>
        </w:rPr>
        <w:t xml:space="preserve">覆盖描述状态的样本支持，风险组织用于比较视觉条件。二者共同依赖视觉状态，但承担不同作用；覆盖增加不预设风险增加。</w:t>
      </w:r>
    </w:p>
    <w:bookmarkEnd w:id="22"/>
    <w:bookmarkStart w:id="23" w:name="不同视觉条件下的模型性能与失败分析"/>
    <w:p>
      <w:pPr>
        <w:pStyle w:val="4"/>
        <w:keepNext/>
        <w:widowControl/>
      </w:pPr>
      <w:r>
        <w:t xml:space="preserve">3.5 </w:t>
      </w:r>
      <w:r>
        <w:rPr>
          <w:rFonts w:hint="eastAsia"/>
        </w:rPr>
        <w:t xml:space="preserve">不同视觉条件下的模型性能与失败分析</w:t>
      </w:r>
    </w:p>
    <w:p>
      <w:pPr>
        <w:pStyle w:val="FirstParagraph"/>
        <w:widowControl/>
        <w:ind w:firstLine="397"/>
      </w:pPr>
      <w:r>
        <w:rPr>
          <w:rFonts w:hint="eastAsia"/>
        </w:rPr>
        <w:t xml:space="preserve">本节将已组织的测试集合转化为模型评价结果，分别分析整体识别表现、具体视觉条件下的表现，以及测试发现的失败信息。被测模型输出类别预测</w:t>
      </w:r>
      <m:oMath>
        <m:sSub>
          <m:e>
            <m:acc>
              <m:accPr>
                <m:chr m:val="̂"/>
              </m:accPr>
              <m:e>
                <m:r>
                  <m:t>y</m:t>
                </m:r>
              </m:e>
            </m:acc>
          </m:e>
          <m:sub>
            <m:r>
              <m:t>i</m:t>
            </m:r>
          </m:sub>
        </m:sSub>
        <m:r>
          <m:rPr>
            <m:sty m:val="p"/>
          </m:rPr>
          <m:t>=</m:t>
        </m:r>
        <m:sSub>
          <m:e>
            <m:r>
              <m:t>f</m:t>
            </m:r>
          </m:e>
          <m:sub>
            <m:r>
              <m:t>θ</m:t>
            </m:r>
          </m:sub>
        </m:sSub>
        <m:r>
          <m:rPr>
            <m:sty m:val="p"/>
          </m:rPr>
          <m:t>(</m:t>
        </m:r>
        <m:sSub>
          <m:e>
            <m:r>
              <m:t>x</m:t>
            </m:r>
          </m:e>
          <m:sub>
            <m:r>
              <m:t>i</m:t>
            </m:r>
          </m:sub>
        </m:sSub>
        <m:r>
          <m:rPr>
            <m:sty m:val="p"/>
          </m:rPr>
          <m:t>)</m:t>
        </m:r>
      </m:oMath>
      <w:r>
        <w:rPr>
          <w:rFonts w:hint="eastAsia"/>
        </w:rPr>
        <w:t xml:space="preserve">。首先计算测试集合的Accuracy、Macro-Precision、Macro-Recall和Macro-F1，评价整体分类表现。Macro-F1为各类别F1的算术平均。随后按照风险层和具体视觉状态划分目标，分析模型表现的条件差异。</w:t>
      </w:r>
    </w:p>
    <w:p>
      <w:pPr>
        <w:pStyle w:val="19"/>
        <w:widowControl/>
        <w:ind w:firstLine="397"/>
      </w:pPr>
      <w:r>
        <w:rPr>
          <w:rFonts w:hint="eastAsia"/>
        </w:rPr>
        <w:t xml:space="preserve">设</w:t>
      </w:r>
      <m:oMath>
        <m:r>
          <m:t>T</m:t>
        </m:r>
      </m:oMath>
      <w:r>
        <w:rPr>
          <w:rFonts w:hint="eastAsia"/>
        </w:rPr>
        <w:t xml:space="preserve">为评价目标的索引集合，类别</w:t>
      </w:r>
      <m:oMath>
        <m:r>
          <m:t>c</m:t>
        </m:r>
      </m:oMath>
      <w:r>
        <w:rPr>
          <w:rFonts w:hint="eastAsia"/>
        </w:rPr>
        <w:t xml:space="preserve">中具有状态</w:t>
      </w:r>
      <m:oMath>
        <m:r>
          <m:t>s</m:t>
        </m:r>
      </m:oMath>
      <w:r>
        <w:rPr>
          <w:rFonts w:hint="eastAsia"/>
        </w:rPr>
        <w:t xml:space="preserve">的目标，其条件Recall定义为：</w:t>
      </w:r>
    </w:p>
    <w:p>
      <w:pPr>
        <w:pStyle w:val="19"/>
        <w:widowControl/>
      </w:pPr>
      <m:oMathPara>
        <m:oMathParaPr>
          <m:jc m:val="center"/>
        </m:oMathParaPr>
        <m:oMath>
          <m:sSubSup>
            <m:e>
              <m:r>
                <m:rPr>
                  <m:sty m:val="p"/>
                </m:rPr>
                <m:t>Rec</m:t>
              </m:r>
            </m:e>
            <m:sub>
              <m:r>
                <m:t>c</m:t>
              </m:r>
              <m:r>
                <m:rPr>
                  <m:sty m:val="p"/>
                </m:rPr>
                <m:t>,</m:t>
              </m:r>
              <m:r>
                <m:t>s</m:t>
              </m:r>
            </m:sub>
            <m:sup>
              <m:r>
                <m:rPr>
                  <m:sty m:val="p"/>
                </m:rPr>
                <m:t>(</m:t>
              </m:r>
              <m:r>
                <m:t>r</m:t>
              </m:r>
              <m:r>
                <m:rPr>
                  <m:sty m:val="p"/>
                </m:rPr>
                <m:t>)</m:t>
              </m:r>
            </m:sup>
          </m:sSubSup>
          <m:r>
            <m:rPr>
              <m:sty m:val="p"/>
            </m:rPr>
            <m:t>(</m:t>
          </m:r>
          <m:r>
            <m:t>T</m:t>
          </m:r>
          <m:r>
            <m:rPr>
              <m:sty m:val="p"/>
            </m:rPr>
            <m:t>)</m:t>
          </m:r>
          <m:r>
            <m:rPr>
              <m:sty m:val="p"/>
            </m:rPr>
            <m:t>=</m:t>
          </m:r>
          <m:f>
            <m:fPr>
              <m:type m:val="bar"/>
            </m:fPr>
            <m:num>
              <m:nary>
                <m:naryPr>
                  <m:chr m:val="∑"/>
                  <m:limLoc m:val="undOvr"/>
                  <m:subHide m:val="off"/>
                  <m:supHide m:val="on"/>
                </m:naryPr>
                <m:sub>
                  <m:r>
                    <m:t>i</m:t>
                  </m:r>
                  <m:r>
                    <m:rPr>
                      <m:sty m:val="p"/>
                    </m:rPr>
                    <m:t>∈</m:t>
                  </m:r>
                  <m:r>
                    <m:t>T</m:t>
                  </m:r>
                </m:sub>
                <m:sup>
                  <m:r>
                    <m:t>​</m:t>
                  </m:r>
                </m:sup>
                <m:e>
                  <m:r>
                    <m:rPr>
                      <m:sty m:val="b"/>
                    </m:rPr>
                    <m:t>1</m:t>
                  </m:r>
                </m:e>
              </m:nary>
              <m:r>
                <m:rPr>
                  <m:sty m:val="p"/>
                </m:rPr>
                <m:t>{</m:t>
              </m:r>
              <m:sSub>
                <m:e>
                  <m:r>
                    <m:t>y</m:t>
                  </m:r>
                </m:e>
                <m:sub>
                  <m:r>
                    <m:t>i</m:t>
                  </m:r>
                </m:sub>
              </m:sSub>
              <m:r>
                <m:rPr>
                  <m:sty m:val="p"/>
                </m:rPr>
                <m:t>=</m:t>
              </m:r>
              <m:r>
                <m:t>c</m:t>
              </m:r>
              <m:r>
                <m:rPr>
                  <m:sty m:val="p"/>
                </m:rPr>
                <m:t>}</m:t>
              </m:r>
              <m:r>
                <m:rPr>
                  <m:sty m:val="b"/>
                </m:rPr>
                <m:t>1</m:t>
              </m:r>
              <m:r>
                <m:rPr>
                  <m:sty m:val="p"/>
                </m:rPr>
                <m:t>{</m:t>
              </m:r>
              <m:r>
                <m:t>s</m:t>
              </m:r>
              <m:r>
                <m:rPr>
                  <m:sty m:val="p"/>
                </m:rPr>
                <m:t>∈</m:t>
              </m:r>
              <m:sSubSup>
                <m:e>
                  <m:r>
                    <m:t>A</m:t>
                  </m:r>
                </m:e>
                <m:sub>
                  <m:r>
                    <m:t>i</m:t>
                  </m:r>
                </m:sub>
                <m:sup>
                  <m:r>
                    <m:rPr>
                      <m:sty m:val="p"/>
                    </m:rPr>
                    <m:t>(</m:t>
                  </m:r>
                  <m:r>
                    <m:t>r</m:t>
                  </m:r>
                  <m:r>
                    <m:rPr>
                      <m:sty m:val="p"/>
                    </m:rPr>
                    <m:t>)</m:t>
                  </m:r>
                </m:sup>
              </m:sSubSup>
              <m:r>
                <m:rPr>
                  <m:sty m:val="p"/>
                </m:rPr>
                <m:t>}</m:t>
              </m:r>
              <m:r>
                <m:rPr>
                  <m:sty m:val="b"/>
                </m:rPr>
                <m:t>1</m:t>
              </m:r>
              <m:r>
                <m:rPr>
                  <m:sty m:val="p"/>
                </m:rPr>
                <m:t>{</m:t>
              </m:r>
              <m:sSub>
                <m:e>
                  <m:acc>
                    <m:accPr>
                      <m:chr m:val="̂"/>
                    </m:accPr>
                    <m:e>
                      <m:r>
                        <m:t>y</m:t>
                      </m:r>
                    </m:e>
                  </m:acc>
                </m:e>
                <m:sub>
                  <m:r>
                    <m:t>i</m:t>
                  </m:r>
                </m:sub>
              </m:sSub>
              <m:r>
                <m:rPr>
                  <m:sty m:val="p"/>
                </m:rPr>
                <m:t>=</m:t>
              </m:r>
              <m:sSub>
                <m:e>
                  <m:r>
                    <m:t>y</m:t>
                  </m:r>
                </m:e>
                <m:sub>
                  <m:r>
                    <m:t>i</m:t>
                  </m:r>
                </m:sub>
              </m:sSub>
              <m:r>
                <m:rPr>
                  <m:sty m:val="p"/>
                </m:rPr>
                <m:t>}</m:t>
              </m:r>
            </m:num>
            <m:den>
              <m:sSubSup>
                <m:e>
                  <m:r>
                    <m:t>n</m:t>
                  </m:r>
                </m:e>
                <m:sub>
                  <m:r>
                    <m:t>c</m:t>
                  </m:r>
                  <m:r>
                    <m:rPr>
                      <m:sty m:val="p"/>
                    </m:rPr>
                    <m:t>,</m:t>
                  </m:r>
                  <m:r>
                    <m:t>s</m:t>
                  </m:r>
                </m:sub>
                <m:sup>
                  <m:r>
                    <m:rPr>
                      <m:sty m:val="p"/>
                    </m:rPr>
                    <m:t>(</m:t>
                  </m:r>
                  <m:r>
                    <m:t>r</m:t>
                  </m:r>
                  <m:r>
                    <m:rPr>
                      <m:sty m:val="p"/>
                    </m:rPr>
                    <m:t>)</m:t>
                  </m:r>
                </m:sup>
              </m:sSubSup>
              <m:r>
                <m:rPr>
                  <m:sty m:val="p"/>
                </m:rPr>
                <m:t>(</m:t>
              </m:r>
              <m:r>
                <m:t>T</m:t>
              </m:r>
              <m:r>
                <m:rPr>
                  <m:sty m:val="p"/>
                </m:rPr>
                <m:t>)</m:t>
              </m:r>
            </m:den>
          </m:f>
          <m:r>
            <m:rPr>
              <m:sty m:val="p"/>
            </m:rPr>
            <m:t>.</m:t>
          </m:r>
        </m:oMath>
      </m:oMathPara>
    </w:p>
    <w:p>
      <w:pPr>
        <w:pStyle w:val="FirstParagraph"/>
        <w:widowControl/>
        <w:ind w:firstLine="397"/>
      </w:pPr>
      <w:r>
        <w:rPr>
          <w:rFonts w:hint="eastAsia"/>
        </w:rPr>
        <w:t xml:space="preserve">该指标表示具有相应状态的该类目标中被正确识别的比例。例如，“犬—重度遮挡”的条件Recall表示重度遮挡犬类目标中被正确识别为犬的比例。指标仅在支持数大于零时计算，并同时报告支持数。以该类别在同一评价集合中的总体Recall为参考，定义条件差值：</w:t>
      </w:r>
    </w:p>
    <w:p>
      <w:pPr>
        <w:pStyle w:val="19"/>
        <w:widowControl/>
      </w:pPr>
      <m:oMathPara>
        <m:oMathParaPr>
          <m:jc m:val="center"/>
        </m:oMathParaPr>
        <m:oMath>
          <m:sSubSup>
            <m:e>
              <m:r>
                <m:rPr>
                  <m:sty m:val="p"/>
                </m:rPr>
                <m:t>Δ</m:t>
              </m:r>
            </m:e>
            <m:sub>
              <m:r>
                <m:t>c</m:t>
              </m:r>
              <m:r>
                <m:rPr>
                  <m:sty m:val="p"/>
                </m:rPr>
                <m:t>,</m:t>
              </m:r>
              <m:r>
                <m:t>s</m:t>
              </m:r>
            </m:sub>
            <m:sup>
              <m:r>
                <m:rPr>
                  <m:sty m:val="p"/>
                </m:rPr>
                <m:t>(</m:t>
              </m:r>
              <m:r>
                <m:t>r</m:t>
              </m:r>
              <m:r>
                <m:rPr>
                  <m:sty m:val="p"/>
                </m:rPr>
                <m:t>)</m:t>
              </m:r>
            </m:sup>
          </m:sSubSup>
          <m:r>
            <m:rPr>
              <m:sty m:val="p"/>
            </m:rPr>
            <m:t>(</m:t>
          </m:r>
          <m:r>
            <m:t>T</m:t>
          </m:r>
          <m:r>
            <m:rPr>
              <m:sty m:val="p"/>
            </m:rPr>
            <m:t>)</m:t>
          </m:r>
          <m:r>
            <m:rPr>
              <m:sty m:val="p"/>
            </m:rPr>
            <m:t>=</m:t>
          </m:r>
          <m:sSubSup>
            <m:e>
              <m:r>
                <m:rPr>
                  <m:sty m:val="p"/>
                </m:rPr>
                <m:t>Rec</m:t>
              </m:r>
            </m:e>
            <m:sub>
              <m:r>
                <m:t>c</m:t>
              </m:r>
              <m:r>
                <m:rPr>
                  <m:sty m:val="p"/>
                </m:rPr>
                <m:t>,</m:t>
              </m:r>
              <m:r>
                <m:t>s</m:t>
              </m:r>
            </m:sub>
            <m:sup>
              <m:r>
                <m:rPr>
                  <m:sty m:val="p"/>
                </m:rPr>
                <m:t>(</m:t>
              </m:r>
              <m:r>
                <m:t>r</m:t>
              </m:r>
              <m:r>
                <m:rPr>
                  <m:sty m:val="p"/>
                </m:rPr>
                <m:t>)</m:t>
              </m:r>
            </m:sup>
          </m:sSubSup>
          <m:r>
            <m:rPr>
              <m:sty m:val="p"/>
            </m:rPr>
            <m:t>(</m:t>
          </m:r>
          <m:r>
            <m:t>T</m:t>
          </m:r>
          <m:r>
            <m:rPr>
              <m:sty m:val="p"/>
            </m:rPr>
            <m:t>)</m:t>
          </m:r>
          <m:r>
            <m:rPr>
              <m:sty m:val="p"/>
            </m:rPr>
            <m:t>−</m:t>
          </m:r>
          <m:sSub>
            <m:e>
              <m:r>
                <m:rPr>
                  <m:sty m:val="p"/>
                </m:rPr>
                <m:t>Rec</m:t>
              </m:r>
            </m:e>
            <m:sub>
              <m:r>
                <m:t>c</m:t>
              </m:r>
            </m:sub>
          </m:sSub>
          <m:r>
            <m:rPr>
              <m:sty m:val="p"/>
            </m:rPr>
            <m:t>(</m:t>
          </m:r>
          <m:r>
            <m:t>T</m:t>
          </m:r>
          <m:r>
            <m:rPr>
              <m:sty m:val="p"/>
            </m:rPr>
            <m:t>)</m:t>
          </m:r>
          <m:r>
            <m:rPr>
              <m:sty m:val="p"/>
            </m:rPr>
            <m:t>.</m:t>
          </m:r>
        </m:oMath>
      </m:oMathPara>
    </w:p>
    <w:p>
      <w:pPr>
        <w:pStyle w:val="FirstParagraph"/>
        <w:widowControl/>
        <w:ind w:firstLine="397"/>
      </w:pPr>
      <w:r>
        <w:rPr>
          <w:rFonts w:hint="eastAsia"/>
        </w:rPr>
        <w:t xml:space="preserve">差值为负表示该状态下的表现低于对应类别的总体水平。一个目标可能同时属于多个状态，因此条件差值描述的是状态与表现的关联，不直接解释为独立错误类型或错误原因。</w:t>
      </w:r>
    </w:p>
    <w:p>
      <w:pPr>
        <w:pStyle w:val="19"/>
        <w:widowControl/>
        <w:ind w:firstLine="397"/>
      </w:pPr>
      <w:r>
        <w:rPr>
          <w:rFonts w:hint="eastAsia"/>
        </w:rPr>
        <w:t xml:space="preserve">为了评价不同选样方法获得的失败信息，除错误数量和错误率外，还统计三类广度。失败状态广度描述具有基本样本支持且出现分类错误的状态比例，当前基本支持门槛为3，分母为该类别固定状态集合</w:t>
      </w:r>
      <m:oMath>
        <m:sSub>
          <m:e>
            <m:r>
              <m:t>U</m:t>
            </m:r>
          </m:e>
          <m:sub>
            <m:r>
              <m:t>c</m:t>
            </m:r>
          </m:sub>
        </m:sSub>
      </m:oMath>
      <w:r>
        <w:rPr>
          <w:rFonts w:hint="eastAsia"/>
        </w:rPr>
        <w:t xml:space="preserve">。该指标未进行等错误数控制，与错误数量共同报告。混淆类型广度描述所选错误覆盖了多少种真实类别与错误预测类别的配对，例如“犬被预测为猫”。表征簇广度描述所选错误覆盖了多少个错误样本表征簇，用于观察错误目标在模型表征中的多样性。</w:t>
      </w:r>
    </w:p>
    <w:p>
      <w:pPr>
        <w:pStyle w:val="19"/>
        <w:widowControl/>
        <w:ind w:firstLine="397"/>
      </w:pPr>
      <w:r>
        <w:rPr>
          <w:rFonts w:hint="eastAsia"/>
        </w:rPr>
        <w:t xml:space="preserve">对于每个模型、训练种子和真实类别，混淆类型集合由完整候选池中的错误确定；表征簇也仅对完整候选池中的错误目标构建。不同选样方法和测试数量沿用固定的类型集合、聚类结果和分母。错误表征先进行L2归一化，再使用K-means聚类。错误数不少于2时，簇数取错误数平方根四舍五入后限制在2至8之间；零错误和单错误分别对应零簇和一簇。选样独立确认主分析使用分类器最终分类层的输入表征，另用统一ViT-B/16表征检查敏感性；风险混合分析使用统一ViT-B/16表征。</w:t>
      </w:r>
    </w:p>
    <w:p>
      <w:pPr>
        <w:pStyle w:val="19"/>
        <w:widowControl/>
        <w:ind w:firstLine="397"/>
      </w:pPr>
      <w:r>
        <w:rPr>
          <w:rFonts w:hint="eastAsia"/>
        </w:rPr>
        <w:t xml:space="preserve">为减少错误数量不同对广度比较的影响，对混淆类型和表征簇进行等错误数控制。在每个真实类别内，取两种方法错误数的较小值</w:t>
      </w:r>
      <m:oMath>
        <m:r>
          <m:t>q</m:t>
        </m:r>
      </m:oMath>
      <w:r>
        <w:rPr>
          <w:rFonts w:hint="eastAsia"/>
        </w:rPr>
        <w:t xml:space="preserve">。若某方法共有</w:t>
      </w:r>
      <m:oMath>
        <m:r>
          <m:t>N</m:t>
        </m:r>
      </m:oMath>
      <w:r>
        <w:rPr>
          <w:rFonts w:hint="eastAsia"/>
        </w:rPr>
        <w:t xml:space="preserve">个错误，其中某一类型出现</w:t>
      </w:r>
      <m:oMath>
        <m:r>
          <m:t>e</m:t>
        </m:r>
      </m:oMath>
      <w:r>
        <w:rPr>
          <w:rFonts w:hint="eastAsia"/>
        </w:rPr>
        <w:t xml:space="preserve">次，则无放回抽取</w:t>
      </w:r>
      <m:oMath>
        <m:r>
          <m:t>q</m:t>
        </m:r>
      </m:oMath>
      <w:r>
        <w:rPr>
          <w:rFonts w:hint="eastAsia"/>
        </w:rPr>
        <w:t xml:space="preserve">个错误后观察到该类型的概率为：</w:t>
      </w:r>
    </w:p>
    <w:p>
      <w:pPr>
        <w:pStyle w:val="19"/>
        <w:widowControl/>
      </w:pPr>
      <m:oMathPara>
        <m:oMathParaPr>
          <m:jc m:val="center"/>
        </m:oMathParaPr>
        <m:oMath>
          <m:sSub>
            <m:e>
              <m:r>
                <m:t>p</m:t>
              </m:r>
            </m:e>
            <m:sub>
              <m:r>
                <m:rPr>
                  <m:sty m:val="p"/>
                </m:rPr>
                <m:t>o</m:t>
              </m:r>
              <m:r>
                <m:rPr>
                  <m:sty m:val="p"/>
                </m:rPr>
                <m:t>b</m:t>
              </m:r>
              <m:r>
                <m:rPr>
                  <m:sty m:val="p"/>
                </m:rPr>
                <m:t>s</m:t>
              </m:r>
            </m:sub>
          </m:sSub>
          <m:r>
            <m:rPr>
              <m:sty m:val="p"/>
            </m:rPr>
            <m:t>=</m:t>
          </m:r>
          <m:r>
            <m:t>1</m:t>
          </m:r>
          <m:r>
            <m:rPr>
              <m:sty m:val="p"/>
            </m:rPr>
            <m:t>−</m:t>
          </m:r>
          <m:f>
            <m:fPr>
              <m:type m:val="bar"/>
            </m:fPr>
            <m:num>
              <m:d>
                <m:dPr>
                  <m:begChr m:val="("/>
                  <m:sepChr m:val=""/>
                  <m:endChr m:val=")"/>
                  <m:grow/>
                </m:dPr>
                <m:e>
                  <m:f>
                    <m:fPr>
                      <m:type m:val="noBar"/>
                    </m:fPr>
                    <m:num>
                      <m:r>
                        <m:t>N</m:t>
                      </m:r>
                      <m:r>
                        <m:rPr>
                          <m:sty m:val="p"/>
                        </m:rPr>
                        <m:t>−</m:t>
                      </m:r>
                      <m:r>
                        <m:t>e</m:t>
                      </m:r>
                    </m:num>
                    <m:den>
                      <m:r>
                        <m:t>q</m:t>
                      </m:r>
                    </m:den>
                  </m:f>
                </m:e>
              </m:d>
            </m:num>
            <m:den>
              <m:d>
                <m:dPr>
                  <m:begChr m:val="("/>
                  <m:sepChr m:val=""/>
                  <m:endChr m:val=")"/>
                  <m:grow/>
                </m:dPr>
                <m:e>
                  <m:f>
                    <m:fPr>
                      <m:type m:val="noBar"/>
                    </m:fPr>
                    <m:num>
                      <m:r>
                        <m:t>N</m:t>
                      </m:r>
                    </m:num>
                    <m:den>
                      <m:r>
                        <m:t>q</m:t>
                      </m:r>
                    </m:den>
                  </m:f>
                </m:e>
              </m:d>
            </m:den>
          </m:f>
          <m:r>
            <m:rPr>
              <m:sty m:val="p"/>
            </m:rPr>
            <m:t>.</m:t>
          </m:r>
        </m:oMath>
      </m:oMathPara>
    </w:p>
    <w:p>
      <w:pPr>
        <w:pStyle w:val="FirstParagraph"/>
        <w:widowControl/>
        <w:ind w:firstLine="397"/>
      </w:pPr>
      <w:r>
        <w:rPr>
          <w:rFonts w:hint="eastAsia"/>
        </w:rPr>
        <w:t xml:space="preserve">对所有类型的概率求和，得到等错误数下预期观察到的类型数量，再除以固定类型总数，并进行类别平均。若</w:t>
      </w:r>
      <m:oMath>
        <m:r>
          <m:t>q</m:t>
        </m:r>
        <m:r>
          <m:rPr>
            <m:sty m:val="p"/>
          </m:rPr>
          <m:t>&gt;</m:t>
        </m:r>
        <m:r>
          <m:t>N</m:t>
        </m:r>
        <m:r>
          <m:rPr>
            <m:sty m:val="p"/>
          </m:rPr>
          <m:t>−</m:t>
        </m:r>
        <m:r>
          <m:t>e</m:t>
        </m:r>
      </m:oMath>
      <w:r>
        <w:rPr>
          <w:rFonts w:hint="eastAsia"/>
        </w:rPr>
        <w:t xml:space="preserve">，分子组合数取零；若</w:t>
      </w:r>
      <m:oMath>
        <m:r>
          <m:t>q</m:t>
        </m:r>
        <m:r>
          <m:rPr>
            <m:sty m:val="p"/>
          </m:rPr>
          <m:t>=</m:t>
        </m:r>
        <m:r>
          <m:t>0</m:t>
        </m:r>
      </m:oMath>
      <w:r>
        <w:rPr>
          <w:rFonts w:hint="eastAsia"/>
        </w:rPr>
        <w:t xml:space="preserve">或类型分母为零，广度贡献记为零，并注明缺少可比较的错误证据。该处理在获得分类预测后开展，不用于提前选样。</w:t>
      </w:r>
    </w:p>
    <w:p>
      <w:pPr>
        <w:pStyle w:val="19"/>
        <w:widowControl/>
        <w:ind w:firstLine="397"/>
      </w:pPr>
      <w:r>
        <w:rPr>
          <w:rFonts w:hint="eastAsia"/>
        </w:rPr>
        <w:t xml:space="preserve">表征簇反映错误样本的表征多样性，不等同于独立缺陷。跨模型比较先计算各模型内不同选样方法的配对差异，再按架构汇总，避免直接用不同错误集合下的原始簇比例对模型排名。</w:t>
      </w:r>
    </w:p>
    <w:bookmarkEnd w:id="23"/>
    <w:bookmarkStart w:id="24" w:name="模型薄弱视觉条件的识别与新数据复查"/>
    <w:p>
      <w:pPr>
        <w:pStyle w:val="4"/>
        <w:keepNext/>
        <w:widowControl/>
      </w:pPr>
      <w:r>
        <w:t xml:space="preserve">3.6 </w:t>
      </w:r>
      <w:r>
        <w:rPr>
          <w:rFonts w:hint="eastAsia"/>
        </w:rPr>
        <w:t xml:space="preserve">模型薄弱视觉条件的识别与新数据复查</w:t>
      </w:r>
    </w:p>
    <w:p>
      <w:pPr>
        <w:pStyle w:val="FirstParagraph"/>
        <w:widowControl/>
        <w:ind w:firstLine="397"/>
      </w:pPr>
      <w:r>
        <w:rPr>
          <w:rFonts w:hint="eastAsia"/>
        </w:rPr>
        <w:t xml:space="preserve">本节从条件评价中识别表现较弱的视觉状态，并检查这种薄弱方向是否在新数据中继续出现。例如，若“犬—重度遮挡”满足预先规定的筛选条件，就将该条件列入复查清单，使用新数据中的重度遮挡犬类目标重新评价。复查结果用于判断观察到的条件关联能否跨数据集复现。</w:t>
      </w:r>
    </w:p>
    <w:p>
      <w:pPr>
        <w:pStyle w:val="19"/>
        <w:widowControl/>
        <w:ind w:firstLine="397"/>
      </w:pPr>
      <w:r>
        <w:rPr>
          <w:rFonts w:hint="eastAsia"/>
        </w:rPr>
        <w:t xml:space="preserve">根据条件评价结果，形成按数据集、标注来源、模型架构、训练种子、真实类别和视觉状态组织的条件能力报告。报告记录状态支持数、条件Recall、类别总体Recall及二者差值，使识别表现与样本依据同时可见。</w:t>
      </w:r>
    </w:p>
    <w:p>
      <w:pPr>
        <w:pStyle w:val="19"/>
        <w:widowControl/>
        <w:ind w:firstLine="397"/>
      </w:pPr>
      <w:r>
        <w:rPr>
          <w:rFonts w:hint="eastAsia"/>
        </w:rPr>
        <w:t xml:space="preserve">在发现集合中，先对同一架构不同训练种子的条件Recall与类别Recall取平均。将支持数不少于20、平均条件Recall低于类别总体Recall至少10个百分点的状态列为候选薄弱条件。每个标注来源、类别和架构最多保留三项，按差值从低到高排序；同差时按字段和枚举值排序，不足三项时不补选。条件清单在查看新数据分类预测前确定。</w:t>
      </w:r>
    </w:p>
    <w:p>
      <w:pPr>
        <w:pStyle w:val="19"/>
        <w:widowControl/>
        <w:ind w:firstLine="397"/>
      </w:pPr>
      <w:r>
        <w:rPr>
          <w:rFonts w:hint="eastAsia"/>
        </w:rPr>
        <w:t xml:space="preserve">复查使用与既有训练、验证及研究样本排重的新目标集合，保持类别任务、视觉状态定义和分类器一致。目标框由新数据源的官方标注提供，同类多目标时选取最大合法框。新集合的构建不依据分类器错误或待复查条件筛选样本。当前使用COCO、VOC2007和Objects365开展复查，数据来源、规模和排重设置在实验章节说明。</w:t>
      </w:r>
    </w:p>
    <w:p>
      <w:pPr>
        <w:pStyle w:val="19"/>
        <w:widowControl/>
        <w:ind w:firstLine="397"/>
      </w:pPr>
      <w:r>
        <w:rPr>
          <w:rFonts w:hint="eastAsia"/>
        </w:rPr>
        <w:t xml:space="preserve">对清单中的每个条件，分别计算各训练种子在新数据中的状态支持数和Recall差值。支持数不少于20且差值仍为负，记为“薄弱方向复现”；支持充分但差值非负，记为“未复现”；支持数不足20，记为“支持不足”。方向复现要求该状态仍低于对应类别参考，不要求再次达到发现阶段10个百分点的落差，也不等同于逐项统计显著。</w:t>
      </w:r>
    </w:p>
    <w:p>
      <w:pPr>
        <w:pStyle w:val="19"/>
        <w:widowControl/>
        <w:ind w:firstLine="397"/>
      </w:pPr>
      <w:r>
        <w:rPr>
          <w:rFonts w:hint="eastAsia"/>
        </w:rPr>
        <w:t xml:space="preserve">所有复查结果均保留，不根据新数据表现替换候选条件。各训练种子的结果分别记录，并报告架构内种子均值；整体比较先在每个架构、种子内平均可评价条件的差值，再在架构内平均种子，以架构为统计单位。最终报告呈现哪些条件表现较弱、这些判断获得多少样本支持，以及薄弱方向是否在新数据中复现。</w:t>
      </w:r>
    </w:p>
    <w:bookmarkEnd w:id="24"/>
    <w:bookmarkEnd w:id="25"/>
    <w:sectPr>
      <w:footerReference r:id="rId5" w:type="default"/>
      <w:pgSz w:h="16838" w:w="11906"/>
      <w:pgMar w:bottom="1247" w:footer="720" w:gutter="0" w:header="720" w:left="1417" w:right="1417" w:top="1247"/>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6"/>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DEEA6E60"/>
    <w:rsid w:val="E55F398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semiHidden="0" w:uiPriority="99"/>
    <w:lsdException w:name="toa heading" w:uiPriority="99"/>
    <w:lsdException w:name="List" w:semiHidden="0" w:uiPriority="99"/>
    <w:lsdException w:name="List Bullet" w:semiHidden="0" w:uiPriority="99"/>
    <w:lsdException w:name="List Number" w:semiHidden="0" w:uiPriority="99"/>
    <w:lsdException w:name="List 2" w:semiHidden="0" w:uiPriority="99"/>
    <w:lsdException w:name="List 3" w:semiHidden="0" w:uiPriority="99"/>
    <w:lsdException w:name="List 4" w:uiPriority="99"/>
    <w:lsdException w:name="List 5" w:uiPriority="99"/>
    <w:lsdException w:name="List Bullet 2" w:semiHidden="0" w:uiPriority="99"/>
    <w:lsdException w:name="List Bullet 3" w:semiHidden="0" w:uiPriority="99"/>
    <w:lsdException w:name="List Bullet 4" w:uiPriority="99"/>
    <w:lsdException w:name="List Bullet 5" w:uiPriority="99"/>
    <w:lsdException w:name="List Number 2" w:semiHidden="0" w:uiPriority="99"/>
    <w:lsdException w:name="List Number 3"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semiHidden="0" w:uiPriority="99"/>
    <w:lsdException w:name="Body Text Indent" w:uiPriority="99"/>
    <w:lsdException w:name="List Continue" w:semiHidden="0" w:uiPriority="99"/>
    <w:lsdException w:name="List Continue 2"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semiHidden="0" w:uiPriority="99"/>
    <w:lsdException w:name="Body Text 3"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20" w:line="288" w:lineRule="auto"/>
    </w:pPr>
    <w:rPr>
      <w:rFonts w:ascii="Noto Sans SC" w:cstheme="minorBidi" w:eastAsia="Noto Sans SC" w:hAnsi="Noto Sans SC"/>
      <w:color w:val="000000"/>
      <w:sz w:val="22"/>
      <w:szCs w:val="22"/>
      <w:lang w:bidi="ar-SA" w:eastAsia="en-US" w:val="en-US"/>
    </w:rPr>
  </w:style>
  <w:style w:styleId="3" w:type="paragraph">
    <w:name w:val="heading 1"/>
    <w:basedOn w:val="1"/>
    <w:next w:val="1"/>
    <w:link w:val="138"/>
    <w:qFormat/>
    <w:uiPriority w:val="9"/>
    <w:pPr>
      <w:keepNext/>
      <w:keepLines/>
      <w:spacing w:after="120" w:before="480" w:line="288" w:lineRule="auto"/>
      <w:outlineLvl w:val="0"/>
    </w:pPr>
    <w:rPr>
      <w:rFonts w:asciiTheme="majorHAnsi" w:cstheme="majorBidi" w:eastAsiaTheme="majorEastAsia" w:hAnsiTheme="majorHAnsi" w:ascii="Noto Sans SC" w:hAnsi="Noto Sans SC" w:eastAsia="Noto Sans SC"/>
      <w:b/>
      <w:bCs/>
      <w:color w:val="000000"/>
      <w:sz w:val="34"/>
      <w:szCs w:val="28"/>
    </w:rPr>
  </w:style>
  <w:style w:styleId="4" w:type="paragraph">
    <w:name w:val="heading 2"/>
    <w:basedOn w:val="1"/>
    <w:next w:val="1"/>
    <w:link w:val="139"/>
    <w:unhideWhenUsed/>
    <w:qFormat/>
    <w:uiPriority w:val="9"/>
    <w:pPr>
      <w:keepNext/>
      <w:keepLines/>
      <w:spacing w:after="120" w:before="200" w:line="288" w:lineRule="auto"/>
      <w:outlineLvl w:val="1"/>
    </w:pPr>
    <w:rPr>
      <w:rFonts w:asciiTheme="majorHAnsi" w:cstheme="majorBidi" w:eastAsiaTheme="majorEastAsia" w:hAnsiTheme="majorHAnsi" w:ascii="Noto Sans SC" w:hAnsi="Noto Sans SC" w:eastAsia="Noto Sans SC"/>
      <w:b/>
      <w:bCs/>
      <w:color w:val="000000"/>
      <w:sz w:val="26"/>
      <w:szCs w:val="26"/>
    </w:rPr>
  </w:style>
  <w:style w:styleId="5" w:type="paragraph">
    <w:name w:val="heading 3"/>
    <w:basedOn w:val="1"/>
    <w:next w:val="1"/>
    <w:link w:val="140"/>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1"/>
    <w:link w:val="150"/>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1"/>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2"/>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3"/>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4"/>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5"/>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2" w:type="character">
    <w:name w:val="Default Paragraph Font"/>
    <w:semiHidden/>
    <w:unhideWhenUsed/>
    <w:uiPriority w:val="1"/>
  </w:style>
  <w:style w:default="1" w:styleId="32" w:type="table">
    <w:name w:val="Normal Table"/>
    <w:semiHidden/>
    <w:unhideWhenUsed/>
    <w:uiPriority w:val="99"/>
    <w:tblPr>
      <w:tblCellMar>
        <w:top w:type="dxa" w:w="0"/>
        <w:left w:type="dxa" w:w="108"/>
        <w:bottom w:type="dxa" w:w="0"/>
        <w:right w:type="dxa" w:w="108"/>
      </w:tblCellMar>
    </w:tblPr>
  </w:style>
  <w:style w:styleId="2" w:type="paragraph">
    <w:name w:val="macro"/>
    <w:link w:val="147"/>
    <w:unhideWhenUsed/>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uiPriority w:val="99"/>
    <w:pPr>
      <w:ind w:hanging="360" w:left="1080"/>
      <w:contextualSpacing/>
    </w:pPr>
  </w:style>
  <w:style w:styleId="13" w:type="paragraph">
    <w:name w:val="List Number 2"/>
    <w:basedOn w:val="1"/>
    <w:unhideWhenUsed/>
    <w:uiPriority w:val="99"/>
    <w:pPr>
      <w:numPr>
        <w:ilvl w:val="0"/>
        <w:numId w:val="1"/>
      </w:numPr>
      <w:contextualSpacing/>
    </w:pPr>
  </w:style>
  <w:style w:styleId="14" w:type="paragraph">
    <w:name w:val="List Number"/>
    <w:basedOn w:val="1"/>
    <w:unhideWhenUsed/>
    <w:uiPriority w:val="99"/>
    <w:pPr>
      <w:numPr>
        <w:ilvl w:val="0"/>
        <w:numId w:val="2"/>
      </w:numPr>
      <w:contextualSpacing/>
    </w:pPr>
  </w:style>
  <w:style w:styleId="15" w:type="paragraph">
    <w:name w:val="caption"/>
    <w:basedOn w:val="1"/>
    <w:next w:val="1"/>
    <w:semiHidden/>
    <w:unhideWhenUsed/>
    <w:qFormat/>
    <w:uiPriority w:val="35"/>
    <w:pPr>
      <w:spacing w:line="240" w:lineRule="auto"/>
    </w:pPr>
    <w:rPr>
      <w:b/>
      <w:bCs/>
      <w:color w:themeColor="accent1" w:val="4F81BD"/>
      <w:sz w:val="18"/>
      <w:szCs w:val="18"/>
      <w14:textFill>
        <w14:solidFill>
          <w14:schemeClr w14:val="accent1"/>
        </w14:solidFill>
      </w14:textFill>
    </w:rPr>
  </w:style>
  <w:style w:styleId="16" w:type="paragraph">
    <w:name w:val="List Bullet"/>
    <w:basedOn w:val="1"/>
    <w:unhideWhenUsed/>
    <w:uiPriority w:val="99"/>
    <w:pPr>
      <w:numPr>
        <w:ilvl w:val="0"/>
        <w:numId w:val="3"/>
      </w:numPr>
      <w:contextualSpacing/>
    </w:pPr>
  </w:style>
  <w:style w:styleId="17" w:type="paragraph">
    <w:name w:val="Body Text 3"/>
    <w:basedOn w:val="1"/>
    <w:link w:val="146"/>
    <w:unhideWhenUsed/>
    <w:uiPriority w:val="99"/>
    <w:pPr>
      <w:spacing w:after="120"/>
    </w:pPr>
    <w:rPr>
      <w:sz w:val="16"/>
      <w:szCs w:val="16"/>
    </w:rPr>
  </w:style>
  <w:style w:styleId="18" w:type="paragraph">
    <w:name w:val="List Bullet 3"/>
    <w:basedOn w:val="1"/>
    <w:unhideWhenUsed/>
    <w:uiPriority w:val="99"/>
    <w:pPr>
      <w:numPr>
        <w:ilvl w:val="0"/>
        <w:numId w:val="4"/>
      </w:numPr>
      <w:contextualSpacing/>
    </w:pPr>
  </w:style>
  <w:style w:styleId="19" w:type="paragraph">
    <w:name w:val="Body Text"/>
    <w:basedOn w:val="1"/>
    <w:link w:val="144"/>
    <w:unhideWhenUsed/>
    <w:uiPriority w:val="99"/>
    <w:pPr>
      <w:spacing w:after="120" w:line="288" w:lineRule="auto"/>
    </w:pPr>
    <w:rPr>
      <w:rFonts w:ascii="Noto Sans SC" w:hAnsi="Noto Sans SC" w:eastAsia="Noto Sans SC"/>
      <w:color w:val="000000"/>
      <w:sz w:val="22"/>
    </w:rPr>
  </w:style>
  <w:style w:styleId="20" w:type="paragraph">
    <w:name w:val="List Number 3"/>
    <w:basedOn w:val="1"/>
    <w:unhideWhenUsed/>
    <w:uiPriority w:val="99"/>
    <w:pPr>
      <w:numPr>
        <w:ilvl w:val="0"/>
        <w:numId w:val="5"/>
      </w:numPr>
      <w:contextualSpacing/>
    </w:pPr>
  </w:style>
  <w:style w:styleId="21" w:type="paragraph">
    <w:name w:val="List 2"/>
    <w:basedOn w:val="1"/>
    <w:unhideWhenUsed/>
    <w:uiPriority w:val="99"/>
    <w:pPr>
      <w:ind w:hanging="360" w:left="720"/>
      <w:contextualSpacing/>
    </w:pPr>
  </w:style>
  <w:style w:styleId="22" w:type="paragraph">
    <w:name w:val="List Continue"/>
    <w:basedOn w:val="1"/>
    <w:unhideWhenUsed/>
    <w:uiPriority w:val="99"/>
    <w:pPr>
      <w:spacing w:after="120"/>
      <w:ind w:left="360"/>
      <w:contextualSpacing/>
    </w:pPr>
  </w:style>
  <w:style w:styleId="23" w:type="paragraph">
    <w:name w:val="List Bullet 2"/>
    <w:basedOn w:val="1"/>
    <w:unhideWhenUsed/>
    <w:uiPriority w:val="99"/>
    <w:pPr>
      <w:numPr>
        <w:ilvl w:val="0"/>
        <w:numId w:val="6"/>
      </w:numPr>
      <w:contextualSpacing/>
    </w:pPr>
  </w:style>
  <w:style w:styleId="24" w:type="paragraph">
    <w:name w:val="footer"/>
    <w:basedOn w:val="1"/>
    <w:link w:val="136"/>
    <w:unhideWhenUsed/>
    <w:uiPriority w:val="99"/>
    <w:pPr>
      <w:tabs>
        <w:tab w:pos="4680" w:val="center"/>
        <w:tab w:pos="9360" w:val="right"/>
      </w:tabs>
      <w:spacing w:after="0" w:line="240" w:lineRule="auto"/>
    </w:pPr>
  </w:style>
  <w:style w:styleId="25" w:type="paragraph">
    <w:name w:val="header"/>
    <w:basedOn w:val="1"/>
    <w:link w:val="135"/>
    <w:unhideWhenUsed/>
    <w:uiPriority w:val="99"/>
    <w:pPr>
      <w:tabs>
        <w:tab w:pos="4680" w:val="center"/>
        <w:tab w:pos="9360" w:val="right"/>
      </w:tabs>
      <w:spacing w:after="0" w:line="240" w:lineRule="auto"/>
    </w:pPr>
  </w:style>
  <w:style w:styleId="26" w:type="paragraph">
    <w:name w:val="Subtitle"/>
    <w:basedOn w:val="1"/>
    <w:next w:val="1"/>
    <w:link w:val="142"/>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uiPriority w:val="99"/>
    <w:pPr>
      <w:ind w:hanging="360" w:left="360"/>
      <w:contextualSpacing/>
    </w:pPr>
  </w:style>
  <w:style w:styleId="28" w:type="paragraph">
    <w:name w:val="Body Text 2"/>
    <w:basedOn w:val="1"/>
    <w:link w:val="145"/>
    <w:unhideWhenUsed/>
    <w:uiPriority w:val="99"/>
    <w:pPr>
      <w:spacing w:after="120" w:line="480" w:lineRule="auto"/>
    </w:pPr>
  </w:style>
  <w:style w:styleId="29" w:type="paragraph">
    <w:name w:val="List Continue 2"/>
    <w:basedOn w:val="1"/>
    <w:unhideWhenUsed/>
    <w:uiPriority w:val="99"/>
    <w:pPr>
      <w:spacing w:after="120"/>
      <w:ind w:left="720"/>
      <w:contextualSpacing/>
    </w:pPr>
  </w:style>
  <w:style w:styleId="30" w:type="paragraph">
    <w:name w:val="List Continue 3"/>
    <w:basedOn w:val="1"/>
    <w:unhideWhenUsed/>
    <w:uiPriority w:val="99"/>
    <w:pPr>
      <w:spacing w:after="120"/>
      <w:ind w:left="1080"/>
      <w:contextualSpacing/>
    </w:pPr>
  </w:style>
  <w:style w:styleId="31" w:type="paragraph">
    <w:name w:val="Title"/>
    <w:basedOn w:val="1"/>
    <w:next w:val="1"/>
    <w:link w:val="141"/>
    <w:qFormat/>
    <w:uiPriority w:val="10"/>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34"/>
      <w:szCs w:val="52"/>
    </w:rPr>
  </w:style>
  <w:style w:styleId="33" w:type="table">
    <w:name w:val="Table Grid"/>
    <w:basedOn w:val="3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4" w:type="table">
    <w:name w:val="Light Shading"/>
    <w:basedOn w:val="32"/>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5" w:type="table">
    <w:name w:val="Light Shading Accent 1"/>
    <w:basedOn w:val="32"/>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6" w:type="table">
    <w:name w:val="Light Shading Accent 2"/>
    <w:basedOn w:val="32"/>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7" w:type="table">
    <w:name w:val="Light Shading Accent 3"/>
    <w:basedOn w:val="32"/>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8" w:type="table">
    <w:name w:val="Light Shading Accent 4"/>
    <w:basedOn w:val="32"/>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39" w:type="table">
    <w:name w:val="Light Shading Accent 5"/>
    <w:basedOn w:val="32"/>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0" w:type="table">
    <w:name w:val="Light Shading Accent 6"/>
    <w:basedOn w:val="32"/>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1" w:type="table">
    <w:name w:val="Light List"/>
    <w:basedOn w:val="3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2" w:type="table">
    <w:name w:val="Light List Accent 1"/>
    <w:basedOn w:val="3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3" w:type="table">
    <w:name w:val="Light List Accent 2"/>
    <w:basedOn w:val="3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4" w:type="table">
    <w:name w:val="Light List Accent 3"/>
    <w:basedOn w:val="3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5" w:type="table">
    <w:name w:val="Light List Accent 4"/>
    <w:basedOn w:val="3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6" w:type="table">
    <w:name w:val="Light List Accent 5"/>
    <w:basedOn w:val="3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7" w:type="table">
    <w:name w:val="Light List Accent 6"/>
    <w:basedOn w:val="3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8" w:type="table">
    <w:name w:val="Light Grid"/>
    <w:basedOn w:val="3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49" w:type="table">
    <w:name w:val="Light Grid Accent 1"/>
    <w:basedOn w:val="3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0" w:type="table">
    <w:name w:val="Light Grid Accent 2"/>
    <w:basedOn w:val="3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1" w:type="table">
    <w:name w:val="Light Grid Accent 3"/>
    <w:basedOn w:val="3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2" w:type="table">
    <w:name w:val="Light Grid Accent 4"/>
    <w:basedOn w:val="3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3" w:type="table">
    <w:name w:val="Light Grid Accent 5"/>
    <w:basedOn w:val="3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4" w:type="table">
    <w:name w:val="Light Grid Accent 6"/>
    <w:basedOn w:val="3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5" w:type="table">
    <w:name w:val="Medium Shading 1"/>
    <w:basedOn w:val="32"/>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6" w:type="table">
    <w:name w:val="Medium Shading 1 Accent 1"/>
    <w:basedOn w:val="32"/>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7" w:type="table">
    <w:name w:val="Medium Shading 1 Accent 2"/>
    <w:basedOn w:val="32"/>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8" w:type="table">
    <w:name w:val="Medium Shading 1 Accent 3"/>
    <w:basedOn w:val="32"/>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59" w:type="table">
    <w:name w:val="Medium Shading 1 Accent 4"/>
    <w:basedOn w:val="32"/>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0" w:type="table">
    <w:name w:val="Medium Shading 1 Accent 5"/>
    <w:basedOn w:val="32"/>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1" w:type="table">
    <w:name w:val="Medium Shading 1 Accent 6"/>
    <w:basedOn w:val="32"/>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2" w:type="table">
    <w:name w:val="Medium Shading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3" w:type="table">
    <w:name w:val="Medium Shading 2 Accent 1"/>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3"/>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4"/>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5"/>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6"/>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List 1"/>
    <w:basedOn w:val="32"/>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0" w:type="table">
    <w:name w:val="Medium List 1 Accent 1"/>
    <w:basedOn w:val="32"/>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1" w:type="table">
    <w:name w:val="Medium List 1 Accent 2"/>
    <w:basedOn w:val="32"/>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2" w:type="table">
    <w:name w:val="Medium List 1 Accent 3"/>
    <w:basedOn w:val="32"/>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3" w:type="table">
    <w:name w:val="Medium List 1 Accent 4"/>
    <w:basedOn w:val="32"/>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4" w:type="table">
    <w:name w:val="Medium List 1 Accent 5"/>
    <w:basedOn w:val="32"/>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5" w:type="table">
    <w:name w:val="Medium List 1 Accent 6"/>
    <w:basedOn w:val="32"/>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6" w:type="table">
    <w:name w:val="Medium Lis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7" w:type="table">
    <w:name w:val="Medium List 2 Accent 1"/>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3"/>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4"/>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5"/>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6"/>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Grid 1"/>
    <w:basedOn w:val="32"/>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4" w:type="table">
    <w:name w:val="Medium Grid 1 Accent 1"/>
    <w:basedOn w:val="32"/>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5" w:type="table">
    <w:name w:val="Medium Grid 1 Accent 2"/>
    <w:basedOn w:val="32"/>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6" w:type="table">
    <w:name w:val="Medium Grid 1 Accent 3"/>
    <w:basedOn w:val="32"/>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7" w:type="table">
    <w:name w:val="Medium Grid 1 Accent 4"/>
    <w:basedOn w:val="32"/>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8" w:type="table">
    <w:name w:val="Medium Grid 1 Accent 5"/>
    <w:basedOn w:val="32"/>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89" w:type="table">
    <w:name w:val="Medium Grid 1 Accent 6"/>
    <w:basedOn w:val="32"/>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0" w:type="table">
    <w:name w:val="Medium Grid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1" w:type="table">
    <w:name w:val="Medium Grid 2 Accent 1"/>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2" w:type="table">
    <w:name w:val="Medium Grid 2 Accent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3" w:type="table">
    <w:name w:val="Medium Grid 2 Accent 3"/>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4" w:type="table">
    <w:name w:val="Medium Grid 2 Accent 4"/>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5" w:type="table">
    <w:name w:val="Medium Grid 2 Accent 5"/>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6" w:type="table">
    <w:name w:val="Medium Grid 2 Accent 6"/>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7" w:type="table">
    <w:name w:val="Medium Grid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8" w:type="table">
    <w:name w:val="Medium Grid 3 Accent 1"/>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99" w:type="table">
    <w:name w:val="Medium Grid 3 Accent 2"/>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0" w:type="table">
    <w:name w:val="Medium Grid 3 Accent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1" w:type="table">
    <w:name w:val="Medium Grid 3 Accent 4"/>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2" w:type="table">
    <w:name w:val="Medium Grid 3 Accent 5"/>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3" w:type="table">
    <w:name w:val="Medium Grid 3 Accent 6"/>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4" w:type="table">
    <w:name w:val="Dark List"/>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5" w:type="table">
    <w:name w:val="Dark List Accent 1"/>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6" w:type="table">
    <w:name w:val="Dark List Accent 2"/>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7" w:type="table">
    <w:name w:val="Dark List Accent 3"/>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8" w:type="table">
    <w:name w:val="Dark List Accent 4"/>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09" w:type="table">
    <w:name w:val="Dark List Accent 5"/>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0" w:type="table">
    <w:name w:val="Dark List Accent 6"/>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1" w:type="table">
    <w:name w:val="Colorful Shading"/>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2" w:type="table">
    <w:name w:val="Colorful Shading Accent 1"/>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2"/>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3"/>
    <w:basedOn w:val="32"/>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5" w:type="table">
    <w:name w:val="Colorful Shading Accent 4"/>
    <w:basedOn w:val="32"/>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6" w:type="table">
    <w:name w:val="Colorful Shading Accent 5"/>
    <w:basedOn w:val="32"/>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6"/>
    <w:basedOn w:val="32"/>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List"/>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19" w:type="table">
    <w:name w:val="Colorful List Accent 1"/>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0" w:type="table">
    <w:name w:val="Colorful List Accent 2"/>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1" w:type="table">
    <w:name w:val="Colorful List Accent 3"/>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2" w:type="table">
    <w:name w:val="Colorful List Accent 4"/>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3" w:type="table">
    <w:name w:val="Colorful List Accent 5"/>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4" w:type="table">
    <w:name w:val="Colorful List Accent 6"/>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5" w:type="table">
    <w:name w:val="Colorful Grid"/>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6" w:type="table">
    <w:name w:val="Colorful Grid Accent 1"/>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7" w:type="table">
    <w:name w:val="Colorful Grid Accent 2"/>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8" w:type="table">
    <w:name w:val="Colorful Grid Accent 3"/>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29" w:type="table">
    <w:name w:val="Colorful Grid Accent 4"/>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0" w:type="table">
    <w:name w:val="Colorful Grid Accent 5"/>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1" w:type="table">
    <w:name w:val="Colorful Grid Accent 6"/>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3" w:type="character">
    <w:name w:val="Strong"/>
    <w:basedOn w:val="132"/>
    <w:qFormat/>
    <w:uiPriority w:val="22"/>
    <w:rPr>
      <w:b/>
      <w:bCs/>
    </w:rPr>
  </w:style>
  <w:style w:styleId="134" w:type="character">
    <w:name w:val="Emphasis"/>
    <w:basedOn w:val="132"/>
    <w:qFormat/>
    <w:uiPriority w:val="20"/>
    <w:rPr>
      <w:i/>
      <w:iCs/>
    </w:rPr>
  </w:style>
  <w:style w:customStyle="1" w:styleId="135" w:type="character">
    <w:name w:val="Header Char"/>
    <w:basedOn w:val="132"/>
    <w:link w:val="25"/>
    <w:uiPriority w:val="99"/>
  </w:style>
  <w:style w:customStyle="1" w:styleId="136" w:type="character">
    <w:name w:val="Footer Char"/>
    <w:basedOn w:val="132"/>
    <w:link w:val="24"/>
    <w:uiPriority w:val="99"/>
  </w:style>
  <w:style w:styleId="137"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8" w:type="character">
    <w:name w:val="Heading 1 Char"/>
    <w:basedOn w:val="132"/>
    <w:link w:val="3"/>
    <w:uiPriority w:val="9"/>
    <w:rPr>
      <w:rFonts w:asciiTheme="majorHAnsi" w:cstheme="majorBidi" w:eastAsiaTheme="majorEastAsia" w:hAnsiTheme="majorHAnsi"/>
      <w:b/>
      <w:bCs/>
      <w:color w:themeColor="accent1" w:themeShade="BF" w:val="376092"/>
      <w:sz w:val="28"/>
      <w:szCs w:val="28"/>
    </w:rPr>
  </w:style>
  <w:style w:customStyle="1" w:styleId="139" w:type="character">
    <w:name w:val="Heading 2 Char"/>
    <w:basedOn w:val="132"/>
    <w:link w:val="4"/>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0" w:type="character">
    <w:name w:val="Heading 3 Char"/>
    <w:basedOn w:val="132"/>
    <w:link w:val="5"/>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1" w:type="character">
    <w:name w:val="Title Char"/>
    <w:basedOn w:val="132"/>
    <w:link w:val="31"/>
    <w:uiPriority w:val="10"/>
    <w:rPr>
      <w:rFonts w:asciiTheme="majorHAnsi" w:cstheme="majorBidi" w:eastAsiaTheme="majorEastAsia" w:hAnsiTheme="majorHAnsi"/>
      <w:color w:themeColor="text2" w:themeShade="BF" w:val="17375E"/>
      <w:spacing w:val="5"/>
      <w:kern w:val="28"/>
      <w:sz w:val="52"/>
      <w:szCs w:val="52"/>
    </w:rPr>
  </w:style>
  <w:style w:customStyle="1" w:styleId="142" w:type="character">
    <w:name w:val="Subtitle Char"/>
    <w:basedOn w:val="132"/>
    <w:link w:val="26"/>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3" w:type="paragraph">
    <w:name w:val="List Paragraph"/>
    <w:basedOn w:val="1"/>
    <w:qFormat/>
    <w:uiPriority w:val="34"/>
    <w:pPr>
      <w:ind w:left="720"/>
      <w:contextualSpacing/>
    </w:pPr>
  </w:style>
  <w:style w:customStyle="1" w:styleId="144" w:type="character">
    <w:name w:val="Body Text Char"/>
    <w:basedOn w:val="132"/>
    <w:link w:val="19"/>
    <w:uiPriority w:val="99"/>
  </w:style>
  <w:style w:customStyle="1" w:styleId="145" w:type="character">
    <w:name w:val="Body Text 2 Char"/>
    <w:basedOn w:val="132"/>
    <w:link w:val="28"/>
    <w:uiPriority w:val="99"/>
  </w:style>
  <w:style w:customStyle="1" w:styleId="146" w:type="character">
    <w:name w:val="Body Text 3 Char"/>
    <w:basedOn w:val="132"/>
    <w:link w:val="17"/>
    <w:uiPriority w:val="99"/>
    <w:rPr>
      <w:sz w:val="16"/>
      <w:szCs w:val="16"/>
    </w:rPr>
  </w:style>
  <w:style w:customStyle="1" w:styleId="147" w:type="character">
    <w:name w:val="Macro Text Char"/>
    <w:basedOn w:val="132"/>
    <w:link w:val="2"/>
    <w:uiPriority w:val="99"/>
    <w:rPr>
      <w:rFonts w:ascii="Courier" w:hAnsi="Courier"/>
      <w:sz w:val="20"/>
      <w:szCs w:val="20"/>
    </w:rPr>
  </w:style>
  <w:style w:styleId="148" w:type="paragraph">
    <w:name w:val="Quote"/>
    <w:basedOn w:val="1"/>
    <w:next w:val="1"/>
    <w:link w:val="149"/>
    <w:qFormat/>
    <w:uiPriority w:val="29"/>
    <w:rPr>
      <w:i/>
      <w:iCs/>
      <w:color w:themeColor="text1" w:val="000000"/>
      <w14:textFill>
        <w14:solidFill>
          <w14:schemeClr w14:val="tx1"/>
        </w14:solidFill>
      </w14:textFill>
    </w:rPr>
  </w:style>
  <w:style w:customStyle="1" w:styleId="149" w:type="character">
    <w:name w:val="Quote Char"/>
    <w:basedOn w:val="132"/>
    <w:link w:val="148"/>
    <w:uiPriority w:val="29"/>
    <w:rPr>
      <w:i/>
      <w:iCs/>
      <w:color w:themeColor="text1" w:val="000000"/>
      <w14:textFill>
        <w14:solidFill>
          <w14:schemeClr w14:val="tx1"/>
        </w14:solidFill>
      </w14:textFill>
    </w:rPr>
  </w:style>
  <w:style w:customStyle="1" w:styleId="150" w:type="character">
    <w:name w:val="Heading 4 Char"/>
    <w:basedOn w:val="132"/>
    <w:link w:val="6"/>
    <w:semiHidden/>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1" w:type="character">
    <w:name w:val="Heading 5 Char"/>
    <w:basedOn w:val="132"/>
    <w:link w:val="7"/>
    <w:semiHidden/>
    <w:uiPriority w:val="9"/>
    <w:rPr>
      <w:rFonts w:asciiTheme="majorHAnsi" w:cstheme="majorBidi" w:eastAsiaTheme="majorEastAsia" w:hAnsiTheme="majorHAnsi"/>
      <w:color w:themeColor="accent1" w:themeShade="80" w:val="254061"/>
    </w:rPr>
  </w:style>
  <w:style w:customStyle="1" w:styleId="152" w:type="character">
    <w:name w:val="Heading 6 Char"/>
    <w:basedOn w:val="132"/>
    <w:link w:val="8"/>
    <w:semiHidden/>
    <w:uiPriority w:val="9"/>
    <w:rPr>
      <w:rFonts w:asciiTheme="majorHAnsi" w:cstheme="majorBidi" w:eastAsiaTheme="majorEastAsia" w:hAnsiTheme="majorHAnsi"/>
      <w:i/>
      <w:iCs/>
      <w:color w:themeColor="accent1" w:themeShade="80" w:val="254061"/>
    </w:rPr>
  </w:style>
  <w:style w:customStyle="1" w:styleId="153" w:type="character">
    <w:name w:val="Heading 7 Char"/>
    <w:basedOn w:val="132"/>
    <w:link w:val="9"/>
    <w:semiHidden/>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4" w:type="character">
    <w:name w:val="Heading 8 Char"/>
    <w:basedOn w:val="132"/>
    <w:link w:val="10"/>
    <w:semiHidden/>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5" w:type="character">
    <w:name w:val="Heading 9 Char"/>
    <w:basedOn w:val="132"/>
    <w:link w:val="11"/>
    <w:semiHidden/>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6" w:type="paragraph">
    <w:name w:val="Intense Quote"/>
    <w:basedOn w:val="1"/>
    <w:next w:val="1"/>
    <w:link w:val="157"/>
    <w:qFormat/>
    <w:uiPriority w:val="30"/>
    <w:pPr>
      <w:pBdr>
        <w:bottom w:color="4F81BD" w:space="4" w:sz="4" w:themeColor="accent1" w:val="single"/>
      </w:pBdr>
      <w:spacing w:after="280" w:before="200"/>
      <w:ind w:left="936" w:right="936"/>
    </w:pPr>
    <w:rPr>
      <w:b/>
      <w:bCs/>
      <w:i/>
      <w:iCs/>
      <w:color w:themeColor="accent1" w:val="4F81BD"/>
      <w14:textFill>
        <w14:solidFill>
          <w14:schemeClr w14:val="accent1"/>
        </w14:solidFill>
      </w14:textFill>
    </w:rPr>
  </w:style>
  <w:style w:customStyle="1" w:styleId="157" w:type="character">
    <w:name w:val="Intense Quote Char"/>
    <w:basedOn w:val="132"/>
    <w:link w:val="156"/>
    <w:uiPriority w:val="30"/>
    <w:rPr>
      <w:b/>
      <w:bCs/>
      <w:i/>
      <w:iCs/>
      <w:color w:themeColor="accent1" w:val="4F81BD"/>
      <w14:textFill>
        <w14:solidFill>
          <w14:schemeClr w14:val="accent1"/>
        </w14:solidFill>
      </w14:textFill>
    </w:rPr>
  </w:style>
  <w:style w:customStyle="1" w:styleId="158" w:type="character">
    <w:name w:val="Subtle Emphasis"/>
    <w:basedOn w:val="132"/>
    <w:qFormat/>
    <w:uiPriority w:val="19"/>
    <w:rPr>
      <w:i/>
      <w:iCs/>
      <w:color w:themeColor="text1" w:themeTint="80" w:val="808080"/>
      <w14:textFill>
        <w14:solidFill>
          <w14:schemeClr w14:val="tx1">
            <w14:lumMod w14:val="50000"/>
            <w14:lumOff w14:val="50000"/>
          </w14:schemeClr>
        </w14:solidFill>
      </w14:textFill>
    </w:rPr>
  </w:style>
  <w:style w:customStyle="1" w:styleId="159" w:type="character">
    <w:name w:val="Intense Emphasis"/>
    <w:basedOn w:val="132"/>
    <w:qFormat/>
    <w:uiPriority w:val="21"/>
    <w:rPr>
      <w:b/>
      <w:bCs/>
      <w:i/>
      <w:iCs/>
      <w:color w:themeColor="accent1" w:val="4F81BD"/>
      <w14:textFill>
        <w14:solidFill>
          <w14:schemeClr w14:val="accent1"/>
        </w14:solidFill>
      </w14:textFill>
    </w:rPr>
  </w:style>
  <w:style w:customStyle="1" w:styleId="160" w:type="character">
    <w:name w:val="Subtle Reference"/>
    <w:basedOn w:val="132"/>
    <w:qFormat/>
    <w:uiPriority w:val="31"/>
    <w:rPr>
      <w:smallCaps/>
      <w:color w:themeColor="accent2" w:val="C0504D"/>
      <w:u w:val="single"/>
      <w14:textFill>
        <w14:solidFill>
          <w14:schemeClr w14:val="accent2"/>
        </w14:solidFill>
      </w14:textFill>
    </w:rPr>
  </w:style>
  <w:style w:customStyle="1" w:styleId="161" w:type="character">
    <w:name w:val="Intense Reference"/>
    <w:basedOn w:val="132"/>
    <w:qFormat/>
    <w:uiPriority w:val="32"/>
    <w:rPr>
      <w:b/>
      <w:bCs/>
      <w:smallCaps/>
      <w:color w:themeColor="accent2" w:val="C0504D"/>
      <w:spacing w:val="5"/>
      <w:u w:val="single"/>
      <w14:textFill>
        <w14:solidFill>
          <w14:schemeClr w14:val="accent2"/>
        </w14:solidFill>
      </w14:textFill>
    </w:rPr>
  </w:style>
  <w:style w:customStyle="1" w:styleId="162" w:type="character">
    <w:name w:val="Book Title"/>
    <w:basedOn w:val="132"/>
    <w:qFormat/>
    <w:uiPriority w:val="33"/>
    <w:rPr>
      <w:b/>
      <w:bCs/>
      <w:smallCaps/>
      <w:spacing w:val="5"/>
    </w:rPr>
  </w:style>
  <w:style w:customStyle="1" w:styleId="163" w:type="paragraph">
    <w:name w:val="TOC Heading"/>
    <w:basedOn w:val="3"/>
    <w:next w:val="1"/>
    <w:semiHidden/>
    <w:unhideWhenUsed/>
    <w:qFormat/>
    <w:uiPriority w:val="39"/>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image" Target="media/image1.png"/><Relationship Id="rId5" Type="http://schemas.openxmlformats.org/officeDocument/2006/relationships/footer" Target="footer1.xml"/><Relationship Id="rId16" Type="http://schemas.openxmlformats.org/officeDocument/2006/relationships/image" Target="media/rId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2026-10-13T01:53:56Z</dcterms:created>
  <dcterms:modified xsi:type="dcterms:W3CDTF">2026-10-13T01:53:56Z</dcterms:modified>
</cp:coreProperties>
</file>

<file path=docProps/custom.xml><?xml version="1.0" encoding="utf-8"?>
<Properties xmlns="http://schemas.openxmlformats.org/officeDocument/2006/custom-properties" xmlns:vt="http://schemas.openxmlformats.org/officeDocument/2006/docPropsVTypes"/>
</file>