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00"/>
      </w:pPr>
      <w:r>
        <w:t>3 研究方法</w:t>
      </w:r>
    </w:p>
    <w:p>
      <w:pPr>
        <w:keepLines/>
        <w:spacing w:line="312" w:lineRule="auto" w:after="100"/>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但分别承担证据分布描述和条件比较的作用。</w:t>
      </w:r>
    </w:p>
    <w:p>
      <w:pPr>
        <w:keepNext/>
        <w:jc w:val="center"/>
      </w:pPr>
      <w:r>
        <w:drawing>
          <wp:inline xmlns:a="http://schemas.openxmlformats.org/drawingml/2006/main" xmlns:pic="http://schemas.openxmlformats.org/drawingml/2006/picture">
            <wp:extent cx="6120000" cy="3060000"/>
            <wp:docPr id="1" name="Picture 1"/>
            <wp:cNvGraphicFramePr>
              <a:graphicFrameLocks noChangeAspect="1"/>
            </wp:cNvGraphicFramePr>
            <a:graphic>
              <a:graphicData uri="http://schemas.openxmlformats.org/drawingml/2006/picture">
                <pic:pic>
                  <pic:nvPicPr>
                    <pic:cNvPr id="0" name="qe_method_final_stage_image2_20261010.png"/>
                    <pic:cNvPicPr/>
                  </pic:nvPicPr>
                  <pic:blipFill>
                    <a:blip r:embed="rId10"/>
                    <a:stretch>
                      <a:fillRect/>
                    </a:stretch>
                  </pic:blipFill>
                  <pic:spPr>
                    <a:xfrm>
                      <a:off x="0" y="0"/>
                      <a:ext cx="6120000" cy="3060000"/>
                    </a:xfrm>
                    <a:prstGeom prst="rect"/>
                  </pic:spPr>
                </pic:pic>
              </a:graphicData>
            </a:graphic>
          </wp:inline>
        </w:drawing>
      </w:r>
    </w:p>
    <w:p>
      <w:pPr>
        <w:keepLines/>
        <w:spacing w:line="312" w:lineRule="auto" w:after="100"/>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pPr>
        <w:pStyle w:val="Heading1"/>
        <w:spacing w:before="180" w:after="100"/>
      </w:pPr>
      <w:r>
        <w:t>3.1 问题定义与信息分工</w:t>
      </w:r>
    </w:p>
    <w:p>
      <w:pPr>
        <w:keepLines/>
        <w:spacing w:line="312" w:lineRule="auto" w:after="100"/>
        <w:ind w:firstLine="425"/>
      </w:pPr>
      <w:r>
        <w:rPr>
          <w:rFonts w:ascii="Times New Roman" w:hAnsi="Times New Roman" w:eastAsia="宋体"/>
          <w:b w:val="0"/>
          <w:sz w:val="22"/>
        </w:rPr>
        <w:t>设候选目标集合为</w:t>
      </w:r>
      <m:oMath>
        <m:r>
          <w:rPr>
            <w:rFonts w:ascii="Cambria Math" w:hAnsi="Cambria Math"/>
            <w:sz w:val="22"/>
          </w:rPr>
          <m:t xml:space="preserve">P</m:t>
        </m:r>
      </m:oMath>
      <w:r>
        <w:rPr>
          <w:rFonts w:ascii="Times New Roman" w:hAnsi="Times New Roman" w:eastAsia="宋体"/>
          <w:b w:val="0"/>
          <w:sz w:val="22"/>
        </w:rPr>
        <w:t>，每个目标由原始图像</w:t>
      </w:r>
      <m:oMath>
        <m:sSub>
          <m:e>
            <m:r>
              <w:rPr>
                <w:rFonts w:ascii="Cambria Math" w:hAnsi="Cambria Math"/>
                <w:sz w:val="22"/>
              </w:rPr>
              <m:t xml:space="preserve">I</m:t>
            </m:r>
          </m:e>
          <m:sub>
            <m:r>
              <w:rPr>
                <w:rFonts w:ascii="Cambria Math" w:hAnsi="Cambria Math"/>
                <w:sz w:val="22"/>
              </w:rPr>
              <m:t xml:space="preserve">i</m:t>
            </m:r>
          </m:sub>
        </m:sSub>
      </m:oMath>
      <w:r>
        <w:rPr>
          <w:rFonts w:ascii="Times New Roman" w:hAnsi="Times New Roman" w:eastAsia="宋体"/>
          <w:b w:val="0"/>
          <w:sz w:val="22"/>
        </w:rPr>
        <w:t>、官方目标框</w:t>
      </w:r>
      <m:oMath>
        <m:sSub>
          <m:e>
            <m:r>
              <w:rPr>
                <w:rFonts w:ascii="Cambria Math" w:hAnsi="Cambria Math"/>
                <w:sz w:val="22"/>
              </w:rPr>
              <m:t xml:space="preserve">b</m:t>
            </m:r>
          </m:e>
          <m:sub>
            <m:r>
              <w:rPr>
                <w:rFonts w:ascii="Cambria Math" w:hAnsi="Cambria Math"/>
                <w:sz w:val="22"/>
              </w:rPr>
              <m:t xml:space="preserve">i</m:t>
            </m:r>
          </m:sub>
        </m:sSub>
      </m:oMath>
      <w:r>
        <w:rPr>
          <w:rFonts w:ascii="Times New Roman" w:hAnsi="Times New Roman" w:eastAsia="宋体"/>
          <w:b w:val="0"/>
          <w:sz w:val="22"/>
        </w:rPr>
        <w:t>及类别标签</w:t>
      </w:r>
      <m:oMath>
        <m:sSub>
          <m:e>
            <m:r>
              <w:rPr>
                <w:rFonts w:ascii="Cambria Math" w:hAnsi="Cambria Math"/>
                <w:sz w:val="22"/>
              </w:rPr>
              <m:t xml:space="preserve">y</m:t>
            </m:r>
          </m:e>
          <m:sub>
            <m:r>
              <w:rPr>
                <w:rFonts w:ascii="Cambria Math" w:hAnsi="Cambria Math"/>
                <w:sz w:val="22"/>
              </w:rPr>
              <m:t xml:space="preserve">i</m:t>
            </m:r>
          </m:sub>
        </m:sSub>
      </m:oMath>
      <w:r>
        <w:rPr>
          <w:rFonts w:ascii="Times New Roman" w:hAnsi="Times New Roman" w:eastAsia="宋体"/>
          <w:b w:val="0"/>
          <w:sz w:val="22"/>
        </w:rPr>
        <w:t>组成。类别集合包含犬、猫、马、羊、人和车，类别数记为</w:t>
      </w:r>
      <m:oMath>
        <m:r>
          <w:rPr>
            <w:rFonts w:ascii="Cambria Math" w:hAnsi="Cambria Math"/>
            <w:sz w:val="22"/>
          </w:rPr>
          <m:t xml:space="preserve">K</m:t>
        </m:r>
      </m:oMath>
      <w:r>
        <w:rPr>
          <w:rFonts w:ascii="Times New Roman" w:hAnsi="Times New Roman" w:eastAsia="宋体"/>
          <w:b w:val="0"/>
          <w:sz w:val="22"/>
        </w:rPr>
        <w:t>，当前实现中</w:t>
      </w:r>
      <m:oMath>
        <m:r>
          <w:rPr>
            <w:rFonts w:ascii="Cambria Math" w:hAnsi="Cambria Math"/>
            <w:sz w:val="22"/>
          </w:rPr>
          <m:t xml:space="preserve">K=6</m:t>
        </m:r>
      </m:oMath>
      <w:r>
        <w:rPr>
          <w:rFonts w:ascii="Times New Roman" w:hAnsi="Times New Roman" w:eastAsia="宋体"/>
          <w:b w:val="0"/>
          <w:sz w:val="22"/>
        </w:rPr>
        <w:t>。根据目标框生成原图、目标框标记图和裁剪图；被测分类器使用经既定预处理后的目标裁剪图</w:t>
      </w:r>
      <m:oMath>
        <m:sSub>
          <m:e>
            <m:r>
              <w:rPr>
                <w:rFonts w:ascii="Cambria Math" w:hAnsi="Cambria Math"/>
                <w:sz w:val="22"/>
              </w:rPr>
              <m:t xml:space="preserve">x</m:t>
            </m:r>
          </m:e>
          <m:sub>
            <m:r>
              <w:rPr>
                <w:rFonts w:ascii="Cambria Math" w:hAnsi="Cambria Math"/>
                <w:sz w:val="22"/>
              </w:rPr>
              <m:t xml:space="preserve">i</m:t>
            </m:r>
          </m:sub>
        </m:sSub>
      </m:oMath>
      <w:r>
        <w:rPr>
          <w:rFonts w:ascii="Times New Roman" w:hAnsi="Times New Roman" w:eastAsia="宋体"/>
          <w:b w:val="0"/>
          <w:sz w:val="22"/>
        </w:rPr>
        <w:t>。</w:t>
      </w:r>
    </w:p>
    <w:p>
      <w:pPr>
        <w:keepLines/>
        <w:spacing w:line="312" w:lineRule="auto" w:after="100"/>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pPr>
        <w:keepLines/>
        <w:spacing w:line="312" w:lineRule="auto" w:after="100"/>
        <w:ind w:firstLine="425"/>
      </w:pPr>
      <w:r>
        <w:rPr>
          <w:rFonts w:ascii="Times New Roman" w:hAnsi="Times New Roman" w:eastAsia="宋体"/>
          <w:b w:val="0"/>
          <w:sz w:val="22"/>
        </w:rPr>
        <w:t>记被测模型为</w:t>
      </w:r>
      <m:oMath>
        <m:sSub>
          <m:e>
            <m:r>
              <w:rPr>
                <w:rFonts w:ascii="Cambria Math" w:hAnsi="Cambria Math"/>
                <w:sz w:val="22"/>
              </w:rPr>
              <m:t xml:space="preserve">f</m:t>
            </m:r>
          </m:e>
          <m:sub>
            <m:r>
              <w:rPr>
                <w:rFonts w:ascii="Cambria Math" w:hAnsi="Cambria Math"/>
                <w:sz w:val="22"/>
              </w:rPr>
              <m:t xml:space="preserve">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pPr>
        <w:pStyle w:val="Heading1"/>
        <w:spacing w:before="180" w:after="100"/>
      </w:pPr>
      <w:r>
        <w:t>3.2 多视图视觉状态表示</w:t>
      </w:r>
    </w:p>
    <w:p>
      <w:pPr>
        <w:keepNext/>
        <w:keepLines/>
        <w:spacing w:line="312" w:lineRule="auto" w:after="100"/>
        <w:ind w:firstLine="425"/>
      </w:pPr>
      <w:r>
        <w:rPr>
          <w:rFonts w:ascii="Times New Roman" w:hAnsi="Times New Roman" w:eastAsia="宋体"/>
          <w:b w:val="0"/>
          <w:sz w:val="22"/>
        </w:rPr>
        <w:t>为同时获得场景信息和目标细节，将原图</w:t>
      </w:r>
      <m:oMath>
        <m:sSub>
          <m:e>
            <m:r>
              <w:rPr>
                <w:rFonts w:ascii="Cambria Math" w:hAnsi="Cambria Math"/>
                <w:sz w:val="22"/>
              </w:rPr>
              <m:t xml:space="preserve">I</m:t>
            </m:r>
          </m:e>
          <m:sub>
            <m:r>
              <w:rPr>
                <w:rFonts w:ascii="Cambria Math" w:hAnsi="Cambria Math"/>
                <w:sz w:val="22"/>
              </w:rPr>
              <m:t xml:space="preserve">i</m:t>
            </m:r>
          </m:sub>
        </m:sSub>
      </m:oMath>
      <w:r>
        <w:rPr>
          <w:rFonts w:ascii="Times New Roman" w:hAnsi="Times New Roman" w:eastAsia="宋体"/>
          <w:b w:val="0"/>
          <w:sz w:val="22"/>
        </w:rPr>
        <w:t>、目标框标记图</w:t>
      </w:r>
      <m:oMath>
        <m:sSub>
          <m:e>
            <m:r>
              <w:rPr>
                <w:rFonts w:ascii="Cambria Math" w:hAnsi="Cambria Math"/>
                <w:sz w:val="22"/>
              </w:rPr>
              <m:t xml:space="preserve">M</m:t>
            </m:r>
          </m:e>
          <m:sub>
            <m:r>
              <w:rPr>
                <w:rFonts w:ascii="Cambria Math" w:hAnsi="Cambria Math"/>
                <w:sz w:val="22"/>
              </w:rPr>
              <m:t xml:space="preserve">i</m:t>
            </m:r>
          </m:sub>
        </m:sSub>
      </m:oMath>
      <w:r>
        <w:rPr>
          <w:rFonts w:ascii="Times New Roman" w:hAnsi="Times New Roman" w:eastAsia="宋体"/>
          <w:b w:val="0"/>
          <w:sz w:val="22"/>
        </w:rPr>
        <w:t>及放大裁剪图</w:t>
      </w:r>
      <m:oMath>
        <m:sSub>
          <m:e>
            <m:r>
              <w:rPr>
                <w:rFonts w:ascii="Cambria Math" w:hAnsi="Cambria Math"/>
                <w:sz w:val="22"/>
              </w:rPr>
              <m:t xml:space="preserve">V</m:t>
            </m:r>
          </m:e>
          <m:sub>
            <m:r>
              <w:rPr>
                <w:rFonts w:ascii="Cambria Math" w:hAnsi="Cambria Math"/>
                <w:sz w:val="22"/>
              </w:rPr>
              <m:t xml:space="preserve">i</m:t>
            </m:r>
          </m:sub>
        </m:sSub>
      </m:oMath>
      <w:r>
        <w:rPr>
          <w:rFonts w:ascii="Times New Roman" w:hAnsi="Times New Roman" w:eastAsia="宋体"/>
          <w:b w:val="0"/>
          <w:sz w:val="22"/>
        </w:rPr>
        <w:t>输入状态描述器。设标注来源为</w:t>
      </w:r>
      <m:oMath>
        <m:r>
          <w:rPr>
            <w:rFonts w:ascii="Cambria Math" w:hAnsi="Cambria Math"/>
            <w:sz w:val="22"/>
          </w:rPr>
          <m:t xml:space="preserve">r∈</m:t>
        </m:r>
        <m:d>
          <m:dPr>
            <m:begChr m:val="{"/>
            <m:endChr m:val="}"/>
          </m:dPr>
          <m:e>
            <m:r>
              <m:rPr>
                <m:sty m:val="p"/>
              </m:rPr>
              <w:rPr>
                <w:rFonts w:ascii="Cambria Math" w:hAnsi="Cambria Math"/>
                <w:sz w:val="22"/>
              </w:rPr>
              <m:t xml:space="preserve">local</m:t>
            </m:r>
            <m:r>
              <w:rPr>
                <w:rFonts w:ascii="Cambria Math" w:hAnsi="Cambria Math"/>
                <w:sz w:val="22"/>
              </w:rPr>
              <m:t xml:space="preserve">,</m:t>
            </m:r>
            <m:r>
              <m:rPr>
                <m:sty m:val="p"/>
              </m:rPr>
              <w:rPr>
                <w:rFonts w:ascii="Cambria Math" w:hAnsi="Cambria Math"/>
                <w:sz w:val="22"/>
              </w:rPr>
              <m:t xml:space="preserve">online</m:t>
            </m:r>
          </m:e>
        </m:d>
      </m:oMath>
      <w:r>
        <w:rPr>
          <w:rFonts w:ascii="Times New Roman" w:hAnsi="Times New Roman" w:eastAsia="宋体"/>
          <w:b w:val="0"/>
          <w:sz w:val="22"/>
        </w:rPr>
        <w:t>，其输出为：</w:t>
      </w:r>
    </w:p>
    <w:p>
      <w:pPr>
        <w:spacing w:before="80" w:after="140"/>
        <w:jc w:val="center"/>
      </w:pPr>
      <m:oMathPara>
        <m:oMath>
          <m:sSubSup>
            <m:e>
              <m:r>
                <w:rPr>
                  <w:rFonts w:ascii="Cambria Math" w:hAnsi="Cambria Math"/>
                  <w:sz w:val="22"/>
                </w:rPr>
                <m:t xml:space="preserve">z</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m:t>
          </m:r>
          <m:sSub>
            <m:e>
              <m:r>
                <w:rPr>
                  <w:rFonts w:ascii="Cambria Math" w:hAnsi="Cambria Math"/>
                  <w:sz w:val="22"/>
                </w:rPr>
                <m:t xml:space="preserve">φ</m:t>
              </m:r>
            </m:e>
            <m:sub>
              <m:r>
                <w:rPr>
                  <w:rFonts w:ascii="Cambria Math" w:hAnsi="Cambria Math"/>
                  <w:sz w:val="22"/>
                </w:rPr>
                <m:t xml:space="preserve">r</m:t>
              </m:r>
            </m:sub>
          </m:sSub>
          <m:d>
            <m:dPr>
              <m:begChr m:val="("/>
              <m:endChr m:val=")"/>
            </m:dPr>
            <m:e>
              <m:sSub>
                <m:e>
                  <m:r>
                    <w:rPr>
                      <w:rFonts w:ascii="Cambria Math" w:hAnsi="Cambria Math"/>
                      <w:sz w:val="22"/>
                    </w:rPr>
                    <m:t xml:space="preserve">I</m:t>
                  </m:r>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M</m:t>
                  </m:r>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V</m:t>
                  </m:r>
                </m:e>
                <m:sub>
                  <m:r>
                    <w:rPr>
                      <w:rFonts w:ascii="Cambria Math" w:hAnsi="Cambria Math"/>
                      <w:sz w:val="22"/>
                    </w:rPr>
                    <m:t xml:space="preserve">i</m:t>
                  </m:r>
                </m:sub>
              </m:sSub>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其中，</w:t>
      </w:r>
      <m:oMath>
        <m:sSub>
          <m:e>
            <m:r>
              <w:rPr>
                <w:rFonts w:ascii="Cambria Math" w:hAnsi="Cambria Math"/>
                <w:sz w:val="22"/>
              </w:rPr>
              <m:t xml:space="preserve">φ</m:t>
            </m:r>
          </m:e>
          <m:sub>
            <m:r>
              <w:rPr>
                <w:rFonts w:ascii="Cambria Math" w:hAnsi="Cambria Math"/>
                <w:sz w:val="22"/>
              </w:rPr>
              <m:t xml:space="preserve">r</m:t>
            </m:r>
          </m:sub>
        </m:sSub>
      </m:oMath>
      <w:r>
        <w:rPr>
          <w:rFonts w:ascii="Times New Roman" w:hAnsi="Times New Roman" w:eastAsia="宋体"/>
          <w:b w:val="0"/>
          <w:sz w:val="22"/>
        </w:rPr>
        <w:t>表示按预定义字段及有限枚举值进行描述的VLM。当前实现分别使用本地Qwen3-VL与线上SenseNova，两套标注独立用于测试组织和结果分析，不进行分类概率融合。</w:t>
      </w:r>
    </w:p>
    <w:p>
      <w:pPr>
        <w:keepLines/>
        <w:spacing w:line="312" w:lineRule="auto" w:after="100"/>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e>
            <m:r>
              <w:rPr>
                <w:rFonts w:ascii="Cambria Math" w:hAnsi="Cambria Math"/>
                <w:sz w:val="22"/>
              </w:rPr>
              <m:t xml:space="preserve">a</m:t>
            </m:r>
          </m:e>
          <m:sub>
            <m:r>
              <w:rPr>
                <w:rFonts w:ascii="Cambria Math" w:hAnsi="Cambria Math"/>
                <w:sz w:val="22"/>
              </w:rPr>
              <m:t xml:space="preserve">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pPr>
        <w:keepLines/>
        <w:spacing w:line="312" w:lineRule="auto" w:after="100"/>
        <w:ind w:firstLine="425"/>
      </w:pPr>
      <w:r>
        <w:rPr>
          <w:rFonts w:ascii="Times New Roman" w:hAnsi="Times New Roman" w:eastAsia="宋体"/>
          <w:b w:val="0"/>
          <w:sz w:val="22"/>
        </w:rPr>
        <w:t>将“字段—枚举值”对定义为视觉状态。例如，“身体朝向—背向”表示一种状态。目标</w:t>
      </w:r>
      <m:oMath>
        <m:r>
          <w:rPr>
            <w:rFonts w:ascii="Cambria Math" w:hAnsi="Cambria Math"/>
            <w:sz w:val="22"/>
          </w:rPr>
          <m:t xml:space="preserve">i</m:t>
        </m:r>
      </m:oMath>
      <w:r>
        <w:rPr>
          <w:rFonts w:ascii="Times New Roman" w:hAnsi="Times New Roman" w:eastAsia="宋体"/>
          <w:b w:val="0"/>
          <w:sz w:val="22"/>
        </w:rPr>
        <w:t>在来源</w:t>
      </w:r>
      <m:oMath>
        <m:r>
          <w:rPr>
            <w:rFonts w:ascii="Cambria Math" w:hAnsi="Cambria Math"/>
            <w:sz w:val="22"/>
          </w:rPr>
          <m:t xml:space="preserve">r</m:t>
        </m:r>
      </m:oMath>
      <w:r>
        <w:rPr>
          <w:rFonts w:ascii="Times New Roman" w:hAnsi="Times New Roman" w:eastAsia="宋体"/>
          <w:b w:val="0"/>
          <w:sz w:val="22"/>
        </w:rPr>
        <w:t>下激活的已知状态集合记为</w:t>
      </w:r>
      <m:oMath>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oMath>
      <w:r>
        <w:rPr>
          <w:rFonts w:ascii="Times New Roman" w:hAnsi="Times New Roman" w:eastAsia="宋体"/>
          <w:b w:val="0"/>
          <w:sz w:val="22"/>
        </w:rPr>
        <w:t>；多值字段可同时激活多个状态。无法判断的字段保留为unknown，不计为已获得的覆盖证据。结构化校验用于保证输出可解析及枚举合法，不据此认定自动状态具有完整语义准确性。</w:t>
      </w:r>
    </w:p>
    <w:p>
      <w:pPr>
        <w:pStyle w:val="Heading1"/>
        <w:spacing w:before="180" w:after="100"/>
      </w:pPr>
      <w:r>
        <w:t>3.3 状态覆盖度量与稀缺状态选样</w:t>
      </w:r>
    </w:p>
    <w:p>
      <w:pPr>
        <w:pStyle w:val="Heading2"/>
        <w:spacing w:before="180" w:after="100"/>
      </w:pPr>
      <w:r>
        <w:t>3.3.1 状态支持与频次覆盖</w:t>
      </w:r>
    </w:p>
    <w:p>
      <w:pPr>
        <w:keepNext/>
        <w:keepLines/>
        <w:spacing w:line="312" w:lineRule="auto" w:after="100"/>
        <w:ind w:firstLine="425"/>
      </w:pPr>
      <w:r>
        <w:rPr>
          <w:rFonts w:ascii="Times New Roman" w:hAnsi="Times New Roman" w:eastAsia="宋体"/>
          <w:b w:val="0"/>
          <w:sz w:val="22"/>
        </w:rPr>
        <w:t>对同一候选池，在类别</w:t>
      </w:r>
      <m:oMath>
        <m:r>
          <w:rPr>
            <w:rFonts w:ascii="Cambria Math" w:hAnsi="Cambria Math"/>
            <w:sz w:val="22"/>
          </w:rPr>
          <m:t xml:space="preserve">c</m:t>
        </m:r>
      </m:oMath>
      <w:r>
        <w:rPr>
          <w:rFonts w:ascii="Times New Roman" w:hAnsi="Times New Roman" w:eastAsia="宋体"/>
          <w:b w:val="0"/>
          <w:sz w:val="22"/>
        </w:rPr>
        <w:t>内将两种标注来源观察到的已知状态取并集，记为状态集合</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。比较不同选样规模与方法时使用相同的</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。对于已选目标索引集合</w:t>
      </w:r>
      <m:oMath>
        <m:r>
          <w:rPr>
            <w:rFonts w:ascii="Cambria Math" w:hAnsi="Cambria Math"/>
            <w:sz w:val="22"/>
          </w:rPr>
          <m:t xml:space="preserve">S</m:t>
        </m:r>
      </m:oMath>
      <w:r>
        <w:rPr>
          <w:rFonts w:ascii="Times New Roman" w:hAnsi="Times New Roman" w:eastAsia="宋体"/>
          <w:b w:val="0"/>
          <w:sz w:val="22"/>
        </w:rPr>
        <w:t>，状态</w:t>
      </w:r>
      <m:oMath>
        <m:r>
          <w:rPr>
            <w:rFonts w:ascii="Cambria Math" w:hAnsi="Cambria Math"/>
            <w:sz w:val="22"/>
          </w:rPr>
          <m:t xml:space="preserve">s</m:t>
        </m:r>
      </m:oMath>
      <w:r>
        <w:rPr>
          <w:rFonts w:ascii="Times New Roman" w:hAnsi="Times New Roman" w:eastAsia="宋体"/>
          <w:b w:val="0"/>
          <w:sz w:val="22"/>
        </w:rPr>
        <w:t>的支持数定义为：</w:t>
      </w:r>
    </w:p>
    <w:p>
      <w:pPr>
        <w:spacing w:before="80" w:after="140"/>
        <w:jc w:val="center"/>
      </w:pPr>
      <m:oMathPara>
        <m:oMath>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m:t>
          </m:r>
          <m:nary>
            <m:naryPr>
              <m:chr m:val="∑"/>
              <m:limLoc m:val="undOvr"/>
              <m:subHide m:val="0"/>
              <m:supHide m:val="1"/>
            </m:naryPr>
            <m:sub>
              <m:r>
                <w:rPr>
                  <w:rFonts w:ascii="Cambria Math" w:hAnsi="Cambria Math"/>
                  <w:sz w:val="22"/>
                </w:rPr>
                <m:t xml:space="preserve">i∈S</m:t>
              </m:r>
            </m:sub>
            <m:sup/>
            <m:e>
              <m:r>
                <m:rPr>
                  <m:sty m:val="p"/>
                </m:rPr>
                <w:rPr>
                  <w:rFonts w:ascii="Cambria Math" w:hAnsi="Cambria Math"/>
                  <w:sz w:val="22"/>
                </w:rPr>
                <m:t xml:space="preserve">1</m:t>
              </m:r>
              <m:d>
                <m:dPr>
                  <m:begChr m:val="["/>
                  <m:endChr m:val="]"/>
                </m:dPr>
                <m:e>
                  <m:sSub>
                    <m:e>
                      <m:r>
                        <w:rPr>
                          <w:rFonts w:ascii="Cambria Math" w:hAnsi="Cambria Math"/>
                          <w:sz w:val="22"/>
                        </w:rPr>
                        <m:t xml:space="preserve">y</m:t>
                      </m:r>
                    </m:e>
                    <m:sub>
                      <m:r>
                        <w:rPr>
                          <w:rFonts w:ascii="Cambria Math" w:hAnsi="Cambria Math"/>
                          <w:sz w:val="22"/>
                        </w:rPr>
                        <m:t xml:space="preserve">i</m:t>
                      </m:r>
                    </m:sub>
                  </m:sSub>
                  <m:r>
                    <w:rPr>
                      <w:rFonts w:ascii="Cambria Math" w:hAnsi="Cambria Math"/>
                      <w:sz w:val="22"/>
                    </w:rPr>
                    <m:t xml:space="preserve">=c</m:t>
                  </m:r>
                </m:e>
              </m:d>
              <m:r>
                <m:rPr>
                  <m:sty m:val="p"/>
                </m:rPr>
                <w:rPr>
                  <w:rFonts w:ascii="Cambria Math" w:hAnsi="Cambria Math"/>
                  <w:sz w:val="22"/>
                </w:rPr>
                <m:t xml:space="preserve">1</m:t>
              </m:r>
              <m:d>
                <m:dPr>
                  <m:begChr m:val="["/>
                  <m:endChr m:val="]"/>
                </m:dPr>
                <m:e>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e>
              </m:d>
            </m:e>
          </m:nary>
          <m:r>
            <w:rPr>
              <w:rFonts w:ascii="Cambria Math" w:hAnsi="Cambria Math"/>
              <w:sz w:val="22"/>
            </w:rPr>
            <m:t xml:space="preserve">.</m:t>
          </m:r>
        </m:oMath>
      </m:oMathPara>
    </w:p>
    <w:p>
      <w:pPr>
        <w:keepNext/>
        <w:keepLines/>
        <w:spacing w:line="312" w:lineRule="auto" w:after="100"/>
        <w:ind w:firstLine="425"/>
      </w:pPr>
      <w:r>
        <w:rPr>
          <w:rFonts w:ascii="Times New Roman" w:hAnsi="Times New Roman" w:eastAsia="宋体"/>
          <w:b w:val="0"/>
          <w:sz w:val="22"/>
        </w:rPr>
        <w:t>其中，</w:t>
      </w:r>
      <m:oMath>
        <m:r>
          <m:rPr>
            <m:sty m:val="p"/>
          </m:rPr>
          <w:rPr>
            <w:rFonts w:ascii="Cambria Math" w:hAnsi="Cambria Math"/>
            <w:sz w:val="22"/>
          </w:rPr>
          <m:t xml:space="preserve">1</m:t>
        </m:r>
        <m:d>
          <m:dPr>
            <m:begChr m:val="["/>
            <m:endChr m:val="]"/>
          </m:dPr>
          <m:e>
            <m:r>
              <w:rPr>
                <w:rFonts w:ascii="Cambria Math" w:hAnsi="Cambria Math"/>
                <w:sz w:val="22"/>
              </w:rPr>
              <m:t xml:space="preserve">·</m:t>
            </m:r>
          </m:e>
        </m:d>
      </m:oMath>
      <w:r>
        <w:rPr>
          <w:rFonts w:ascii="Times New Roman" w:hAnsi="Times New Roman" w:eastAsia="宋体"/>
          <w:b w:val="0"/>
          <w:sz w:val="22"/>
        </w:rPr>
        <w:t>为指示函数。采用支持数饱和的频次覆盖指标：</w:t>
      </w:r>
    </w:p>
    <w:p>
      <w:pPr>
        <w:spacing w:before="80" w:after="140"/>
        <w:jc w:val="center"/>
      </w:pPr>
      <m:oMathPara>
        <m:oMath>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m:t>
          </m:r>
          <m:f>
            <m:num>
              <m:r>
                <w:rPr>
                  <w:rFonts w:ascii="Cambria Math" w:hAnsi="Cambria Math"/>
                  <w:sz w:val="22"/>
                </w:rPr>
                <m:t xml:space="preserve">1</m:t>
              </m:r>
            </m:num>
            <m:den>
              <m:r>
                <w:rPr>
                  <w:rFonts w:ascii="Cambria Math" w:hAnsi="Cambria Math"/>
                  <w:sz w:val="22"/>
                </w:rPr>
                <m:t xml:space="preserve">|</m:t>
              </m:r>
              <m:sSub>
                <m:e>
                  <m:r>
                    <w:rPr>
                      <w:rFonts w:ascii="Cambria Math" w:hAnsi="Cambria Math"/>
                      <w:sz w:val="22"/>
                    </w:rPr>
                    <m:t xml:space="preserve">U</m:t>
                  </m:r>
                </m:e>
                <m:sub>
                  <m:r>
                    <w:rPr>
                      <w:rFonts w:ascii="Cambria Math" w:hAnsi="Cambria Math"/>
                      <w:sz w:val="22"/>
                    </w:rPr>
                    <m:t xml:space="preserve">c</m:t>
                  </m:r>
                </m:sub>
              </m:sSub>
              <m:r>
                <w:rPr>
                  <w:rFonts w:ascii="Cambria Math" w:hAnsi="Cambria Math"/>
                  <w:sz w:val="22"/>
                </w:rPr>
                <m:t xml:space="preserve">|</m:t>
              </m:r>
            </m:den>
          </m:f>
          <m:nary>
            <m:naryPr>
              <m:chr m:val="∑"/>
              <m:limLoc m:val="undOvr"/>
              <m:subHide m:val="0"/>
              <m:supHide m:val="1"/>
            </m:naryPr>
            <m:sub>
              <m:r>
                <w:rPr>
                  <w:rFonts w:ascii="Cambria Math" w:hAnsi="Cambria Math"/>
                  <w:sz w:val="22"/>
                </w:rPr>
                <m:t xml:space="preserve">s∈</m:t>
              </m:r>
              <m:sSub>
                <m:e>
                  <m:r>
                    <w:rPr>
                      <w:rFonts w:ascii="Cambria Math" w:hAnsi="Cambria Math"/>
                      <w:sz w:val="22"/>
                    </w:rPr>
                    <m:t xml:space="preserve">U</m:t>
                  </m:r>
                </m:e>
                <m:sub>
                  <m:r>
                    <w:rPr>
                      <w:rFonts w:ascii="Cambria Math" w:hAnsi="Cambria Math"/>
                      <w:sz w:val="22"/>
                    </w:rPr>
                    <m:t xml:space="preserve">c</m:t>
                  </m:r>
                </m:sub>
              </m:sSub>
            </m:sub>
            <m:sup/>
            <m:e>
              <m:r>
                <m:rPr>
                  <m:sty m:val="p"/>
                </m:rPr>
                <w:rPr>
                  <w:rFonts w:ascii="Cambria Math" w:hAnsi="Cambria Math"/>
                  <w:sz w:val="22"/>
                </w:rPr>
                <m:t xml:space="preserve">min</m:t>
              </m:r>
              <m:d>
                <m:dPr>
                  <m:begChr m:val="("/>
                  <m:endChr m:val=")"/>
                </m:dPr>
                <m:e>
                  <m:f>
                    <m:num>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num>
                    <m:den>
                      <m:r>
                        <w:rPr>
                          <w:rFonts w:ascii="Cambria Math" w:hAnsi="Cambria Math"/>
                          <w:sz w:val="22"/>
                        </w:rPr>
                        <m:t xml:space="preserve">τ</m:t>
                      </m:r>
                    </m:den>
                  </m:f>
                  <m:r>
                    <w:rPr>
                      <w:rFonts w:ascii="Cambria Math" w:hAnsi="Cambria Math"/>
                      <w:sz w:val="22"/>
                    </w:rPr>
                    <m:t xml:space="preserve">,1</m:t>
                  </m:r>
                </m:e>
              </m:d>
            </m:e>
          </m:nary>
          <m:r>
            <w:rPr>
              <w:rFonts w:ascii="Cambria Math" w:hAnsi="Cambria Math"/>
              <w:sz w:val="22"/>
            </w:rPr>
            <m:t xml:space="preserve">,   </m:t>
          </m:r>
          <m:sSup>
            <m:e>
              <m:r>
                <w:rPr>
                  <w:rFonts w:ascii="Cambria Math" w:hAnsi="Cambria Math"/>
                  <w:sz w:val="22"/>
                </w:rPr>
                <m:t xml:space="preserve">C</m:t>
              </m:r>
            </m:e>
            <m:sup>
              <m:r>
                <w:rPr>
                  <w:rFonts w:ascii="Cambria Math" w:hAnsi="Cambria Math"/>
                  <w:sz w:val="22"/>
                </w:rPr>
                <m:t xml:space="preserve">(r)</m:t>
              </m:r>
            </m:sup>
          </m:sSup>
          <m:d>
            <m:dPr>
              <m:begChr m:val="("/>
              <m:endChr m:val=")"/>
            </m:dPr>
            <m:e>
              <m:r>
                <w:rPr>
                  <w:rFonts w:ascii="Cambria Math" w:hAnsi="Cambria Math"/>
                  <w:sz w:val="22"/>
                </w:rPr>
                <m:t xml:space="preserve">S</m:t>
              </m:r>
            </m:e>
          </m:d>
          <m:r>
            <w:rPr>
              <w:rFonts w:ascii="Cambria Math" w:hAnsi="Cambria Math"/>
              <w:sz w:val="22"/>
            </w:rPr>
            <m:t xml:space="preserve">=</m:t>
          </m:r>
          <m:f>
            <m:num>
              <m:r>
                <w:rPr>
                  <w:rFonts w:ascii="Cambria Math" w:hAnsi="Cambria Math"/>
                  <w:sz w:val="22"/>
                </w:rPr>
                <m:t xml:space="preserve">1</m:t>
              </m:r>
            </m:num>
            <m:den>
              <m:r>
                <w:rPr>
                  <w:rFonts w:ascii="Cambria Math" w:hAnsi="Cambria Math"/>
                  <w:sz w:val="22"/>
                </w:rPr>
                <m:t xml:space="preserve">K</m:t>
              </m:r>
            </m:den>
          </m:f>
          <m:nary>
            <m:naryPr>
              <m:chr m:val="∑"/>
              <m:limLoc m:val="undOvr"/>
              <m:subHide m:val="0"/>
              <m:supHide m:val="0"/>
            </m:naryPr>
            <m:sub>
              <m:r>
                <w:rPr>
                  <w:rFonts w:ascii="Cambria Math" w:hAnsi="Cambria Math"/>
                  <w:sz w:val="22"/>
                </w:rPr>
                <m:t xml:space="preserve">c=1</m:t>
              </m:r>
            </m:sub>
            <m:sup>
              <m:r>
                <w:rPr>
                  <w:rFonts w:ascii="Cambria Math" w:hAnsi="Cambria Math"/>
                  <w:sz w:val="22"/>
                </w:rPr>
                <m:t xml:space="preserve">K</m:t>
              </m:r>
            </m:sup>
            <m:e>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r>
      <m:oMath>
        <m:r>
          <w:rPr>
            <w:rFonts w:ascii="Cambria Math" w:hAnsi="Cambria Math"/>
            <w:sz w:val="22"/>
          </w:rPr>
          <m:t xml:space="preserve">τ</m:t>
        </m:r>
      </m:oMath>
      <w:r>
        <w:rPr>
          <w:rFonts w:ascii="Times New Roman" w:hAnsi="Times New Roman" w:eastAsia="宋体"/>
          <w:b w:val="0"/>
          <w:sz w:val="22"/>
        </w:rPr>
        <w:t>为状态支持的饱和阈值，当前取20。状态支持达到</w:t>
      </w:r>
      <m:oMath>
        <m:r>
          <w:rPr>
            <w:rFonts w:ascii="Cambria Math" w:hAnsi="Cambria Math"/>
            <w:sz w:val="22"/>
          </w:rPr>
          <m:t xml:space="preserve">τ</m:t>
        </m:r>
      </m:oMath>
      <w:r>
        <w:rPr>
          <w:rFonts w:ascii="Times New Roman" w:hAnsi="Times New Roman" w:eastAsia="宋体"/>
          <w:b w:val="0"/>
          <w:sz w:val="22"/>
        </w:rPr>
        <w:t>后，其覆盖贡献不再增加。先在类别内平均，再在类别间平均，以避免样本较多的类别主导总体覆盖。该指标描述当前词表与候选池中的单状态证据，不评价全部状态组合；状态集合不同的覆盖百分比不直接比较。</w:t>
      </w:r>
    </w:p>
    <w:p>
      <w:pPr>
        <w:pStyle w:val="Heading2"/>
        <w:spacing w:before="180" w:after="100"/>
      </w:pPr>
      <w:r>
        <w:t>3.3.2 稀缺状态增益与贪心选样</w:t>
      </w:r>
    </w:p>
    <w:p>
      <w:pPr>
        <w:keepNext/>
        <w:keepLines/>
        <w:spacing w:line="312" w:lineRule="auto" w:after="100"/>
        <w:ind w:firstLine="425"/>
      </w:pPr>
      <w:r>
        <w:rPr>
          <w:rFonts w:ascii="Times New Roman" w:hAnsi="Times New Roman" w:eastAsia="宋体"/>
          <w:b w:val="0"/>
          <w:sz w:val="22"/>
        </w:rPr>
        <w:t>为优先增加支持不足状态的测试证据，在类别</w:t>
      </w:r>
      <m:oMath>
        <m:r>
          <w:rPr>
            <w:rFonts w:ascii="Cambria Math" w:hAnsi="Cambria Math"/>
            <w:sz w:val="22"/>
          </w:rPr>
          <m:t xml:space="preserve">c</m:t>
        </m:r>
      </m:oMath>
      <w:r>
        <w:rPr>
          <w:rFonts w:ascii="Times New Roman" w:hAnsi="Times New Roman" w:eastAsia="宋体"/>
          <w:b w:val="0"/>
          <w:sz w:val="22"/>
        </w:rPr>
        <w:t>内计算候选目标</w:t>
      </w:r>
      <m:oMath>
        <m:r>
          <w:rPr>
            <w:rFonts w:ascii="Cambria Math" w:hAnsi="Cambria Math"/>
            <w:sz w:val="22"/>
          </w:rPr>
          <m:t xml:space="preserve">i</m:t>
        </m:r>
      </m:oMath>
      <w:r>
        <w:rPr>
          <w:rFonts w:ascii="Times New Roman" w:hAnsi="Times New Roman" w:eastAsia="宋体"/>
          <w:b w:val="0"/>
          <w:sz w:val="22"/>
        </w:rPr>
        <w:t>相对于当前集合</w:t>
      </w:r>
      <m:oMath>
        <m:r>
          <w:rPr>
            <w:rFonts w:ascii="Cambria Math" w:hAnsi="Cambria Math"/>
            <w:sz w:val="22"/>
          </w:rPr>
          <m:t xml:space="preserve">S</m:t>
        </m:r>
      </m:oMath>
      <w:r>
        <w:rPr>
          <w:rFonts w:ascii="Times New Roman" w:hAnsi="Times New Roman" w:eastAsia="宋体"/>
          <w:b w:val="0"/>
          <w:sz w:val="22"/>
        </w:rPr>
        <w:t>的增益：</w:t>
      </w:r>
    </w:p>
    <w:p>
      <w:pPr>
        <w:spacing w:before="80" w:after="140"/>
        <w:jc w:val="center"/>
      </w:pPr>
      <m:oMathPara>
        <m:oMath>
          <m:sSubSup>
            <m:e>
              <m:r>
                <w:rPr>
                  <w:rFonts w:ascii="Cambria Math" w:hAnsi="Cambria Math"/>
                  <w:sz w:val="22"/>
                </w:rPr>
                <m:t xml:space="preserve">g</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i|S</m:t>
              </m:r>
            </m:e>
          </m:d>
          <m:r>
            <w:rPr>
              <w:rFonts w:ascii="Cambria Math" w:hAnsi="Cambria Math"/>
              <w:sz w:val="22"/>
            </w:rPr>
            <m:t xml:space="preserve">=</m:t>
          </m:r>
          <m:nary>
            <m:naryPr>
              <m:chr m:val="∑"/>
              <m:limLoc m:val="undOvr"/>
              <m:subHide m:val="0"/>
              <m:supHide m:val="1"/>
            </m:naryPr>
            <m:sub>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 </m:t>
              </m:r>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&lt;τ</m:t>
              </m:r>
            </m:sub>
            <m:sup/>
            <m:e>
              <m:d>
                <m:dPr>
                  <m:begChr m:val="["/>
                  <m:endChr m:val="]"/>
                </m:dPr>
                <m:e>
                  <m:r>
                    <m:rPr>
                      <m:sty m:val="p"/>
                    </m:rPr>
                    <w:rPr>
                      <w:rFonts w:ascii="Cambria Math" w:hAnsi="Cambria Math"/>
                      <w:sz w:val="22"/>
                    </w:rPr>
                    <m:t xml:space="preserve">log</m:t>
                  </m:r>
                  <m:d>
                    <m:dPr>
                      <m:begChr m:val="("/>
                      <m:endChr m:val=")"/>
                    </m:dPr>
                    <m:e>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+2</m:t>
                      </m:r>
                    </m:e>
                  </m:d>
                  <m:r>
                    <w:rPr>
                      <w:rFonts w:ascii="Cambria Math" w:hAnsi="Cambria Math"/>
                      <w:sz w:val="22"/>
                    </w:rPr>
                    <m:t xml:space="preserve">−</m:t>
                  </m:r>
                  <m:r>
                    <m:rPr>
                      <m:sty m:val="p"/>
                    </m:rPr>
                    <w:rPr>
                      <w:rFonts w:ascii="Cambria Math" w:hAnsi="Cambria Math"/>
                      <w:sz w:val="22"/>
                    </w:rPr>
                    <m:t xml:space="preserve">log</m:t>
                  </m:r>
                  <m:d>
                    <m:dPr>
                      <m:begChr m:val="("/>
                      <m:endChr m:val=")"/>
                    </m:dPr>
                    <m:e>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+1</m:t>
                      </m:r>
                    </m:e>
                  </m:d>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已有支持越少，新增目标提供的边际增益越大。在每轮中，从满足当前配额的未选目标中选择增益最大的目标，并更新状态计数。增益相同时按目标ID排序，保证给定输入下选样次序确定。状态计数在同一类别内跨风险层累计。</w:t>
      </w:r>
    </w:p>
    <w:p>
      <w:pPr>
        <w:keepLines/>
        <w:spacing w:line="312" w:lineRule="auto" w:after="100"/>
        <w:ind w:firstLine="425"/>
      </w:pPr>
      <w:r>
        <w:rPr>
          <w:rFonts w:ascii="Times New Roman" w:hAnsi="Times New Roman" w:eastAsia="宋体"/>
          <w:b w:val="0"/>
          <w:sz w:val="22"/>
        </w:rPr>
        <w:t>在选样对照中，各方法使用共同的类别、风险层及风险格配额。风险格由风险中点值与未知维数定义；格内配额依据候选数量比例和最大余数法分配。贪心选择的可行集合由剩余配额限定，以减少测试难度构成差异对选样比较的影响。风险层及风险格的构造见第3.4节。</w:t>
      </w:r>
    </w:p>
    <w:p>
      <w:pPr>
        <w:keepLines/>
        <w:spacing w:line="312" w:lineRule="auto" w:after="100"/>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pPr>
        <w:pStyle w:val="Heading1"/>
        <w:spacing w:before="180" w:after="100"/>
      </w:pPr>
      <w:r>
        <w:t>3.4 类别内风险组织与测试构成调节</w:t>
      </w:r>
    </w:p>
    <w:p>
      <w:pPr>
        <w:pStyle w:val="Heading2"/>
        <w:spacing w:before="180" w:after="100"/>
      </w:pPr>
      <w:r>
        <w:t>3.4.1 预定义风险评分</w:t>
      </w:r>
    </w:p>
    <w:p>
      <w:pPr>
        <w:keepNext/>
        <w:keepLines/>
        <w:spacing w:line="312" w:lineRule="auto" w:after="100"/>
        <w:ind w:firstLine="425"/>
      </w:pPr>
      <w:r>
        <w:rPr>
          <w:rFonts w:ascii="Times New Roman" w:hAnsi="Times New Roman" w:eastAsia="宋体"/>
          <w:b w:val="0"/>
          <w:sz w:val="22"/>
        </w:rPr>
        <w:t>选取尺度、身体可见性、遮挡、截断和朝向五个维度构造视觉风险。设风险维度集合为</w:t>
      </w:r>
      <m:oMath>
        <m:r>
          <w:rPr>
            <w:rFonts w:ascii="Cambria Math" w:hAnsi="Cambria Math"/>
            <w:sz w:val="22"/>
          </w:rPr>
          <m:t xml:space="preserve">D</m:t>
        </m:r>
      </m:oMath>
      <w:r>
        <w:rPr>
          <w:rFonts w:ascii="Times New Roman" w:hAnsi="Times New Roman" w:eastAsia="宋体"/>
          <w:b w:val="0"/>
          <w:sz w:val="22"/>
        </w:rPr>
        <w:t>，第</w:t>
      </w:r>
      <m:oMath>
        <m:r>
          <w:rPr>
            <w:rFonts w:ascii="Cambria Math" w:hAnsi="Cambria Math"/>
            <w:sz w:val="22"/>
          </w:rPr>
          <m:t xml:space="preserve">d</m:t>
        </m:r>
      </m:oMath>
      <w:r>
        <w:rPr>
          <w:rFonts w:ascii="Times New Roman" w:hAnsi="Times New Roman" w:eastAsia="宋体"/>
          <w:b w:val="0"/>
          <w:sz w:val="22"/>
        </w:rPr>
        <w:t>维的映射为</w:t>
      </w:r>
      <m:oMath>
        <m:sSub>
          <m:e>
            <m:r>
              <w:rPr>
                <w:rFonts w:ascii="Cambria Math" w:hAnsi="Cambria Math"/>
                <w:sz w:val="22"/>
              </w:rPr>
              <m:t xml:space="preserve">h</m:t>
            </m:r>
          </m:e>
          <m:sub>
            <m:r>
              <w:rPr>
                <w:rFonts w:ascii="Cambria Math" w:hAnsi="Cambria Math"/>
                <w:sz w:val="22"/>
              </w:rPr>
              <m:t xml:space="preserve">d</m:t>
            </m:r>
          </m:sub>
        </m:sSub>
      </m:oMath>
      <w:r>
        <w:rPr>
          <w:rFonts w:ascii="Times New Roman" w:hAnsi="Times New Roman" w:eastAsia="宋体"/>
          <w:b w:val="0"/>
          <w:sz w:val="22"/>
        </w:rPr>
        <w:t>，目标的综合风险为：</w:t>
      </w:r>
    </w:p>
    <w:p>
      <w:pPr>
        <w:spacing w:before="80" w:after="140"/>
        <w:jc w:val="center"/>
      </w:pPr>
      <m:oMathPara>
        <m:oMath>
          <m:sSubSup>
            <m:e>
              <m:r>
                <w:rPr>
                  <w:rFonts w:ascii="Cambria Math" w:hAnsi="Cambria Math"/>
                  <w:sz w:val="22"/>
                </w:rPr>
                <m:t xml:space="preserve">H</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m:t>
          </m:r>
          <m:nary>
            <m:naryPr>
              <m:chr m:val="∑"/>
              <m:limLoc m:val="undOvr"/>
              <m:subHide m:val="0"/>
              <m:supHide m:val="1"/>
            </m:naryPr>
            <m:sub>
              <m:r>
                <w:rPr>
                  <w:rFonts w:ascii="Cambria Math" w:hAnsi="Cambria Math"/>
                  <w:sz w:val="22"/>
                </w:rPr>
                <m:t xml:space="preserve">d∈D</m:t>
              </m:r>
            </m:sub>
            <m:sup/>
            <m:e>
              <m:sSub>
                <m:e>
                  <m:r>
                    <w:rPr>
                      <w:rFonts w:ascii="Cambria Math" w:hAnsi="Cambria Math"/>
                      <w:sz w:val="22"/>
                    </w:rPr>
                    <m:t xml:space="preserve">h</m:t>
                  </m:r>
                </m:e>
                <m:sub>
                  <m:r>
                    <w:rPr>
                      <w:rFonts w:ascii="Cambria Math" w:hAnsi="Cambria Math"/>
                      <w:sz w:val="22"/>
                    </w:rPr>
                    <m:t xml:space="preserve">d</m:t>
                  </m:r>
                </m:sub>
              </m:sSub>
              <m:d>
                <m:dPr>
                  <m:begChr m:val="("/>
                  <m:endChr m:val=")"/>
                </m:dPr>
                <m:e>
                  <m:r>
                    <w:rPr>
                      <w:rFonts w:ascii="Cambria Math" w:hAnsi="Cambria Math"/>
                      <w:sz w:val="22"/>
                    </w:rPr>
                    <m:t xml:space="preserve">i,r</m:t>
                  </m:r>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各维度映射如表1所示。尺度分值由</w:t>
      </w:r>
      <m:oMath>
        <m:sSub>
          <m:e>
            <m:r>
              <w:rPr>
                <w:rFonts w:ascii="Cambria Math" w:hAnsi="Cambria Math"/>
                <w:sz w:val="22"/>
              </w:rPr>
              <m:t xml:space="preserve">a</m:t>
            </m:r>
          </m:e>
          <m:sub>
            <m:r>
              <w:rPr>
                <w:rFonts w:ascii="Cambria Math" w:hAnsi="Cambria Math"/>
                <w:sz w:val="22"/>
              </w:rPr>
              <m:t xml:space="preserve">i</m:t>
            </m:r>
          </m:sub>
        </m:sSub>
      </m:oMath>
      <w:r>
        <w:rPr>
          <w:rFonts w:ascii="Times New Roman" w:hAnsi="Times New Roman" w:eastAsia="宋体"/>
          <w:b w:val="0"/>
          <w:sz w:val="22"/>
        </w:rPr>
        <w:t>计算，其他分值由相应来源的状态确定。评分不读取被测分类器的预测、置信度、表征或错误，也不使用VLM的可识别性字段。</w:t>
      </w:r>
    </w:p>
    <w:tbl>
      <w:tblPr>
        <w:tblStyle w:val="TableGrid"/>
        <w:tblW w:type="auto" w:w="0"/>
        <w:jc w:val="center"/>
        <w:tblLayout w:type="fixed"/>
        <w:tblLook w:firstColumn="1" w:firstRow="1" w:lastColumn="0" w:lastRow="0" w:noHBand="0" w:noVBand="1" w:val="04A0"/>
      </w:tblPr>
      <w:tblGrid>
        <w:gridCol w:w="1701"/>
        <w:gridCol w:w="7937"/>
      </w:tblGrid>
      <w:tr>
        <w:trPr>
          <w:cantSplit/>
        </w:trPr>
        <w:tc>
          <w:tcPr>
            <w:tcW w:type="dxa" w:w="4819"/>
          </w:tcPr>
          <w:p>
            <w:pPr>
              <w:spacing w:after="60" w:line="276" w:lineRule="auto"/>
            </w:pPr>
            <w:r>
              <w:rPr>
                <w:rFonts w:ascii="Times New Roman" w:hAnsi="Times New Roman" w:eastAsia="黑体"/>
                <w:b/>
                <w:sz w:val="19"/>
              </w:rPr>
              <w:t>维度</w:t>
            </w:r>
          </w:p>
        </w:tc>
        <w:tc>
          <w:tcPr>
            <w:tcW w:type="dxa" w:w="4819"/>
          </w:tcPr>
          <w:p>
            <w:pPr>
              <w:spacing w:after="60" w:line="276" w:lineRule="auto"/>
            </w:pPr>
            <w:r>
              <w:rPr>
                <w:rFonts w:ascii="Times New Roman" w:hAnsi="Times New Roman" w:eastAsia="黑体"/>
                <w:b/>
                <w:sz w:val="19"/>
              </w:rPr>
              <w:t>状态或区间及对应分值</w:t>
            </w:r>
          </w:p>
        </w:tc>
      </w:tr>
      <w:tr>
        <w:trPr>
          <w:cantSplit/>
        </w:trPr>
        <w:tc>
          <w:tcPr>
            <w:tcW w:type="dxa" w:w="4819"/>
          </w:tcPr>
          <w:p>
            <w:pPr>
              <w:spacing w:after="60" w:line="276" w:lineRule="auto"/>
            </w:pPr>
            <w:r>
              <w:rPr>
                <w:rFonts w:ascii="Times New Roman" w:hAnsi="Times New Roman" w:eastAsia="宋体"/>
                <w:b w:val="0"/>
                <w:sz w:val="19"/>
              </w:rPr>
              <w:t>目标尺度</w:t>
            </w:r>
          </w:p>
        </w:tc>
        <w:tc>
          <w:tcPr>
            <w:tcW w:type="dxa" w:w="4819"/>
          </w:tcPr>
          <w:p>
            <w:pPr>
              <w:spacing w:after="60" w:line="276" w:lineRule="auto"/>
            </w:pPr>
            <w:r>
              <w:rPr>
                <w:rFonts w:ascii="Times New Roman" w:hAnsi="Times New Roman" w:eastAsia="宋体"/>
                <w:b w:val="0"/>
                <w:sz w:val="19"/>
              </w:rPr>
              <w:t>a≥0.10：0；0.03≤a&lt;0.10：1；0.01≤a&lt;0.03：2；a&lt;0.01：3</w:t>
            </w:r>
          </w:p>
        </w:tc>
      </w:tr>
      <w:tr>
        <w:trPr>
          <w:cantSplit/>
        </w:trPr>
        <w:tc>
          <w:tcPr>
            <w:tcW w:type="dxa" w:w="4819"/>
          </w:tcPr>
          <w:p>
            <w:pPr>
              <w:spacing w:after="60" w:line="276" w:lineRule="auto"/>
            </w:pPr>
            <w:r>
              <w:rPr>
                <w:rFonts w:ascii="Times New Roman" w:hAnsi="Times New Roman" w:eastAsia="宋体"/>
                <w:b w:val="0"/>
                <w:sz w:val="19"/>
              </w:rPr>
              <w:t>身体可见性</w:t>
            </w:r>
          </w:p>
        </w:tc>
        <w:tc>
          <w:tcPr>
            <w:tcW w:type="dxa" w:w="4819"/>
          </w:tcPr>
          <w:p>
            <w:pPr>
              <w:spacing w:after="60" w:line="276" w:lineRule="auto"/>
            </w:pPr>
            <w:r>
              <w:rPr>
                <w:rFonts w:ascii="Times New Roman" w:hAnsi="Times New Roman" w:eastAsia="宋体"/>
                <w:b w:val="0"/>
                <w:sz w:val="19"/>
              </w:rPr>
              <w:t>full／most：0；partial：2；minimal：3</w:t>
            </w:r>
          </w:p>
        </w:tc>
      </w:tr>
      <w:tr>
        <w:trPr>
          <w:cantSplit/>
        </w:trPr>
        <w:tc>
          <w:tcPr>
            <w:tcW w:type="dxa" w:w="4819"/>
          </w:tcPr>
          <w:p>
            <w:pPr>
              <w:spacing w:after="60" w:line="276" w:lineRule="auto"/>
            </w:pPr>
            <w:r>
              <w:rPr>
                <w:rFonts w:ascii="Times New Roman" w:hAnsi="Times New Roman" w:eastAsia="宋体"/>
                <w:b w:val="0"/>
                <w:sz w:val="19"/>
              </w:rPr>
              <w:t>遮挡程度</w:t>
            </w:r>
          </w:p>
        </w:tc>
        <w:tc>
          <w:tcPr>
            <w:tcW w:type="dxa" w:w="4819"/>
          </w:tcPr>
          <w:p>
            <w:pPr>
              <w:spacing w:after="60" w:line="276" w:lineRule="auto"/>
            </w:pPr>
            <w:r>
              <w:rPr>
                <w:rFonts w:ascii="Times New Roman" w:hAnsi="Times New Roman" w:eastAsia="宋体"/>
                <w:b w:val="0"/>
                <w:sz w:val="19"/>
              </w:rPr>
              <w:t>none：0；light：1；moderate：2；heavy：3</w:t>
            </w:r>
          </w:p>
        </w:tc>
      </w:tr>
      <w:tr>
        <w:trPr>
          <w:cantSplit/>
        </w:trPr>
        <w:tc>
          <w:tcPr>
            <w:tcW w:type="dxa" w:w="4819"/>
          </w:tcPr>
          <w:p>
            <w:pPr>
              <w:spacing w:after="60" w:line="276" w:lineRule="auto"/>
            </w:pPr>
            <w:r>
              <w:rPr>
                <w:rFonts w:ascii="Times New Roman" w:hAnsi="Times New Roman" w:eastAsia="宋体"/>
                <w:b w:val="0"/>
                <w:sz w:val="19"/>
              </w:rPr>
              <w:t>截断程度</w:t>
            </w:r>
          </w:p>
        </w:tc>
        <w:tc>
          <w:tcPr>
            <w:tcW w:type="dxa" w:w="4819"/>
          </w:tcPr>
          <w:p>
            <w:pPr>
              <w:spacing w:after="60" w:line="276" w:lineRule="auto"/>
            </w:pPr>
            <w:r>
              <w:rPr>
                <w:rFonts w:ascii="Times New Roman" w:hAnsi="Times New Roman" w:eastAsia="宋体"/>
                <w:b w:val="0"/>
                <w:sz w:val="19"/>
              </w:rPr>
              <w:t>none：0；light：0.5；moderate：1；heavy：2</w:t>
            </w:r>
          </w:p>
        </w:tc>
      </w:tr>
      <w:tr>
        <w:trPr>
          <w:cantSplit/>
        </w:trPr>
        <w:tc>
          <w:tcPr>
            <w:tcW w:type="dxa" w:w="4819"/>
          </w:tcPr>
          <w:p>
            <w:pPr>
              <w:spacing w:after="60" w:line="276" w:lineRule="auto"/>
            </w:pPr>
            <w:r>
              <w:rPr>
                <w:rFonts w:ascii="Times New Roman" w:hAnsi="Times New Roman" w:eastAsia="宋体"/>
                <w:b w:val="0"/>
                <w:sz w:val="19"/>
              </w:rPr>
              <w:t>身体朝向</w:t>
            </w:r>
          </w:p>
        </w:tc>
        <w:tc>
          <w:tcPr>
            <w:tcW w:type="dxa" w:w="4819"/>
          </w:tcPr>
          <w:p>
            <w:pPr>
              <w:spacing w:after="60" w:line="276" w:lineRule="auto"/>
            </w:pPr>
            <w:r>
              <w:rPr>
                <w:rFonts w:ascii="Times New Roman" w:hAnsi="Times New Roman" w:eastAsia="宋体"/>
                <w:b w:val="0"/>
                <w:sz w:val="19"/>
              </w:rPr>
              <w:t>front／left_side／right_side／three_quarter：0；back：1；overhead_or_unusual：2</w:t>
            </w:r>
          </w:p>
        </w:tc>
      </w:tr>
    </w:tbl>
    <w:p>
      <w:pPr>
        <w:spacing w:after="0"/>
      </w:pPr>
    </w:p>
    <w:p>
      <w:pPr>
        <w:keepLines/>
        <w:spacing w:line="312" w:lineRule="auto" w:after="100"/>
      </w:pPr>
      <w:r>
        <w:rPr>
          <w:rFonts w:ascii="Times New Roman" w:hAnsi="Times New Roman" w:eastAsia="宋体"/>
          <w:b w:val="0"/>
          <w:sz w:val="18"/>
        </w:rPr>
        <w:t>表1　预定义风险映射。五项分值相加后的范围为0—13；a为目标框面积与原始图像面积之比。</w:t>
      </w:r>
    </w:p>
    <w:p>
      <w:pPr>
        <w:keepLines/>
        <w:spacing w:line="312" w:lineRule="auto" w:after="100"/>
        <w:ind w:firstLine="425"/>
      </w:pPr>
      <w:r>
        <w:rPr>
          <w:rFonts w:ascii="Times New Roman" w:hAnsi="Times New Roman" w:eastAsia="宋体"/>
          <w:b w:val="0"/>
          <w:sz w:val="22"/>
        </w:rPr>
        <w:t>当某维度为unknown时，主分析使用该维度最大分值的一半，并记录未知维数；以零值和最大值重新评分、分层，作为未知处理的敏感性分析。未知状态仍不计入覆盖，这与风险评分中的不确定性处理承担不同作用。</w:t>
      </w:r>
    </w:p>
    <w:p>
      <w:pPr>
        <w:pStyle w:val="Heading2"/>
        <w:spacing w:before="180" w:after="100"/>
      </w:pPr>
      <w:r>
        <w:t>3.4.2 类别内分层与风险混合</w:t>
      </w:r>
    </w:p>
    <w:p>
      <w:pPr>
        <w:keepLines/>
        <w:spacing w:line="312" w:lineRule="auto" w:after="100"/>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pPr>
        <w:keepNext/>
        <w:keepLines/>
        <w:spacing w:line="312" w:lineRule="auto" w:after="100"/>
        <w:ind w:firstLine="425"/>
      </w:pPr>
      <w:r>
        <w:rPr>
          <w:rFonts w:ascii="Times New Roman" w:hAnsi="Times New Roman" w:eastAsia="宋体"/>
          <w:b w:val="0"/>
          <w:sz w:val="22"/>
        </w:rPr>
        <w:t>为考察测试构成对测得性能的影响，对每个类别保留相同目标数量</w:t>
      </w:r>
      <m:oMath>
        <m:r>
          <w:rPr>
            <w:rFonts w:ascii="Cambria Math" w:hAnsi="Cambria Math"/>
            <w:sz w:val="22"/>
          </w:rPr>
          <m:t xml:space="preserve">m</m:t>
        </m:r>
      </m:oMath>
      <w:r>
        <w:rPr>
          <w:rFonts w:ascii="Times New Roman" w:hAnsi="Times New Roman" w:eastAsia="宋体"/>
          <w:b w:val="0"/>
          <w:sz w:val="22"/>
        </w:rPr>
        <w:t>，并调节高风险占比</w:t>
      </w:r>
      <m:oMath>
        <m:r>
          <w:rPr>
            <w:rFonts w:ascii="Cambria Math" w:hAnsi="Cambria Math"/>
            <w:sz w:val="22"/>
          </w:rPr>
          <m:t xml:space="preserve">ρ</m:t>
        </m:r>
      </m:oMath>
      <w:r>
        <w:rPr>
          <w:rFonts w:ascii="Times New Roman" w:hAnsi="Times New Roman" w:eastAsia="宋体"/>
          <w:b w:val="0"/>
          <w:sz w:val="22"/>
        </w:rPr>
        <w:t>。历史主协议从Q5抽取</w:t>
      </w:r>
      <m:oMath>
        <m:r>
          <w:rPr>
            <w:rFonts w:ascii="Cambria Math" w:hAnsi="Cambria Math"/>
            <w:sz w:val="22"/>
          </w:rPr>
          <m:t xml:space="preserve">ρm</m:t>
        </m:r>
      </m:oMath>
      <w:r>
        <w:rPr>
          <w:rFonts w:ascii="Times New Roman" w:hAnsi="Times New Roman" w:eastAsia="宋体"/>
          <w:b w:val="0"/>
          <w:sz w:val="22"/>
        </w:rPr>
        <w:t>个目标，从Q1至Q4的并集抽取其余目标：</w:t>
      </w:r>
    </w:p>
    <w:p>
      <w:pPr>
        <w:spacing w:before="80" w:after="140"/>
        <w:jc w:val="center"/>
      </w:pPr>
      <m:oMathPara>
        <m:oMath>
          <m:sSubSup>
            <m:e>
              <m:r>
                <w:rPr>
                  <w:rFonts w:ascii="Cambria Math" w:hAnsi="Cambria Math"/>
                  <w:sz w:val="22"/>
                </w:rPr>
                <m:t xml:space="preserve">T</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ρ</m:t>
              </m:r>
            </m:e>
          </m:d>
          <m:r>
            <w:rPr>
              <w:rFonts w:ascii="Cambria Math" w:hAnsi="Cambria Math"/>
              <w:sz w:val="22"/>
            </w:rPr>
            <m:t xml:space="preserve">=</m:t>
          </m:r>
          <m:r>
            <m:rPr>
              <m:sty m:val="p"/>
            </m:rPr>
            <w:rPr>
              <w:rFonts w:ascii="Cambria Math" w:hAnsi="Cambria Math"/>
              <w:sz w:val="22"/>
            </w:rPr>
            <m:t xml:space="preserve">Sample</m:t>
          </m:r>
          <m:d>
            <m:dPr>
              <m:begChr m:val="("/>
              <m:endChr m:val=")"/>
            </m:dPr>
            <m:e>
              <m:sSubSup>
                <m:e>
                  <m:r>
                    <w:rPr>
                      <w:rFonts w:ascii="Cambria Math" w:hAnsi="Cambria Math"/>
                      <w:sz w:val="22"/>
                    </w:rPr>
                    <m:t xml:space="preserve">Q</m:t>
                  </m:r>
                </m:e>
                <m:sub>
                  <m:r>
                    <w:rPr>
                      <w:rFonts w:ascii="Cambria Math" w:hAnsi="Cambria Math"/>
                      <w:sz w:val="22"/>
                    </w:rPr>
                    <m:t xml:space="preserve">c,5</m:t>
                  </m:r>
                </m:sub>
                <m:sup>
                  <m:r>
                    <w:rPr>
                      <w:rFonts w:ascii="Cambria Math" w:hAnsi="Cambria Math"/>
                      <w:sz w:val="22"/>
                    </w:rPr>
                    <m:t xml:space="preserve">(r)</m:t>
                  </m:r>
                </m:sup>
              </m:sSubSup>
              <m:r>
                <w:rPr>
                  <w:rFonts w:ascii="Cambria Math" w:hAnsi="Cambria Math"/>
                  <w:sz w:val="22"/>
                </w:rPr>
                <m:t xml:space="preserve">,ρm</m:t>
              </m:r>
            </m:e>
          </m:d>
          <m:r>
            <w:rPr>
              <w:rFonts w:ascii="Cambria Math" w:hAnsi="Cambria Math"/>
              <w:sz w:val="22"/>
            </w:rPr>
            <m:t xml:space="preserve">∪</m:t>
          </m:r>
          <m:r>
            <m:rPr>
              <m:sty m:val="p"/>
            </m:rPr>
            <w:rPr>
              <w:rFonts w:ascii="Cambria Math" w:hAnsi="Cambria Math"/>
              <w:sz w:val="22"/>
            </w:rPr>
            <m:t xml:space="preserve">Sample</m:t>
          </m:r>
          <m:d>
            <m:dPr>
              <m:begChr m:val="("/>
              <m:endChr m:val=")"/>
            </m:dPr>
            <m:e>
              <m:nary>
                <m:naryPr>
                  <m:chr m:val="⋃"/>
                  <m:limLoc m:val="undOvr"/>
                  <m:subHide m:val="0"/>
                  <m:supHide m:val="0"/>
                </m:naryPr>
                <m:sub>
                  <m:r>
                    <w:rPr>
                      <w:rFonts w:ascii="Cambria Math" w:hAnsi="Cambria Math"/>
                      <w:sz w:val="22"/>
                    </w:rPr>
                    <m:t xml:space="preserve">ℓ=1</m:t>
                  </m:r>
                </m:sub>
                <m:sup>
                  <m:r>
                    <w:rPr>
                      <w:rFonts w:ascii="Cambria Math" w:hAnsi="Cambria Math"/>
                      <w:sz w:val="22"/>
                    </w:rPr>
                    <m:t xml:space="preserve">4</m:t>
                  </m:r>
                </m:sup>
                <m:e>
                  <m:sSubSup>
                    <m:e>
                      <m:r>
                        <w:rPr>
                          <w:rFonts w:ascii="Cambria Math" w:hAnsi="Cambria Math"/>
                          <w:sz w:val="22"/>
                        </w:rPr>
                        <m:t xml:space="preserve">Q</m:t>
                      </m:r>
                    </m:e>
                    <m:sub>
                      <m:r>
                        <w:rPr>
                          <w:rFonts w:ascii="Cambria Math" w:hAnsi="Cambria Math"/>
                          <w:sz w:val="22"/>
                        </w:rPr>
                        <m:t xml:space="preserve">c,ℓ</m:t>
                      </m:r>
                    </m:sub>
                    <m:sup>
                      <m:r>
                        <w:rPr>
                          <w:rFonts w:ascii="Cambria Math" w:hAnsi="Cambria Math"/>
                          <w:sz w:val="22"/>
                        </w:rPr>
                        <m:t xml:space="preserve">(r)</m:t>
                      </m:r>
                    </m:sup>
                  </m:sSubSup>
                </m:e>
              </m:nary>
              <m:r>
                <w:rPr>
                  <w:rFonts w:ascii="Cambria Math" w:hAnsi="Cambria Math"/>
                  <w:sz w:val="22"/>
                </w:rPr>
                <m:t xml:space="preserve">,</m:t>
              </m:r>
              <m:d>
                <m:dPr>
                  <m:begChr m:val="("/>
                  <m:endChr m:val=")"/>
                </m:dPr>
                <m:e>
                  <m:r>
                    <w:rPr>
                      <w:rFonts w:ascii="Cambria Math" w:hAnsi="Cambria Math"/>
                      <w:sz w:val="22"/>
                    </w:rPr>
                    <m:t xml:space="preserve">1−ρ</m:t>
                  </m:r>
                </m:e>
              </m:d>
              <m:r>
                <w:rPr>
                  <w:rFonts w:ascii="Cambria Math" w:hAnsi="Cambria Math"/>
                  <w:sz w:val="22"/>
                </w:rPr>
                <m:t xml:space="preserve">m</m:t>
              </m:r>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Sample表示无放回抽样，</w:t>
      </w:r>
      <m:oMath>
        <m:r>
          <w:rPr>
            <w:rFonts w:ascii="Cambria Math" w:hAnsi="Cambria Math"/>
            <w:sz w:val="22"/>
          </w:rPr>
          <m:t xml:space="preserve">ρ</m:t>
        </m:r>
      </m:oMath>
      <w:r>
        <w:rPr>
          <w:rFonts w:ascii="Times New Roman" w:hAnsi="Times New Roman" w:eastAsia="宋体"/>
          <w:b w:val="0"/>
          <w:sz w:val="22"/>
        </w:rPr>
        <w:t>取能够产生整数样本数且不超出各层容量的值。将各类别目标合并为测试集</w:t>
      </w:r>
      <m:oMath>
        <m:sSup>
          <m:e>
            <m:r>
              <w:rPr>
                <w:rFonts w:ascii="Cambria Math" w:hAnsi="Cambria Math"/>
                <w:sz w:val="22"/>
              </w:rPr>
              <m:t xml:space="preserve">T</m:t>
            </m:r>
          </m:e>
          <m:sup>
            <m:r>
              <w:rPr>
                <w:rFonts w:ascii="Cambria Math" w:hAnsi="Cambria Math"/>
                <w:sz w:val="22"/>
              </w:rPr>
              <m:t xml:space="preserve">(r)</m:t>
            </m:r>
          </m:sup>
        </m:sSup>
        <m:d>
          <m:dPr>
            <m:begChr m:val="("/>
            <m:endChr m:val=")"/>
          </m:dPr>
          <m:e>
            <m:r>
              <w:rPr>
                <w:rFonts w:ascii="Cambria Math" w:hAnsi="Cambria Math"/>
                <w:sz w:val="22"/>
              </w:rPr>
              <m:t xml:space="preserve">ρ</m:t>
            </m:r>
          </m:e>
        </m:d>
      </m:oMath>
      <w:r>
        <w:rPr>
          <w:rFonts w:ascii="Times New Roman" w:hAnsi="Times New Roman" w:eastAsia="宋体"/>
          <w:b w:val="0"/>
          <w:sz w:val="22"/>
        </w:rPr>
        <w:t>，使测试总量</w:t>
      </w:r>
      <m:oMath>
        <m:r>
          <w:rPr>
            <w:rFonts w:ascii="Cambria Math" w:hAnsi="Cambria Math"/>
            <w:sz w:val="22"/>
          </w:rPr>
          <m:t xml:space="preserve">Km</m:t>
        </m:r>
      </m:oMath>
      <w:r>
        <w:rPr>
          <w:rFonts w:ascii="Times New Roman" w:hAnsi="Times New Roman" w:eastAsia="宋体"/>
          <w:b w:val="0"/>
          <w:sz w:val="22"/>
        </w:rPr>
        <w:t>和类别比例保持一致。对各比例重复抽样，比较同一模型的性能及排名响应。近期模型扩展采用Q1与Q5混合，作为另行说明的协议变体，不与历史Q1—Q4／Q5混合直接混称。</w:t>
      </w:r>
    </w:p>
    <w:p>
      <w:pPr>
        <w:keepLines/>
        <w:spacing w:line="312" w:lineRule="auto" w:after="100"/>
        <w:ind w:firstLine="425"/>
      </w:pPr>
      <w:r>
        <w:rPr>
          <w:rFonts w:ascii="Times New Roman" w:hAnsi="Times New Roman" w:eastAsia="宋体"/>
          <w:b w:val="0"/>
          <w:sz w:val="22"/>
        </w:rPr>
        <w:t>覆盖度量与风险评分不构成递进关系：前者描述状态支持，后者组织视觉条件。提高覆盖不预设提高风险，风险增大也不预设所有相邻层的实测表现严格递减。</w:t>
      </w:r>
    </w:p>
    <w:p>
      <w:pPr>
        <w:pStyle w:val="Heading1"/>
        <w:spacing w:before="180" w:after="100"/>
      </w:pPr>
      <w:r>
        <w:t>3.5 视觉条件评价与失败信息广度</w:t>
      </w:r>
    </w:p>
    <w:p>
      <w:pPr>
        <w:pStyle w:val="Heading2"/>
        <w:spacing w:before="180" w:after="100"/>
      </w:pPr>
      <w:r>
        <w:t>3.5.1 整体与状态条件表现</w:t>
      </w:r>
    </w:p>
    <w:p>
      <w:pPr>
        <w:keepLines/>
        <w:spacing w:line="312" w:lineRule="auto" w:after="100"/>
        <w:ind w:firstLine="425"/>
      </w:pPr>
      <w:r>
        <w:rPr>
          <w:rFonts w:ascii="Times New Roman" w:hAnsi="Times New Roman" w:eastAsia="宋体"/>
          <w:b w:val="0"/>
          <w:sz w:val="22"/>
        </w:rPr>
        <w:t>被测分类器对目标裁剪图输出类别预测</w:t>
      </w:r>
      <m:oMath>
        <m:sSub>
          <m:e>
            <m:acc>
              <m:accPr>
                <m:chr m:val="̂"/>
              </m:accPr>
              <m:e>
                <m:r>
                  <w:rPr>
                    <w:rFonts w:ascii="Cambria Math" w:hAnsi="Cambria Math"/>
                    <w:sz w:val="22"/>
                  </w:rPr>
                  <m:t xml:space="preserve">y</m:t>
                </m:r>
              </m:e>
            </m:acc>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f</m:t>
            </m:r>
          </m:e>
          <m:sub>
            <m:r>
              <w:rPr>
                <w:rFonts w:ascii="Cambria Math" w:hAnsi="Cambria Math"/>
                <w:sz w:val="22"/>
              </w:rPr>
              <m:t xml:space="preserve">θ</m:t>
            </m:r>
          </m:sub>
        </m:sSub>
        <m:d>
          <m:dPr>
            <m:begChr m:val="("/>
            <m:endChr m:val=")"/>
          </m:dPr>
          <m:e>
            <m:sSub>
              <m:e>
                <m:r>
                  <w:rPr>
                    <w:rFonts w:ascii="Cambria Math" w:hAnsi="Cambria Math"/>
                    <w:sz w:val="22"/>
                  </w:rPr>
                  <m:t xml:space="preserve">x</m:t>
                </m:r>
              </m:e>
              <m:sub>
                <m:r>
                  <w:rPr>
                    <w:rFonts w:ascii="Cambria Math" w:hAnsi="Cambria Math"/>
                    <w:sz w:val="22"/>
                  </w:rPr>
                  <m:t xml:space="preserve">i</m:t>
                </m:r>
              </m:sub>
            </m:sSub>
          </m:e>
        </m:d>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pPr>
        <w:keepNext/>
        <w:keepLines/>
        <w:spacing w:line="312" w:lineRule="auto" w:after="100"/>
        <w:ind w:firstLine="425"/>
      </w:pPr>
      <w:r>
        <w:rPr>
          <w:rFonts w:ascii="Times New Roman" w:hAnsi="Times New Roman" w:eastAsia="宋体"/>
          <w:b w:val="0"/>
          <w:sz w:val="22"/>
        </w:rPr>
        <w:t>进一步在真实类别</w:t>
      </w:r>
      <m:oMath>
        <m:r>
          <w:rPr>
            <w:rFonts w:ascii="Cambria Math" w:hAnsi="Cambria Math"/>
            <w:sz w:val="22"/>
          </w:rPr>
          <m:t xml:space="preserve">c</m:t>
        </m:r>
      </m:oMath>
      <w:r>
        <w:rPr>
          <w:rFonts w:ascii="Times New Roman" w:hAnsi="Times New Roman" w:eastAsia="宋体"/>
          <w:b w:val="0"/>
          <w:sz w:val="22"/>
        </w:rPr>
        <w:t>内，统计状态</w:t>
      </w:r>
      <m:oMath>
        <m:r>
          <w:rPr>
            <w:rFonts w:ascii="Cambria Math" w:hAnsi="Cambria Math"/>
            <w:sz w:val="22"/>
          </w:rPr>
          <m:t xml:space="preserve">s</m:t>
        </m:r>
      </m:oMath>
      <w:r>
        <w:rPr>
          <w:rFonts w:ascii="Times New Roman" w:hAnsi="Times New Roman" w:eastAsia="宋体"/>
          <w:b w:val="0"/>
          <w:sz w:val="22"/>
        </w:rPr>
        <w:t>的条件Recall：</w:t>
      </w:r>
    </w:p>
    <w:p>
      <w:pPr>
        <w:spacing w:before="80" w:after="140"/>
        <w:jc w:val="center"/>
      </w:pPr>
      <m:oMathPara>
        <m:oMath>
          <m:sSubSup>
            <m:e>
              <m:r>
                <m:rPr>
                  <m:sty m:val="p"/>
                </m:rPr>
                <w:rPr>
                  <w:rFonts w:ascii="Cambria Math" w:hAnsi="Cambria Math"/>
                  <w:sz w:val="22"/>
                </w:rPr>
                <m:t xml:space="preserve">Rec</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f>
            <m:num>
              <m:nary>
                <m:naryPr>
                  <m:chr m:val="∑"/>
                  <m:limLoc m:val="undOvr"/>
                  <m:subHide m:val="0"/>
                  <m:supHide m:val="1"/>
                </m:naryPr>
                <m:sub>
                  <m:r>
                    <w:rPr>
                      <w:rFonts w:ascii="Cambria Math" w:hAnsi="Cambria Math"/>
                      <w:sz w:val="22"/>
                    </w:rPr>
                    <m:t xml:space="preserve">i∈T</m:t>
                  </m:r>
                </m:sub>
                <m:sup/>
                <m:e>
                  <m:r>
                    <m:rPr>
                      <m:sty m:val="p"/>
                    </m:rPr>
                    <w:rPr>
                      <w:rFonts w:ascii="Cambria Math" w:hAnsi="Cambria Math"/>
                      <w:sz w:val="22"/>
                    </w:rPr>
                    <m:t xml:space="preserve">1</m:t>
                  </m:r>
                  <m:d>
                    <m:dPr>
                      <m:begChr m:val="["/>
                      <m:endChr m:val="]"/>
                    </m:dPr>
                    <m:e>
                      <m:sSub>
                        <m:e>
                          <m:r>
                            <w:rPr>
                              <w:rFonts w:ascii="Cambria Math" w:hAnsi="Cambria Math"/>
                              <w:sz w:val="22"/>
                            </w:rPr>
                            <m:t xml:space="preserve">y</m:t>
                          </m:r>
                        </m:e>
                        <m:sub>
                          <m:r>
                            <w:rPr>
                              <w:rFonts w:ascii="Cambria Math" w:hAnsi="Cambria Math"/>
                              <w:sz w:val="22"/>
                            </w:rPr>
                            <m:t xml:space="preserve">i</m:t>
                          </m:r>
                        </m:sub>
                      </m:sSub>
                      <m:r>
                        <w:rPr>
                          <w:rFonts w:ascii="Cambria Math" w:hAnsi="Cambria Math"/>
                          <w:sz w:val="22"/>
                        </w:rPr>
                        <m:t xml:space="preserve">=c</m:t>
                      </m:r>
                    </m:e>
                  </m:d>
                  <m:r>
                    <m:rPr>
                      <m:sty m:val="p"/>
                    </m:rPr>
                    <w:rPr>
                      <w:rFonts w:ascii="Cambria Math" w:hAnsi="Cambria Math"/>
                      <w:sz w:val="22"/>
                    </w:rPr>
                    <m:t xml:space="preserve">1</m:t>
                  </m:r>
                  <m:d>
                    <m:dPr>
                      <m:begChr m:val="["/>
                      <m:endChr m:val="]"/>
                    </m:dPr>
                    <m:e>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e>
                  </m:d>
                  <m:r>
                    <m:rPr>
                      <m:sty m:val="p"/>
                    </m:rPr>
                    <w:rPr>
                      <w:rFonts w:ascii="Cambria Math" w:hAnsi="Cambria Math"/>
                      <w:sz w:val="22"/>
                    </w:rPr>
                    <m:t xml:space="preserve">1</m:t>
                  </m:r>
                  <m:d>
                    <m:dPr>
                      <m:begChr m:val="["/>
                      <m:endChr m:val="]"/>
                    </m:dPr>
                    <m:e>
                      <m:sSub>
                        <m:e>
                          <m:acc>
                            <m:accPr>
                              <m:chr m:val="̂"/>
                            </m:accPr>
                            <m:e>
                              <m:r>
                                <w:rPr>
                                  <w:rFonts w:ascii="Cambria Math" w:hAnsi="Cambria Math"/>
                                  <w:sz w:val="22"/>
                                </w:rPr>
                                <m:t xml:space="preserve">y</m:t>
                              </m:r>
                            </m:e>
                          </m:acc>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y</m:t>
                          </m:r>
                        </m:e>
                        <m:sub>
                          <m:r>
                            <w:rPr>
                              <w:rFonts w:ascii="Cambria Math" w:hAnsi="Cambria Math"/>
                              <w:sz w:val="22"/>
                            </w:rPr>
                            <m:t xml:space="preserve">i</m:t>
                          </m:r>
                        </m:sub>
                      </m:sSub>
                    </m:e>
                  </m:d>
                </m:e>
              </m:nary>
            </m:num>
            <m:den>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den>
          </m:f>
          <m:r>
            <w:rPr>
              <w:rFonts w:ascii="Cambria Math" w:hAnsi="Cambria Math"/>
              <w:sz w:val="22"/>
            </w:rPr>
            <m:t xml:space="preserve">.</m:t>
          </m:r>
        </m:oMath>
      </m:oMathPara>
    </w:p>
    <w:p>
      <w:pPr>
        <w:keepNext/>
        <w:keepLines/>
        <w:spacing w:line="312" w:lineRule="auto" w:after="100"/>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pPr>
        <w:spacing w:before="80" w:after="140"/>
        <w:jc w:val="center"/>
      </w:pPr>
      <m:oMathPara>
        <m:oMath>
          <m:sSubSup>
            <m:e>
              <m:r>
                <w:rPr>
                  <w:rFonts w:ascii="Cambria Math" w:hAnsi="Cambria Math"/>
                  <w:sz w:val="22"/>
                </w:rPr>
                <m:t xml:space="preserve">Δ</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sSubSup>
            <m:e>
              <m:r>
                <m:rPr>
                  <m:sty m:val="p"/>
                </m:rPr>
                <w:rPr>
                  <w:rFonts w:ascii="Cambria Math" w:hAnsi="Cambria Math"/>
                  <w:sz w:val="22"/>
                </w:rPr>
                <m:t xml:space="preserve">Rec</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sSub>
            <m:e>
              <m:r>
                <m:rPr>
                  <m:sty m:val="p"/>
                </m:rPr>
                <w:rPr>
                  <w:rFonts w:ascii="Cambria Math" w:hAnsi="Cambria Math"/>
                  <w:sz w:val="22"/>
                </w:rPr>
                <m:t xml:space="preserve">Rec</m:t>
              </m:r>
            </m:e>
            <m:sub>
              <m:r>
                <w:rPr>
                  <w:rFonts w:ascii="Cambria Math" w:hAnsi="Cambria Math"/>
                  <w:sz w:val="22"/>
                </w:rPr>
                <m:t xml:space="preserve">c</m:t>
              </m:r>
            </m:sub>
          </m:sSub>
          <m:d>
            <m:dPr>
              <m:begChr m:val="("/>
              <m:endChr m:val=")"/>
            </m:dPr>
            <m:e>
              <m:r>
                <w:rPr>
                  <w:rFonts w:ascii="Cambria Math" w:hAnsi="Cambria Math"/>
                  <w:sz w:val="22"/>
                </w:rPr>
                <m:t xml:space="preserve">T</m:t>
              </m:r>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pPr>
        <w:pStyle w:val="Heading2"/>
        <w:spacing w:before="180" w:after="100"/>
      </w:pPr>
      <w:r>
        <w:t>3.5.2 错误数量与失败信息的区分</w:t>
      </w:r>
    </w:p>
    <w:p>
      <w:pPr>
        <w:keepLines/>
        <w:spacing w:line="312" w:lineRule="auto" w:after="100"/>
        <w:ind w:firstLine="425"/>
      </w:pPr>
      <w:r>
        <w:rPr>
          <w:rFonts w:ascii="Times New Roman" w:hAnsi="Times New Roman" w:eastAsia="宋体"/>
          <w:b w:val="0"/>
          <w:sz w:val="22"/>
        </w:rPr>
        <w:t>对选样结果分别统计错误所涉及的视觉状态、真实类别与错误预测类别形成的混淆类型，以及错误目标的表征簇。表征簇描述错误目标的表征多样性，不作为独立缺陷根因的数量。</w:t>
      </w:r>
    </w:p>
    <w:p>
      <w:pPr>
        <w:keepNext/>
        <w:keepLines/>
        <w:spacing w:line="312" w:lineRule="auto" w:after="100"/>
        <w:ind w:firstLine="425"/>
      </w:pPr>
      <w:r>
        <w:rPr>
          <w:rFonts w:ascii="Times New Roman" w:hAnsi="Times New Roman" w:eastAsia="宋体"/>
          <w:b w:val="0"/>
          <w:sz w:val="22"/>
        </w:rPr>
        <w:t>为比较相同错误数量下的信息广度，在每个真实类别中取两种方法错误数的较小值</w:t>
      </w:r>
      <m:oMath>
        <m:r>
          <w:rPr>
            <w:rFonts w:ascii="Cambria Math" w:hAnsi="Cambria Math"/>
            <w:sz w:val="22"/>
          </w:rPr>
          <m:t xml:space="preserve">q</m:t>
        </m:r>
      </m:oMath>
      <w:r>
        <w:rPr>
          <w:rFonts w:ascii="Times New Roman" w:hAnsi="Times New Roman" w:eastAsia="宋体"/>
          <w:b w:val="0"/>
          <w:sz w:val="22"/>
        </w:rPr>
        <w:t>。设某方法共有</w:t>
      </w:r>
      <m:oMath>
        <m:r>
          <w:rPr>
            <w:rFonts w:ascii="Cambria Math" w:hAnsi="Cambria Math"/>
            <w:sz w:val="22"/>
          </w:rPr>
          <m:t xml:space="preserve">N</m:t>
        </m:r>
      </m:oMath>
      <w:r>
        <w:rPr>
          <w:rFonts w:ascii="Times New Roman" w:hAnsi="Times New Roman" w:eastAsia="宋体"/>
          <w:b w:val="0"/>
          <w:sz w:val="22"/>
        </w:rPr>
        <w:t>个错误，其中一种失败类型出现</w:t>
      </w:r>
      <m:oMath>
        <m:r>
          <w:rPr>
            <w:rFonts w:ascii="Cambria Math" w:hAnsi="Cambria Math"/>
            <w:sz w:val="22"/>
          </w:rPr>
          <m:t xml:space="preserve">e</m:t>
        </m:r>
      </m:oMath>
      <w:r>
        <w:rPr>
          <w:rFonts w:ascii="Times New Roman" w:hAnsi="Times New Roman" w:eastAsia="宋体"/>
          <w:b w:val="0"/>
          <w:sz w:val="22"/>
        </w:rPr>
        <w:t>次，则无放回抽取</w:t>
      </w:r>
      <m:oMath>
        <m:r>
          <w:rPr>
            <w:rFonts w:ascii="Cambria Math" w:hAnsi="Cambria Math"/>
            <w:sz w:val="22"/>
          </w:rPr>
          <m:t xml:space="preserve">q</m:t>
        </m:r>
      </m:oMath>
      <w:r>
        <w:rPr>
          <w:rFonts w:ascii="Times New Roman" w:hAnsi="Times New Roman" w:eastAsia="宋体"/>
          <w:b w:val="0"/>
          <w:sz w:val="22"/>
        </w:rPr>
        <w:t>个错误后观察到该类型的期望贡献为：</w:t>
      </w:r>
    </w:p>
    <w:p>
      <w:pPr>
        <w:spacing w:before="80" w:after="140"/>
        <w:jc w:val="center"/>
      </w:pPr>
      <m:oMathPara>
        <m:oMath>
          <m:r>
            <w:rPr>
              <w:rFonts w:ascii="Cambria Math" w:hAnsi="Cambria Math"/>
              <w:sz w:val="22"/>
            </w:rPr>
            <m:t xml:space="preserve">𝔼</m:t>
          </m:r>
          <m:d>
            <m:dPr>
              <m:begChr m:val="["/>
              <m:endChr m:val="]"/>
            </m:dPr>
            <m:e>
              <m:r>
                <m:rPr>
                  <m:sty m:val="p"/>
                </m:rPr>
                <w:rPr>
                  <w:rFonts w:ascii="Cambria Math" w:hAnsi="Cambria Math"/>
                  <w:sz w:val="22"/>
                </w:rPr>
                <m:t xml:space="preserve">1</m:t>
              </m:r>
              <m:d>
                <m:dPr>
                  <m:begChr m:val="("/>
                  <m:endChr m:val=")"/>
                </m:dPr>
                <m:e>
                  <m:r>
                    <m:rPr>
                      <m:sty m:val="p"/>
                    </m:rPr>
                    <w:rPr>
                      <w:rFonts w:ascii="Cambria Math" w:hAnsi="Cambria Math"/>
                      <w:sz w:val="22"/>
                    </w:rPr>
                    <m:t xml:space="preserve">type observed</m:t>
                  </m:r>
                </m:e>
              </m:d>
            </m:e>
          </m:d>
          <m:r>
            <w:rPr>
              <w:rFonts w:ascii="Cambria Math" w:hAnsi="Cambria Math"/>
              <w:sz w:val="22"/>
            </w:rPr>
            <m:t xml:space="preserve">=1−</m:t>
          </m:r>
          <m:f>
            <m:num>
              <m:d>
                <m:dPr>
                  <m:begChr m:val="("/>
                  <m:endChr m:val=")"/>
                </m:dPr>
                <m:e>
                  <m:f>
                    <m:fPr>
                      <m:type m:val="noBar"/>
                    </m:fPr>
                    <m:num>
                      <m:r>
                        <w:rPr>
                          <w:rFonts w:ascii="Cambria Math" w:hAnsi="Cambria Math"/>
                          <w:sz w:val="22"/>
                        </w:rPr>
                        <m:t xml:space="preserve">N−e</m:t>
                      </m:r>
                    </m:num>
                    <m:den>
                      <m:r>
                        <w:rPr>
                          <w:rFonts w:ascii="Cambria Math" w:hAnsi="Cambria Math"/>
                          <w:sz w:val="22"/>
                        </w:rPr>
                        <m:t xml:space="preserve">q</m:t>
                      </m:r>
                    </m:den>
                  </m:f>
                </m:e>
              </m:d>
            </m:num>
            <m:den>
              <m:d>
                <m:dPr>
                  <m:begChr m:val="("/>
                  <m:endChr m:val=")"/>
                </m:dPr>
                <m:e>
                  <m:f>
                    <m:fPr>
                      <m:type m:val="noBar"/>
                    </m:fPr>
                    <m:num>
                      <m:r>
                        <w:rPr>
                          <w:rFonts w:ascii="Cambria Math" w:hAnsi="Cambria Math"/>
                          <w:sz w:val="22"/>
                        </w:rPr>
                        <m:t xml:space="preserve">N</m:t>
                      </m:r>
                    </m:num>
                    <m:den>
                      <m:r>
                        <w:rPr>
                          <w:rFonts w:ascii="Cambria Math" w:hAnsi="Cambria Math"/>
                          <w:sz w:val="22"/>
                        </w:rPr>
                        <m:t xml:space="preserve">q</m:t>
                      </m:r>
                    </m:den>
                  </m:f>
                </m:e>
              </m:d>
            </m:den>
          </m:f>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对各类型贡献求和并按相应类型集合大小归一化，再进行类别宏平均。无错误时该广度贡献记为零。不同选样规模下的曲线可通过归一化面积汇总；此面积是测试规模曲线的统计量，不是ROC-AUC或分类性能提升。</w:t>
      </w:r>
    </w:p>
    <w:p>
      <w:pPr>
        <w:keepLines/>
        <w:spacing w:line="312" w:lineRule="auto" w:after="100"/>
        <w:ind w:firstLine="425"/>
      </w:pPr>
      <w:r>
        <w:rPr>
          <w:rFonts w:ascii="Times New Roman" w:hAnsi="Times New Roman" w:eastAsia="宋体"/>
          <w:b w:val="0"/>
          <w:sz w:val="22"/>
        </w:rPr>
        <w:t>等错误数处理是分类预测后的评价步骤，不用于提前选择目标。由此分别评价“发现多少错误”和“在相同错误数量下获得多少不同失败信息”。</w:t>
      </w:r>
    </w:p>
    <w:p>
      <w:pPr>
        <w:pStyle w:val="Heading1"/>
        <w:spacing w:before="180" w:after="100"/>
      </w:pPr>
      <w:r>
        <w:t>3.6 条件能力报告与薄弱条件复查</w:t>
      </w:r>
    </w:p>
    <w:p>
      <w:pPr>
        <w:keepLines/>
        <w:spacing w:line="312" w:lineRule="auto" w:after="100"/>
        <w:ind w:firstLine="425"/>
      </w:pPr>
      <w:r>
        <w:rPr>
          <w:rFonts w:ascii="Times New Roman" w:hAnsi="Times New Roman" w:eastAsia="宋体"/>
          <w:b w:val="0"/>
          <w:sz w:val="22"/>
        </w:rPr>
        <w:t>以“模型—类别—视觉状态”为报告单位，记录标注来源、状态支持数、条件Recall、类别参考Recall及其差值。结合覆盖支持记录和风险层表现，形成各状态识别表现及需重点测试的条件，即图1中的模型能力画像。</w:t>
      </w:r>
    </w:p>
    <w:p>
      <w:pPr>
        <w:keepLines/>
        <w:spacing w:line="312" w:lineRule="auto" w:after="100"/>
        <w:ind w:firstLine="425"/>
      </w:pPr>
      <w:r>
        <w:rPr>
          <w:rFonts w:ascii="Times New Roman" w:hAnsi="Times New Roman" w:eastAsia="宋体"/>
          <w:b w:val="0"/>
          <w:sz w:val="22"/>
        </w:rPr>
        <w:t>在发现集合中，先对同一架构的不同训练种子汇总条件Recall与类别Recall，再筛选支持数至少20、条件Recall低于类别Recall至少10个百分点的状态。对每个标注来源、每个类别及架构最多保留三项，按表现差从低到高排序，同差时按字段和值排序。</w:t>
      </w:r>
    </w:p>
    <w:p>
      <w:pPr>
        <w:keepLines/>
        <w:spacing w:line="312" w:lineRule="auto" w:after="100"/>
        <w:ind w:firstLine="425"/>
      </w:pPr>
      <w:r>
        <w:rPr>
          <w:rFonts w:ascii="Times New Roman" w:hAnsi="Times New Roman" w:eastAsia="宋体"/>
          <w:b w:val="0"/>
          <w:sz w:val="22"/>
        </w:rPr>
        <w:t>将所选条件用于新目标和外部数据，沿用同一状态定义、类别、架构及评价规则，重新计算支持数与条件差。新数据支持数不足20的条件标为不可评价；支持充分但差异未复现的条件保留相应结果，不以新出现的有利条件替换。对非尺度条件，可在类别内连续面积五分位层中进行状态与已知非状态的描述性比较，以检查粗尺度构成之外的条件关联。</w:t>
      </w:r>
    </w:p>
    <w:p>
      <w:pPr>
        <w:keepLines/>
        <w:spacing w:line="312" w:lineRule="auto" w:after="100"/>
        <w:ind w:firstLine="425"/>
      </w:pPr>
      <w:r>
        <w:rPr>
          <w:rFonts w:ascii="Times New Roman" w:hAnsi="Times New Roman" w:eastAsia="宋体"/>
          <w:b w:val="0"/>
          <w:sz w:val="22"/>
        </w:rPr>
        <w:t>实证比较同时设置类别内随机分层、评分变化及仅面积分层等对照；选样方法在共同风险配额下比较，另以等错误数控制评价失败信息广度。模型间统计先在架构内汇总训练种子，再以架构为比较单位，并按检验家族校正多重比较。具体抽样次数、数据规模、模型配置与检验设置在实验章节说明。</w:t>
      </w:r>
    </w:p>
    <w:p>
      <w:pPr>
        <w:keepLines/>
        <w:spacing w:line="312" w:lineRule="auto" w:after="100"/>
        <w:ind w:firstLine="425"/>
      </w:pPr>
      <w:r>
        <w:rPr>
          <w:rFonts w:ascii="Times New Roman" w:hAnsi="Times New Roman" w:eastAsia="宋体"/>
          <w:b w:val="0"/>
          <w:sz w:val="22"/>
        </w:rPr>
        <w:t>最终报告提供已测视觉条件的能力描述与后续测试对象。候选薄弱条件及其新数据复查结果分别记录。该方法不根据测试组织本身推断模型准确率提升，不将条件关联视为错误的因果解释，也不将测试报告视为已完成模型再训练或修复。</w:t>
      </w:r>
    </w:p>
    <w:sectPr w:rsidR="00FC693F" w:rsidRPr="0006063C" w:rsidSect="00034616">
      <w:footerReference w:type="default" r:id="rId9"/>
      <w:pgSz w:w="11906" w:h="16838"/>
      <w:pgMar w:top="119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研究方法：视觉状态驱动的模型测试</dc:title>
  <dc:subject/>
  <dc:creator>QE项目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