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200"/>
      </w:pPr>
      <w:r>
        <w:rPr>
          <w:rFonts w:ascii="Calibri" w:hAnsi="Calibri" w:eastAsia="微软雅黑"/>
          <w:b/>
          <w:color w:val="2166AC"/>
          <w:sz w:val="60"/>
        </w:rPr>
        <w:t>优点</w:t>
      </w:r>
    </w:p>
    <w:p>
      <w:pPr>
        <w:spacing w:after="240" w:line="312" w:lineRule="auto"/>
      </w:pPr>
      <w:r>
        <w:rPr>
          <w:rFonts w:ascii="Calibri" w:hAnsi="Calibri" w:eastAsia="微软雅黑"/>
          <w:b/>
          <w:color w:val="263442"/>
          <w:sz w:val="38"/>
        </w:rPr>
        <w:t>视觉状态与风险分层测试的实证成果</w:t>
      </w:r>
    </w:p>
    <w:p>
      <w:pPr>
        <w:spacing w:after="320" w:line="312" w:lineRule="auto"/>
      </w:pPr>
      <w:r>
        <w:rPr>
          <w:rFonts w:ascii="Calibri" w:hAnsi="Calibri" w:eastAsia="微软雅黑"/>
          <w:b w:val="0"/>
          <w:color w:val="526477"/>
          <w:sz w:val="24"/>
        </w:rPr>
        <w:t>结果解读 · 图表说明 · 论文与汇报可用表述</w:t>
      </w:r>
    </w:p>
    <w:p>
      <w:pPr>
        <w:spacing w:after="140" w:line="312" w:lineRule="auto"/>
      </w:pPr>
      <w:r>
        <w:rPr>
          <w:rFonts w:ascii="Calibri" w:hAnsi="Calibri" w:eastAsia="微软雅黑"/>
          <w:b w:val="0"/>
          <w:color w:val="526477"/>
          <w:sz w:val="20"/>
        </w:rPr>
        <w:t>依据截至2026年10月6日已完成并核验的实验结果整理。</w:t>
      </w:r>
    </w:p>
    <w:p>
      <w:pPr>
        <w:pStyle w:val="Heading1"/>
        <w:keepNext/>
      </w:pPr>
      <w:r>
        <w:rPr>
          <w:rFonts w:ascii="Calibri" w:hAnsi="Calibri" w:eastAsia="微软雅黑"/>
          <w:b/>
          <w:color w:val="2166AC"/>
          <w:sz w:val="32"/>
        </w:rPr>
        <w:t>先看核心成果</w:t>
      </w:r>
    </w:p>
    <w:p>
      <w:pPr>
        <w:spacing w:after="140" w:line="312" w:lineRule="auto"/>
      </w:pPr>
      <w:r>
        <w:rPr>
          <w:rFonts w:ascii="Calibri" w:hAnsi="Calibri" w:eastAsia="微软雅黑"/>
          <w:b/>
          <w:color w:val="263442"/>
          <w:sz w:val="22"/>
        </w:rPr>
        <w:t>本研究已经建立了一套以可见视觉状态组织测试、以风险分层刻画模型条件能力的方法。在COCO、VOC2007和Objects365三个确认池中，冻结模型在最高风险层与最低风险层之间形成了明确的性能差异；类别内随机分组对照进一步说明，这种差异超过了随机分组通常产生的波动。</w:t>
      </w:r>
    </w:p>
    <w:p>
      <w:pPr>
        <w:spacing w:after="140" w:line="312" w:lineRule="auto"/>
      </w:pPr>
      <w:r>
        <w:rPr>
          <w:rFonts w:ascii="Calibri" w:hAnsi="Calibri" w:eastAsia="微软雅黑"/>
          <w:b w:val="0"/>
          <w:color w:val="263442"/>
          <w:sz w:val="22"/>
        </w:rPr>
        <w:t>从模型测试的角度看，好的结果是测试能够把能力差异呈现出来：知道模型在哪类测试条件下表现较好、在哪类条件下得分更低，并能够用统一规则比较多个模型。当前实验已经为这条主线提供了直接数据证据。</w:t>
      </w:r>
    </w:p>
    <w:p>
      <w:pPr>
        <w:spacing w:after="100" w:line="312" w:lineRule="auto"/>
      </w:pPr>
      <w:r>
        <w:rPr>
          <w:rFonts w:ascii="Calibri" w:hAnsi="Calibri" w:eastAsia="微软雅黑"/>
          <w:b/>
          <w:color w:val="263442"/>
          <w:sz w:val="20"/>
        </w:rPr>
        <w:t>表1 五项成果及其直接用途</w:t>
      </w:r>
    </w:p>
    <w:tbl>
      <w:tblPr>
        <w:tblStyle w:val="TableGrid"/>
        <w:tblW w:type="auto" w:w="0"/>
        <w:tblLayout w:type="fixed"/>
        <w:tblLook w:firstColumn="1" w:firstRow="1" w:lastColumn="0" w:lastRow="0" w:noHBand="0" w:noVBand="1" w:val="04A0"/>
      </w:tblPr>
      <w:tblGrid>
        <w:gridCol w:w="1928"/>
        <w:gridCol w:w="3969"/>
        <w:gridCol w:w="3628"/>
      </w:tblGrid>
      <w:tr>
        <w:trPr>
          <w:cantSplit/>
          <w:tblHeader/>
        </w:trPr>
        <w:tc>
          <w:tcPr>
            <w:tcW w:type="dxa" w:w="1928"/>
            <w:shd w:fill="E7EFF7"/>
          </w:tcPr>
          <w:p>
            <w:pPr>
              <w:spacing w:after="80" w:before="80" w:line="269" w:lineRule="auto"/>
            </w:pPr>
            <w:r>
              <w:rPr>
                <w:rFonts w:ascii="Calibri" w:hAnsi="Calibri" w:eastAsia="微软雅黑"/>
                <w:b/>
                <w:color w:val="263442"/>
                <w:sz w:val="19"/>
              </w:rPr>
              <w:t>成果</w:t>
            </w:r>
          </w:p>
        </w:tc>
        <w:tc>
          <w:tcPr>
            <w:tcW w:type="dxa" w:w="3969"/>
            <w:shd w:fill="E7EFF7"/>
          </w:tcPr>
          <w:p>
            <w:pPr>
              <w:spacing w:after="80" w:before="80" w:line="269" w:lineRule="auto"/>
            </w:pPr>
            <w:r>
              <w:rPr>
                <w:rFonts w:ascii="Calibri" w:hAnsi="Calibri" w:eastAsia="微软雅黑"/>
                <w:b/>
                <w:color w:val="263442"/>
                <w:sz w:val="19"/>
              </w:rPr>
              <w:t>已获得的证据</w:t>
            </w:r>
          </w:p>
        </w:tc>
        <w:tc>
          <w:tcPr>
            <w:tcW w:type="dxa" w:w="3628"/>
            <w:shd w:fill="E7EFF7"/>
          </w:tcPr>
          <w:p>
            <w:pPr>
              <w:spacing w:after="80" w:before="80" w:line="269" w:lineRule="auto"/>
            </w:pPr>
            <w:r>
              <w:rPr>
                <w:rFonts w:ascii="Calibri" w:hAnsi="Calibri" w:eastAsia="微软雅黑"/>
                <w:b/>
                <w:color w:val="263442"/>
                <w:sz w:val="19"/>
              </w:rPr>
              <w:t>测试用途</w:t>
            </w:r>
          </w:p>
        </w:tc>
      </w:tr>
      <w:tr>
        <w:trPr>
          <w:cantSplit/>
        </w:trPr>
        <w:tc>
          <w:tcPr>
            <w:tcW w:type="dxa" w:w="1928"/>
            <w:shd w:fill="FFFFFF"/>
          </w:tcPr>
          <w:p>
            <w:pPr>
              <w:spacing w:after="80" w:before="80" w:line="269" w:lineRule="auto"/>
            </w:pPr>
            <w:r>
              <w:rPr>
                <w:rFonts w:ascii="Calibri" w:hAnsi="Calibri" w:eastAsia="微软雅黑"/>
                <w:b w:val="0"/>
                <w:color w:val="263442"/>
                <w:sz w:val="19"/>
              </w:rPr>
              <w:t>风险层有区分度</w:t>
            </w:r>
          </w:p>
        </w:tc>
        <w:tc>
          <w:tcPr>
            <w:tcW w:type="dxa" w:w="3969"/>
            <w:shd w:fill="FFFFFF"/>
          </w:tcPr>
          <w:p>
            <w:pPr>
              <w:spacing w:after="80" w:before="80" w:line="269" w:lineRule="auto"/>
            </w:pPr>
            <w:r>
              <w:rPr>
                <w:rFonts w:ascii="Calibri" w:hAnsi="Calibri" w:eastAsia="微软雅黑"/>
                <w:b w:val="0"/>
                <w:color w:val="263442"/>
                <w:sz w:val="19"/>
              </w:rPr>
              <w:t>Q5−Q1平均F1下降14.44—41.80个百分点</w:t>
            </w:r>
          </w:p>
        </w:tc>
        <w:tc>
          <w:tcPr>
            <w:tcW w:type="dxa" w:w="3628"/>
            <w:shd w:fill="FFFFFF"/>
          </w:tcPr>
          <w:p>
            <w:pPr>
              <w:spacing w:after="80" w:before="80" w:line="269" w:lineRule="auto"/>
            </w:pPr>
            <w:r>
              <w:rPr>
                <w:rFonts w:ascii="Calibri" w:hAnsi="Calibri" w:eastAsia="微软雅黑"/>
                <w:b w:val="0"/>
                <w:color w:val="263442"/>
                <w:sz w:val="19"/>
              </w:rPr>
              <w:t>区分不同条件下的模型能力</w:t>
            </w:r>
          </w:p>
        </w:tc>
      </w:tr>
      <w:tr>
        <w:trPr>
          <w:cantSplit/>
        </w:trPr>
        <w:tc>
          <w:tcPr>
            <w:tcW w:type="dxa" w:w="1928"/>
            <w:shd w:fill="F6F8FA"/>
          </w:tcPr>
          <w:p>
            <w:pPr>
              <w:spacing w:after="80" w:before="80" w:line="269" w:lineRule="auto"/>
            </w:pPr>
            <w:r>
              <w:rPr>
                <w:rFonts w:ascii="Calibri" w:hAnsi="Calibri" w:eastAsia="微软雅黑"/>
                <w:b w:val="0"/>
                <w:color w:val="263442"/>
                <w:sz w:val="19"/>
              </w:rPr>
              <w:t>差异超过随机波动</w:t>
            </w:r>
          </w:p>
        </w:tc>
        <w:tc>
          <w:tcPr>
            <w:tcW w:type="dxa" w:w="3969"/>
            <w:shd w:fill="F6F8FA"/>
          </w:tcPr>
          <w:p>
            <w:pPr>
              <w:spacing w:after="80" w:before="80" w:line="269" w:lineRule="auto"/>
            </w:pPr>
            <w:r>
              <w:rPr>
                <w:rFonts w:ascii="Calibri" w:hAnsi="Calibri" w:eastAsia="微软雅黑"/>
                <w:b w:val="0"/>
                <w:color w:val="263442"/>
                <w:sz w:val="19"/>
              </w:rPr>
              <w:t>每池10000次随机划层；六项校正p=0.00060</w:t>
            </w:r>
          </w:p>
        </w:tc>
        <w:tc>
          <w:tcPr>
            <w:tcW w:type="dxa" w:w="3628"/>
            <w:shd w:fill="F6F8FA"/>
          </w:tcPr>
          <w:p>
            <w:pPr>
              <w:spacing w:after="80" w:before="80" w:line="269" w:lineRule="auto"/>
            </w:pPr>
            <w:r>
              <w:rPr>
                <w:rFonts w:ascii="Calibri" w:hAnsi="Calibri" w:eastAsia="微软雅黑"/>
                <w:b w:val="0"/>
                <w:color w:val="263442"/>
                <w:sz w:val="19"/>
              </w:rPr>
              <w:t>验证分层依据提供有效信息</w:t>
            </w:r>
          </w:p>
        </w:tc>
      </w:tr>
      <w:tr>
        <w:trPr>
          <w:cantSplit/>
        </w:trPr>
        <w:tc>
          <w:tcPr>
            <w:tcW w:type="dxa" w:w="1928"/>
            <w:shd w:fill="FFFFFF"/>
          </w:tcPr>
          <w:p>
            <w:pPr>
              <w:spacing w:after="80" w:before="80" w:line="269" w:lineRule="auto"/>
            </w:pPr>
            <w:r>
              <w:rPr>
                <w:rFonts w:ascii="Calibri" w:hAnsi="Calibri" w:eastAsia="微软雅黑"/>
                <w:b w:val="0"/>
                <w:color w:val="263442"/>
                <w:sz w:val="19"/>
              </w:rPr>
              <w:t>多设置重复出现</w:t>
            </w:r>
          </w:p>
        </w:tc>
        <w:tc>
          <w:tcPr>
            <w:tcW w:type="dxa" w:w="3969"/>
            <w:shd w:fill="FFFFFF"/>
          </w:tcPr>
          <w:p>
            <w:pPr>
              <w:spacing w:after="80" w:before="80" w:line="269" w:lineRule="auto"/>
            </w:pPr>
            <w:r>
              <w:rPr>
                <w:rFonts w:ascii="Calibri" w:hAnsi="Calibri" w:eastAsia="微软雅黑"/>
                <w:b w:val="0"/>
                <w:color w:val="263442"/>
                <w:sz w:val="19"/>
              </w:rPr>
              <w:t>八架构×三种子，三池、双标注来源</w:t>
            </w:r>
          </w:p>
        </w:tc>
        <w:tc>
          <w:tcPr>
            <w:tcW w:type="dxa" w:w="3628"/>
            <w:shd w:fill="FFFFFF"/>
          </w:tcPr>
          <w:p>
            <w:pPr>
              <w:spacing w:after="80" w:before="80" w:line="269" w:lineRule="auto"/>
            </w:pPr>
            <w:r>
              <w:rPr>
                <w:rFonts w:ascii="Calibri" w:hAnsi="Calibri" w:eastAsia="微软雅黑"/>
                <w:b w:val="0"/>
                <w:color w:val="263442"/>
                <w:sz w:val="19"/>
              </w:rPr>
              <w:t>检查结论在已测设置中的一致性</w:t>
            </w:r>
          </w:p>
        </w:tc>
      </w:tr>
      <w:tr>
        <w:trPr>
          <w:cantSplit/>
        </w:trPr>
        <w:tc>
          <w:tcPr>
            <w:tcW w:type="dxa" w:w="1928"/>
            <w:shd w:fill="F6F8FA"/>
          </w:tcPr>
          <w:p>
            <w:pPr>
              <w:spacing w:after="80" w:before="80" w:line="269" w:lineRule="auto"/>
            </w:pPr>
            <w:r>
              <w:rPr>
                <w:rFonts w:ascii="Calibri" w:hAnsi="Calibri" w:eastAsia="微软雅黑"/>
                <w:b w:val="0"/>
                <w:color w:val="263442"/>
                <w:sz w:val="19"/>
              </w:rPr>
              <w:t>测试构成响应可测</w:t>
            </w:r>
          </w:p>
        </w:tc>
        <w:tc>
          <w:tcPr>
            <w:tcW w:type="dxa" w:w="3969"/>
            <w:shd w:fill="F6F8FA"/>
          </w:tcPr>
          <w:p>
            <w:pPr>
              <w:spacing w:after="80" w:before="80" w:line="269" w:lineRule="auto"/>
            </w:pPr>
            <w:r>
              <w:rPr>
                <w:rFonts w:ascii="Calibri" w:hAnsi="Calibri" w:eastAsia="微软雅黑"/>
                <w:b w:val="0"/>
                <w:color w:val="263442"/>
                <w:sz w:val="19"/>
              </w:rPr>
              <w:t>固定总量与类别比例，21点×1000次抽样</w:t>
            </w:r>
          </w:p>
        </w:tc>
        <w:tc>
          <w:tcPr>
            <w:tcW w:type="dxa" w:w="3628"/>
            <w:shd w:fill="F6F8FA"/>
          </w:tcPr>
          <w:p>
            <w:pPr>
              <w:spacing w:after="80" w:before="80" w:line="269" w:lineRule="auto"/>
            </w:pPr>
            <w:r>
              <w:rPr>
                <w:rFonts w:ascii="Calibri" w:hAnsi="Calibri" w:eastAsia="微软雅黑"/>
                <w:b w:val="0"/>
                <w:color w:val="263442"/>
                <w:sz w:val="19"/>
              </w:rPr>
              <w:t>观察风险占比与测得性能的关系</w:t>
            </w:r>
          </w:p>
        </w:tc>
      </w:tr>
      <w:tr>
        <w:trPr>
          <w:cantSplit/>
        </w:trPr>
        <w:tc>
          <w:tcPr>
            <w:tcW w:type="dxa" w:w="1928"/>
            <w:shd w:fill="FFFFFF"/>
          </w:tcPr>
          <w:p>
            <w:pPr>
              <w:spacing w:after="80" w:before="80" w:line="269" w:lineRule="auto"/>
            </w:pPr>
            <w:r>
              <w:rPr>
                <w:rFonts w:ascii="Calibri" w:hAnsi="Calibri" w:eastAsia="微软雅黑"/>
                <w:b w:val="0"/>
                <w:color w:val="263442"/>
                <w:sz w:val="19"/>
              </w:rPr>
              <w:t>流程可核验和复算</w:t>
            </w:r>
          </w:p>
        </w:tc>
        <w:tc>
          <w:tcPr>
            <w:tcW w:type="dxa" w:w="3969"/>
            <w:shd w:fill="FFFFFF"/>
          </w:tcPr>
          <w:p>
            <w:pPr>
              <w:spacing w:after="80" w:before="80" w:line="269" w:lineRule="auto"/>
            </w:pPr>
            <w:r>
              <w:rPr>
                <w:rFonts w:ascii="Calibri" w:hAnsi="Calibri" w:eastAsia="微软雅黑"/>
                <w:b w:val="0"/>
                <w:color w:val="263442"/>
                <w:sz w:val="19"/>
              </w:rPr>
              <w:t>预测、标签、排序、图表和数值证据均留存</w:t>
            </w:r>
          </w:p>
        </w:tc>
        <w:tc>
          <w:tcPr>
            <w:tcW w:type="dxa" w:w="3628"/>
            <w:shd w:fill="FFFFFF"/>
          </w:tcPr>
          <w:p>
            <w:pPr>
              <w:spacing w:after="80" w:before="80" w:line="269" w:lineRule="auto"/>
            </w:pPr>
            <w:r>
              <w:rPr>
                <w:rFonts w:ascii="Calibri" w:hAnsi="Calibri" w:eastAsia="微软雅黑"/>
                <w:b w:val="0"/>
                <w:color w:val="263442"/>
                <w:sz w:val="19"/>
              </w:rPr>
              <w:t>形成可复查的测试流程</w:t>
            </w:r>
          </w:p>
        </w:tc>
      </w:tr>
    </w:tbl>
    <w:p>
      <w:r>
        <w:br w:type="page"/>
      </w:r>
    </w:p>
    <w:p>
      <w:pPr>
        <w:pStyle w:val="Heading1"/>
        <w:keepNext/>
      </w:pPr>
      <w:r>
        <w:rPr>
          <w:rFonts w:ascii="Calibri" w:hAnsi="Calibri" w:eastAsia="微软雅黑"/>
          <w:b/>
          <w:color w:val="2166AC"/>
          <w:sz w:val="32"/>
        </w:rPr>
        <w:t>一、实验对象与指标：先理解这些结果在测什么</w:t>
      </w:r>
    </w:p>
    <w:p>
      <w:pPr>
        <w:spacing w:after="140" w:line="312" w:lineRule="auto"/>
      </w:pPr>
      <w:r>
        <w:rPr>
          <w:rFonts w:ascii="Calibri" w:hAnsi="Calibri" w:eastAsia="微软雅黑"/>
          <w:b w:val="0"/>
          <w:color w:val="263442"/>
          <w:sz w:val="22"/>
        </w:rPr>
        <w:t>被测任务为目标区域六分类。六类分别为dog、cat、horse、sheep、person和car，分类器使用固定目标框裁剪图；person在本轮正式六分类实验中表示人体目标。视觉状态由本地与线上VLM分别描述，用于组织测试层。两种标注来源对应的是两套分层依据，分类模型和每张图的已有预测保持冻结。</w:t>
      </w:r>
    </w:p>
    <w:p>
      <w:pPr>
        <w:spacing w:after="100" w:line="312" w:lineRule="auto"/>
      </w:pPr>
      <w:r>
        <w:rPr>
          <w:rFonts w:ascii="Calibri" w:hAnsi="Calibri" w:eastAsia="微软雅黑"/>
          <w:b/>
          <w:color w:val="263442"/>
          <w:sz w:val="20"/>
        </w:rPr>
        <w:t>表2 三个确认池的目标规模</w:t>
      </w:r>
    </w:p>
    <w:tbl>
      <w:tblPr>
        <w:tblStyle w:val="TableGrid"/>
        <w:tblW w:type="auto" w:w="0"/>
        <w:tblLayout w:type="fixed"/>
        <w:tblLook w:firstColumn="1" w:firstRow="1" w:lastColumn="0" w:lastRow="0" w:noHBand="0" w:noVBand="1" w:val="04A0"/>
      </w:tblPr>
      <w:tblGrid>
        <w:gridCol w:w="567"/>
        <w:gridCol w:w="2268"/>
        <w:gridCol w:w="1814"/>
        <w:gridCol w:w="1928"/>
        <w:gridCol w:w="2948"/>
      </w:tblGrid>
      <w:tr>
        <w:trPr>
          <w:cantSplit/>
          <w:tblHeader/>
        </w:trPr>
        <w:tc>
          <w:tcPr>
            <w:tcW w:type="dxa" w:w="567"/>
            <w:shd w:fill="E7EFF7"/>
          </w:tcPr>
          <w:p>
            <w:pPr>
              <w:spacing w:after="80" w:before="80" w:line="269" w:lineRule="auto"/>
            </w:pPr>
            <w:r>
              <w:rPr>
                <w:rFonts w:ascii="Calibri" w:hAnsi="Calibri" w:eastAsia="微软雅黑"/>
                <w:b/>
                <w:color w:val="263442"/>
                <w:sz w:val="19"/>
              </w:rPr>
              <w:t>池</w:t>
            </w:r>
          </w:p>
        </w:tc>
        <w:tc>
          <w:tcPr>
            <w:tcW w:type="dxa" w:w="2268"/>
            <w:shd w:fill="E7EFF7"/>
          </w:tcPr>
          <w:p>
            <w:pPr>
              <w:spacing w:after="80" w:before="80" w:line="269" w:lineRule="auto"/>
            </w:pPr>
            <w:r>
              <w:rPr>
                <w:rFonts w:ascii="Calibri" w:hAnsi="Calibri" w:eastAsia="微软雅黑"/>
                <w:b/>
                <w:color w:val="263442"/>
                <w:sz w:val="19"/>
              </w:rPr>
              <w:t>数据来源</w:t>
            </w:r>
          </w:p>
        </w:tc>
        <w:tc>
          <w:tcPr>
            <w:tcW w:type="dxa" w:w="1814"/>
            <w:shd w:fill="E7EFF7"/>
          </w:tcPr>
          <w:p>
            <w:pPr>
              <w:spacing w:after="80" w:before="80" w:line="269" w:lineRule="auto"/>
            </w:pPr>
            <w:r>
              <w:rPr>
                <w:rFonts w:ascii="Calibri" w:hAnsi="Calibri" w:eastAsia="微软雅黑"/>
                <w:b/>
                <w:color w:val="263442"/>
                <w:sz w:val="19"/>
              </w:rPr>
              <w:t>目标总数</w:t>
            </w:r>
          </w:p>
        </w:tc>
        <w:tc>
          <w:tcPr>
            <w:tcW w:type="dxa" w:w="1928"/>
            <w:shd w:fill="E7EFF7"/>
          </w:tcPr>
          <w:p>
            <w:pPr>
              <w:spacing w:after="80" w:before="80" w:line="269" w:lineRule="auto"/>
            </w:pPr>
            <w:r>
              <w:rPr>
                <w:rFonts w:ascii="Calibri" w:hAnsi="Calibri" w:eastAsia="微软雅黑"/>
                <w:b/>
                <w:color w:val="263442"/>
                <w:sz w:val="19"/>
              </w:rPr>
              <w:t>每类目标数</w:t>
            </w:r>
          </w:p>
        </w:tc>
        <w:tc>
          <w:tcPr>
            <w:tcW w:type="dxa" w:w="2948"/>
            <w:shd w:fill="E7EFF7"/>
          </w:tcPr>
          <w:p>
            <w:pPr>
              <w:spacing w:after="80" w:before="80" w:line="269" w:lineRule="auto"/>
            </w:pPr>
            <w:r>
              <w:rPr>
                <w:rFonts w:ascii="Calibri" w:hAnsi="Calibri" w:eastAsia="微软雅黑"/>
                <w:b/>
                <w:color w:val="263442"/>
                <w:sz w:val="19"/>
              </w:rPr>
              <w:t>完整单风险层总数</w:t>
            </w:r>
          </w:p>
        </w:tc>
      </w:tr>
      <w:tr>
        <w:trPr>
          <w:cantSplit/>
        </w:trPr>
        <w:tc>
          <w:tcPr>
            <w:tcW w:type="dxa" w:w="567"/>
            <w:shd w:fill="FFFFFF"/>
          </w:tcPr>
          <w:p>
            <w:pPr>
              <w:spacing w:after="80" w:before="80" w:line="269" w:lineRule="auto"/>
            </w:pPr>
            <w:r>
              <w:rPr>
                <w:rFonts w:ascii="Calibri" w:hAnsi="Calibri" w:eastAsia="微软雅黑"/>
                <w:b w:val="0"/>
                <w:color w:val="263442"/>
                <w:sz w:val="19"/>
              </w:rPr>
              <w:t>B</w:t>
            </w:r>
          </w:p>
        </w:tc>
        <w:tc>
          <w:tcPr>
            <w:tcW w:type="dxa" w:w="2268"/>
            <w:shd w:fill="FFFFFF"/>
          </w:tcPr>
          <w:p>
            <w:pPr>
              <w:spacing w:after="80" w:before="80" w:line="269" w:lineRule="auto"/>
            </w:pPr>
            <w:r>
              <w:rPr>
                <w:rFonts w:ascii="Calibri" w:hAnsi="Calibri" w:eastAsia="微软雅黑"/>
                <w:b w:val="0"/>
                <w:color w:val="263442"/>
                <w:sz w:val="19"/>
              </w:rPr>
              <w:t>COCO</w:t>
            </w:r>
          </w:p>
        </w:tc>
        <w:tc>
          <w:tcPr>
            <w:tcW w:type="dxa" w:w="1814"/>
            <w:shd w:fill="FFFFFF"/>
          </w:tcPr>
          <w:p>
            <w:pPr>
              <w:spacing w:after="80" w:before="80" w:line="269" w:lineRule="auto"/>
            </w:pPr>
            <w:r>
              <w:rPr>
                <w:rFonts w:ascii="Calibri" w:hAnsi="Calibri" w:eastAsia="微软雅黑"/>
                <w:b w:val="0"/>
                <w:color w:val="263442"/>
                <w:sz w:val="19"/>
              </w:rPr>
              <w:t>2400</w:t>
            </w:r>
          </w:p>
        </w:tc>
        <w:tc>
          <w:tcPr>
            <w:tcW w:type="dxa" w:w="1928"/>
            <w:shd w:fill="FFFFFF"/>
          </w:tcPr>
          <w:p>
            <w:pPr>
              <w:spacing w:after="80" w:before="80" w:line="269" w:lineRule="auto"/>
            </w:pPr>
            <w:r>
              <w:rPr>
                <w:rFonts w:ascii="Calibri" w:hAnsi="Calibri" w:eastAsia="微软雅黑"/>
                <w:b w:val="0"/>
                <w:color w:val="263442"/>
                <w:sz w:val="19"/>
              </w:rPr>
              <w:t>400</w:t>
            </w:r>
          </w:p>
        </w:tc>
        <w:tc>
          <w:tcPr>
            <w:tcW w:type="dxa" w:w="2948"/>
            <w:shd w:fill="FFFFFF"/>
          </w:tcPr>
          <w:p>
            <w:pPr>
              <w:spacing w:after="80" w:before="80" w:line="269" w:lineRule="auto"/>
            </w:pPr>
            <w:r>
              <w:rPr>
                <w:rFonts w:ascii="Calibri" w:hAnsi="Calibri" w:eastAsia="微软雅黑"/>
                <w:b w:val="0"/>
                <w:color w:val="263442"/>
                <w:sz w:val="19"/>
              </w:rPr>
              <w:t>480</w:t>
            </w:r>
          </w:p>
        </w:tc>
      </w:tr>
      <w:tr>
        <w:trPr>
          <w:cantSplit/>
        </w:trPr>
        <w:tc>
          <w:tcPr>
            <w:tcW w:type="dxa" w:w="567"/>
            <w:shd w:fill="F6F8FA"/>
          </w:tcPr>
          <w:p>
            <w:pPr>
              <w:spacing w:after="80" w:before="80" w:line="269" w:lineRule="auto"/>
            </w:pPr>
            <w:r>
              <w:rPr>
                <w:rFonts w:ascii="Calibri" w:hAnsi="Calibri" w:eastAsia="微软雅黑"/>
                <w:b w:val="0"/>
                <w:color w:val="263442"/>
                <w:sz w:val="19"/>
              </w:rPr>
              <w:t>C</w:t>
            </w:r>
          </w:p>
        </w:tc>
        <w:tc>
          <w:tcPr>
            <w:tcW w:type="dxa" w:w="2268"/>
            <w:shd w:fill="F6F8FA"/>
          </w:tcPr>
          <w:p>
            <w:pPr>
              <w:spacing w:after="80" w:before="80" w:line="269" w:lineRule="auto"/>
            </w:pPr>
            <w:r>
              <w:rPr>
                <w:rFonts w:ascii="Calibri" w:hAnsi="Calibri" w:eastAsia="微软雅黑"/>
                <w:b w:val="0"/>
                <w:color w:val="263442"/>
                <w:sz w:val="19"/>
              </w:rPr>
              <w:t>VOC2007</w:t>
            </w:r>
          </w:p>
        </w:tc>
        <w:tc>
          <w:tcPr>
            <w:tcW w:type="dxa" w:w="1814"/>
            <w:shd w:fill="F6F8FA"/>
          </w:tcPr>
          <w:p>
            <w:pPr>
              <w:spacing w:after="80" w:before="80" w:line="269" w:lineRule="auto"/>
            </w:pPr>
            <w:r>
              <w:rPr>
                <w:rFonts w:ascii="Calibri" w:hAnsi="Calibri" w:eastAsia="微软雅黑"/>
                <w:b w:val="0"/>
                <w:color w:val="263442"/>
                <w:sz w:val="19"/>
              </w:rPr>
              <w:t>600</w:t>
            </w:r>
          </w:p>
        </w:tc>
        <w:tc>
          <w:tcPr>
            <w:tcW w:type="dxa" w:w="1928"/>
            <w:shd w:fill="F6F8FA"/>
          </w:tcPr>
          <w:p>
            <w:pPr>
              <w:spacing w:after="80" w:before="80" w:line="269" w:lineRule="auto"/>
            </w:pPr>
            <w:r>
              <w:rPr>
                <w:rFonts w:ascii="Calibri" w:hAnsi="Calibri" w:eastAsia="微软雅黑"/>
                <w:b w:val="0"/>
                <w:color w:val="263442"/>
                <w:sz w:val="19"/>
              </w:rPr>
              <w:t>100</w:t>
            </w:r>
          </w:p>
        </w:tc>
        <w:tc>
          <w:tcPr>
            <w:tcW w:type="dxa" w:w="2948"/>
            <w:shd w:fill="F6F8FA"/>
          </w:tcPr>
          <w:p>
            <w:pPr>
              <w:spacing w:after="80" w:before="80" w:line="269" w:lineRule="auto"/>
            </w:pPr>
            <w:r>
              <w:rPr>
                <w:rFonts w:ascii="Calibri" w:hAnsi="Calibri" w:eastAsia="微软雅黑"/>
                <w:b w:val="0"/>
                <w:color w:val="263442"/>
                <w:sz w:val="19"/>
              </w:rPr>
              <w:t>120</w:t>
            </w:r>
          </w:p>
        </w:tc>
      </w:tr>
      <w:tr>
        <w:trPr>
          <w:cantSplit/>
        </w:trPr>
        <w:tc>
          <w:tcPr>
            <w:tcW w:type="dxa" w:w="567"/>
            <w:shd w:fill="FFFFFF"/>
          </w:tcPr>
          <w:p>
            <w:pPr>
              <w:spacing w:after="80" w:before="80" w:line="269" w:lineRule="auto"/>
            </w:pPr>
            <w:r>
              <w:rPr>
                <w:rFonts w:ascii="Calibri" w:hAnsi="Calibri" w:eastAsia="微软雅黑"/>
                <w:b w:val="0"/>
                <w:color w:val="263442"/>
                <w:sz w:val="19"/>
              </w:rPr>
              <w:t>D</w:t>
            </w:r>
          </w:p>
        </w:tc>
        <w:tc>
          <w:tcPr>
            <w:tcW w:type="dxa" w:w="2268"/>
            <w:shd w:fill="FFFFFF"/>
          </w:tcPr>
          <w:p>
            <w:pPr>
              <w:spacing w:after="80" w:before="80" w:line="269" w:lineRule="auto"/>
            </w:pPr>
            <w:r>
              <w:rPr>
                <w:rFonts w:ascii="Calibri" w:hAnsi="Calibri" w:eastAsia="微软雅黑"/>
                <w:b w:val="0"/>
                <w:color w:val="263442"/>
                <w:sz w:val="19"/>
              </w:rPr>
              <w:t>Objects365</w:t>
            </w:r>
          </w:p>
        </w:tc>
        <w:tc>
          <w:tcPr>
            <w:tcW w:type="dxa" w:w="1814"/>
            <w:shd w:fill="FFFFFF"/>
          </w:tcPr>
          <w:p>
            <w:pPr>
              <w:spacing w:after="80" w:before="80" w:line="269" w:lineRule="auto"/>
            </w:pPr>
            <w:r>
              <w:rPr>
                <w:rFonts w:ascii="Calibri" w:hAnsi="Calibri" w:eastAsia="微软雅黑"/>
                <w:b w:val="0"/>
                <w:color w:val="263442"/>
                <w:sz w:val="19"/>
              </w:rPr>
              <w:t>2400</w:t>
            </w:r>
          </w:p>
        </w:tc>
        <w:tc>
          <w:tcPr>
            <w:tcW w:type="dxa" w:w="1928"/>
            <w:shd w:fill="FFFFFF"/>
          </w:tcPr>
          <w:p>
            <w:pPr>
              <w:spacing w:after="80" w:before="80" w:line="269" w:lineRule="auto"/>
            </w:pPr>
            <w:r>
              <w:rPr>
                <w:rFonts w:ascii="Calibri" w:hAnsi="Calibri" w:eastAsia="微软雅黑"/>
                <w:b w:val="0"/>
                <w:color w:val="263442"/>
                <w:sz w:val="19"/>
              </w:rPr>
              <w:t>400</w:t>
            </w:r>
          </w:p>
        </w:tc>
        <w:tc>
          <w:tcPr>
            <w:tcW w:type="dxa" w:w="2948"/>
            <w:shd w:fill="FFFFFF"/>
          </w:tcPr>
          <w:p>
            <w:pPr>
              <w:spacing w:after="80" w:before="80" w:line="269" w:lineRule="auto"/>
            </w:pPr>
            <w:r>
              <w:rPr>
                <w:rFonts w:ascii="Calibri" w:hAnsi="Calibri" w:eastAsia="微软雅黑"/>
                <w:b w:val="0"/>
                <w:color w:val="263442"/>
                <w:sz w:val="19"/>
              </w:rPr>
              <w:t>480</w:t>
            </w:r>
          </w:p>
        </w:tc>
      </w:tr>
    </w:tbl>
    <w:p>
      <w:pPr>
        <w:spacing w:after="140" w:line="312" w:lineRule="auto"/>
      </w:pPr>
      <w:r>
        <w:rPr>
          <w:rFonts w:ascii="Calibri" w:hAnsi="Calibri" w:eastAsia="微软雅黑"/>
          <w:b w:val="0"/>
          <w:color w:val="263442"/>
          <w:sz w:val="22"/>
        </w:rPr>
        <w:t>模型面板包括ResNet-18、ResNet-50、MobileNetV3-Small、MobileNetV3-Large、DenseNet-121、EfficientNet-B0、ConvNeXt-Tiny和Swin-T。每种架构有三个训练种子，共24份冻结模型预测。</w:t>
      </w:r>
    </w:p>
    <w:p>
      <w:pPr>
        <w:pStyle w:val="Heading2"/>
        <w:keepNext/>
      </w:pPr>
      <w:r>
        <w:rPr>
          <w:rFonts w:ascii="Calibri" w:hAnsi="Calibri" w:eastAsia="微软雅黑"/>
          <w:b/>
          <w:color w:val="2166AC"/>
          <w:sz w:val="25"/>
        </w:rPr>
        <w:t>风险层与Macro-F1的含义</w:t>
      </w:r>
    </w:p>
    <w:p>
      <w:pPr>
        <w:spacing w:after="140" w:line="312" w:lineRule="auto"/>
      </w:pPr>
      <w:r>
        <w:rPr>
          <w:rFonts w:ascii="Calibri" w:hAnsi="Calibri" w:eastAsia="微软雅黑"/>
          <w:b w:val="0"/>
          <w:color w:val="263442"/>
          <w:sz w:val="22"/>
        </w:rPr>
        <w:t>风险评分由尺度、可见性、遮挡、截断和朝向五维构成。在每个池的每一类别内部，按冻结评分规则划为五个等量分位层：Q1为相对低风险，Q5为相对高风险。这样，各层保持六类比例一致，便于比较条件变化时的表现。</w:t>
      </w:r>
    </w:p>
    <w:p>
      <w:pPr>
        <w:spacing w:after="140" w:line="312" w:lineRule="auto"/>
      </w:pPr>
      <w:r>
        <w:rPr>
          <w:rFonts w:ascii="Calibri" w:hAnsi="Calibri" w:eastAsia="微软雅黑"/>
          <w:b w:val="0"/>
          <w:color w:val="263442"/>
          <w:sz w:val="22"/>
        </w:rPr>
        <w:t>Macro-F1是先分别计算六个类别的F1，再对六类等权平均，较高分数表示该测试构成下的分类表现较好。报告中的面板均值先平均同架构三个种子，再等权平均八架构。百分点表示两个百分比的直接差，例如90%降到70%是下降20个百分点。</w:t>
      </w:r>
    </w:p>
    <w:p>
      <w:pPr>
        <w:spacing w:after="140" w:line="312" w:lineRule="auto"/>
      </w:pPr>
      <w:r>
        <w:rPr>
          <w:rFonts w:ascii="Calibri" w:hAnsi="Calibri" w:eastAsia="微软雅黑"/>
          <w:b w:val="0"/>
          <w:color w:val="263442"/>
          <w:sz w:val="22"/>
        </w:rPr>
        <w:t>接下来的图表围绕三个问题展开：风险层能否分出表现差异；差异是否超出随机分组波动；测试条件变化时，不同模型如何响应。全部数字均来自已有冻结实验。</w:t>
      </w:r>
    </w:p>
    <w:p>
      <w:r>
        <w:br w:type="page"/>
      </w:r>
    </w:p>
    <w:p>
      <w:pPr>
        <w:pStyle w:val="Heading1"/>
        <w:keepNext/>
      </w:pPr>
      <w:r>
        <w:rPr>
          <w:rFonts w:ascii="Calibri" w:hAnsi="Calibri" w:eastAsia="微软雅黑"/>
          <w:b/>
          <w:color w:val="2166AC"/>
          <w:sz w:val="32"/>
        </w:rPr>
        <w:t>二、优点1：风险分层能够清楚区分模型的条件表现</w:t>
      </w:r>
    </w:p>
    <w:p>
      <w:pPr>
        <w:spacing w:after="140" w:line="312" w:lineRule="auto"/>
      </w:pPr>
      <w:r>
        <w:rPr>
          <w:rFonts w:ascii="Calibri" w:hAnsi="Calibri" w:eastAsia="微软雅黑"/>
          <w:b w:val="0"/>
          <w:color w:val="263442"/>
          <w:sz w:val="22"/>
        </w:rPr>
        <w:t>这一成果回答了最基础也最关键的问题：定义的视觉风险条件，能否在模型实际表现上形成差异？实验给出的答案是，在已测三个确认池及两种标注来源中，可以。最高风险层Q5的Macro-F1均低于最低风险层Q1，且各设置的平均落差具有明确量级。</w:t>
      </w:r>
    </w:p>
    <w:p>
      <w:pPr>
        <w:spacing w:after="100" w:line="312" w:lineRule="auto"/>
      </w:pPr>
      <w:r>
        <w:rPr>
          <w:rFonts w:ascii="Calibri" w:hAnsi="Calibri" w:eastAsia="微软雅黑"/>
          <w:b/>
          <w:color w:val="263442"/>
          <w:sz w:val="20"/>
        </w:rPr>
        <w:t>表3 完整风险层的模型面板Macro-F1（%）及差值</w:t>
      </w:r>
    </w:p>
    <w:tbl>
      <w:tblPr>
        <w:tblStyle w:val="TableGrid"/>
        <w:tblW w:type="auto" w:w="0"/>
        <w:tblLayout w:type="fixed"/>
        <w:tblLook w:firstColumn="1" w:firstRow="1" w:lastColumn="0" w:lastRow="0" w:noHBand="0" w:noVBand="1" w:val="04A0"/>
      </w:tblPr>
      <w:tblGrid>
        <w:gridCol w:w="1701"/>
        <w:gridCol w:w="1531"/>
        <w:gridCol w:w="1304"/>
        <w:gridCol w:w="1304"/>
        <w:gridCol w:w="2154"/>
        <w:gridCol w:w="1531"/>
      </w:tblGrid>
      <w:tr>
        <w:trPr>
          <w:cantSplit/>
          <w:tblHeader/>
        </w:trPr>
        <w:tc>
          <w:tcPr>
            <w:tcW w:type="dxa" w:w="1701"/>
            <w:shd w:fill="E7EFF7"/>
          </w:tcPr>
          <w:p>
            <w:pPr>
              <w:spacing w:after="80" w:before="80" w:line="269" w:lineRule="auto"/>
            </w:pPr>
            <w:r>
              <w:rPr>
                <w:rFonts w:ascii="Calibri" w:hAnsi="Calibri" w:eastAsia="微软雅黑"/>
                <w:b/>
                <w:color w:val="263442"/>
                <w:sz w:val="19"/>
              </w:rPr>
              <w:t>池</w:t>
            </w:r>
          </w:p>
        </w:tc>
        <w:tc>
          <w:tcPr>
            <w:tcW w:type="dxa" w:w="1531"/>
            <w:shd w:fill="E7EFF7"/>
          </w:tcPr>
          <w:p>
            <w:pPr>
              <w:spacing w:after="80" w:before="80" w:line="269" w:lineRule="auto"/>
            </w:pPr>
            <w:r>
              <w:rPr>
                <w:rFonts w:ascii="Calibri" w:hAnsi="Calibri" w:eastAsia="微软雅黑"/>
                <w:b/>
                <w:color w:val="263442"/>
                <w:sz w:val="19"/>
              </w:rPr>
              <w:t>标注来源</w:t>
            </w:r>
          </w:p>
        </w:tc>
        <w:tc>
          <w:tcPr>
            <w:tcW w:type="dxa" w:w="1304"/>
            <w:shd w:fill="E7EFF7"/>
          </w:tcPr>
          <w:p>
            <w:pPr>
              <w:spacing w:after="80" w:before="80" w:line="269" w:lineRule="auto"/>
            </w:pPr>
            <w:r>
              <w:rPr>
                <w:rFonts w:ascii="Calibri" w:hAnsi="Calibri" w:eastAsia="微软雅黑"/>
                <w:b/>
                <w:color w:val="263442"/>
                <w:sz w:val="19"/>
              </w:rPr>
              <w:t>Q1 F1</w:t>
            </w:r>
          </w:p>
        </w:tc>
        <w:tc>
          <w:tcPr>
            <w:tcW w:type="dxa" w:w="1304"/>
            <w:shd w:fill="E7EFF7"/>
          </w:tcPr>
          <w:p>
            <w:pPr>
              <w:spacing w:after="80" w:before="80" w:line="269" w:lineRule="auto"/>
            </w:pPr>
            <w:r>
              <w:rPr>
                <w:rFonts w:ascii="Calibri" w:hAnsi="Calibri" w:eastAsia="微软雅黑"/>
                <w:b/>
                <w:color w:val="263442"/>
                <w:sz w:val="19"/>
              </w:rPr>
              <w:t>Q5 F1</w:t>
            </w:r>
          </w:p>
        </w:tc>
        <w:tc>
          <w:tcPr>
            <w:tcW w:type="dxa" w:w="2154"/>
            <w:shd w:fill="E7EFF7"/>
          </w:tcPr>
          <w:p>
            <w:pPr>
              <w:spacing w:after="80" w:before="80" w:line="269" w:lineRule="auto"/>
            </w:pPr>
            <w:r>
              <w:rPr>
                <w:rFonts w:ascii="Calibri" w:hAnsi="Calibri" w:eastAsia="微软雅黑"/>
                <w:b/>
                <w:color w:val="263442"/>
                <w:sz w:val="19"/>
              </w:rPr>
              <w:t>Q5−Q1（pp）</w:t>
            </w:r>
          </w:p>
        </w:tc>
        <w:tc>
          <w:tcPr>
            <w:tcW w:type="dxa" w:w="1531"/>
            <w:shd w:fill="E7EFF7"/>
          </w:tcPr>
          <w:p>
            <w:pPr>
              <w:spacing w:after="80" w:before="80" w:line="269" w:lineRule="auto"/>
            </w:pPr>
            <w:r>
              <w:rPr>
                <w:rFonts w:ascii="Calibri" w:hAnsi="Calibri" w:eastAsia="微软雅黑"/>
                <w:b/>
                <w:color w:val="263442"/>
                <w:sz w:val="19"/>
              </w:rPr>
              <w:t>负向运行</w:t>
            </w:r>
          </w:p>
        </w:tc>
      </w:tr>
      <w:tr>
        <w:trPr>
          <w:cantSplit/>
        </w:trPr>
        <w:tc>
          <w:tcPr>
            <w:tcW w:type="dxa" w:w="1701"/>
            <w:shd w:fill="FFFFFF"/>
          </w:tcPr>
          <w:p>
            <w:pPr>
              <w:spacing w:after="80" w:before="80" w:line="269" w:lineRule="auto"/>
            </w:pPr>
            <w:r>
              <w:rPr>
                <w:rFonts w:ascii="Calibri" w:hAnsi="Calibri" w:eastAsia="微软雅黑"/>
                <w:b w:val="0"/>
                <w:color w:val="263442"/>
                <w:sz w:val="19"/>
              </w:rPr>
              <w:t>COCO</w:t>
            </w:r>
          </w:p>
        </w:tc>
        <w:tc>
          <w:tcPr>
            <w:tcW w:type="dxa" w:w="1531"/>
            <w:shd w:fill="FFFFFF"/>
          </w:tcPr>
          <w:p>
            <w:pPr>
              <w:spacing w:after="80" w:before="80" w:line="269" w:lineRule="auto"/>
            </w:pPr>
            <w:r>
              <w:rPr>
                <w:rFonts w:ascii="Calibri" w:hAnsi="Calibri" w:eastAsia="微软雅黑"/>
                <w:b w:val="0"/>
                <w:color w:val="263442"/>
                <w:sz w:val="19"/>
              </w:rPr>
              <w:t>本地VLM</w:t>
            </w:r>
          </w:p>
        </w:tc>
        <w:tc>
          <w:tcPr>
            <w:tcW w:type="dxa" w:w="1304"/>
            <w:shd w:fill="FFFFFF"/>
          </w:tcPr>
          <w:p>
            <w:pPr>
              <w:spacing w:after="80" w:before="80" w:line="269" w:lineRule="auto"/>
            </w:pPr>
            <w:r>
              <w:rPr>
                <w:rFonts w:ascii="Calibri" w:hAnsi="Calibri" w:eastAsia="微软雅黑"/>
                <w:b w:val="0"/>
                <w:color w:val="263442"/>
                <w:sz w:val="19"/>
              </w:rPr>
              <w:t>95.11</w:t>
            </w:r>
          </w:p>
        </w:tc>
        <w:tc>
          <w:tcPr>
            <w:tcW w:type="dxa" w:w="1304"/>
            <w:shd w:fill="FFFFFF"/>
          </w:tcPr>
          <w:p>
            <w:pPr>
              <w:spacing w:after="80" w:before="80" w:line="269" w:lineRule="auto"/>
            </w:pPr>
            <w:r>
              <w:rPr>
                <w:rFonts w:ascii="Calibri" w:hAnsi="Calibri" w:eastAsia="微软雅黑"/>
                <w:b w:val="0"/>
                <w:color w:val="263442"/>
                <w:sz w:val="19"/>
              </w:rPr>
              <w:t>69.62</w:t>
            </w:r>
          </w:p>
        </w:tc>
        <w:tc>
          <w:tcPr>
            <w:tcW w:type="dxa" w:w="2154"/>
            <w:shd w:fill="FFFFFF"/>
          </w:tcPr>
          <w:p>
            <w:pPr>
              <w:spacing w:after="80" w:before="80" w:line="269" w:lineRule="auto"/>
            </w:pPr>
            <w:r>
              <w:rPr>
                <w:rFonts w:ascii="Calibri" w:hAnsi="Calibri" w:eastAsia="微软雅黑"/>
                <w:b w:val="0"/>
                <w:color w:val="263442"/>
                <w:sz w:val="19"/>
              </w:rPr>
              <w:t>-25.50</w:t>
            </w:r>
          </w:p>
        </w:tc>
        <w:tc>
          <w:tcPr>
            <w:tcW w:type="dxa" w:w="1531"/>
            <w:shd w:fill="FFFFFF"/>
          </w:tcPr>
          <w:p>
            <w:pPr>
              <w:spacing w:after="80" w:before="80" w:line="269" w:lineRule="auto"/>
            </w:pPr>
            <w:r>
              <w:rPr>
                <w:rFonts w:ascii="Calibri" w:hAnsi="Calibri" w:eastAsia="微软雅黑"/>
                <w:b w:val="0"/>
                <w:color w:val="263442"/>
                <w:sz w:val="19"/>
              </w:rPr>
              <w:t>24/24</w:t>
            </w:r>
          </w:p>
        </w:tc>
      </w:tr>
      <w:tr>
        <w:trPr>
          <w:cantSplit/>
        </w:trPr>
        <w:tc>
          <w:tcPr>
            <w:tcW w:type="dxa" w:w="1701"/>
            <w:shd w:fill="F6F8FA"/>
          </w:tcPr>
          <w:p>
            <w:pPr>
              <w:spacing w:after="80" w:before="80" w:line="269" w:lineRule="auto"/>
            </w:pPr>
            <w:r>
              <w:rPr>
                <w:rFonts w:ascii="Calibri" w:hAnsi="Calibri" w:eastAsia="微软雅黑"/>
                <w:b w:val="0"/>
                <w:color w:val="263442"/>
                <w:sz w:val="19"/>
              </w:rPr>
              <w:t>COCO</w:t>
            </w:r>
          </w:p>
        </w:tc>
        <w:tc>
          <w:tcPr>
            <w:tcW w:type="dxa" w:w="1531"/>
            <w:shd w:fill="F6F8FA"/>
          </w:tcPr>
          <w:p>
            <w:pPr>
              <w:spacing w:after="80" w:before="80" w:line="269" w:lineRule="auto"/>
            </w:pPr>
            <w:r>
              <w:rPr>
                <w:rFonts w:ascii="Calibri" w:hAnsi="Calibri" w:eastAsia="微软雅黑"/>
                <w:b w:val="0"/>
                <w:color w:val="263442"/>
                <w:sz w:val="19"/>
              </w:rPr>
              <w:t>线上VLM</w:t>
            </w:r>
          </w:p>
        </w:tc>
        <w:tc>
          <w:tcPr>
            <w:tcW w:type="dxa" w:w="1304"/>
            <w:shd w:fill="F6F8FA"/>
          </w:tcPr>
          <w:p>
            <w:pPr>
              <w:spacing w:after="80" w:before="80" w:line="269" w:lineRule="auto"/>
            </w:pPr>
            <w:r>
              <w:rPr>
                <w:rFonts w:ascii="Calibri" w:hAnsi="Calibri" w:eastAsia="微软雅黑"/>
                <w:b w:val="0"/>
                <w:color w:val="263442"/>
                <w:sz w:val="19"/>
              </w:rPr>
              <w:t>93.95</w:t>
            </w:r>
          </w:p>
        </w:tc>
        <w:tc>
          <w:tcPr>
            <w:tcW w:type="dxa" w:w="1304"/>
            <w:shd w:fill="F6F8FA"/>
          </w:tcPr>
          <w:p>
            <w:pPr>
              <w:spacing w:after="80" w:before="80" w:line="269" w:lineRule="auto"/>
            </w:pPr>
            <w:r>
              <w:rPr>
                <w:rFonts w:ascii="Calibri" w:hAnsi="Calibri" w:eastAsia="微软雅黑"/>
                <w:b w:val="0"/>
                <w:color w:val="263442"/>
                <w:sz w:val="19"/>
              </w:rPr>
              <w:t>72.65</w:t>
            </w:r>
          </w:p>
        </w:tc>
        <w:tc>
          <w:tcPr>
            <w:tcW w:type="dxa" w:w="2154"/>
            <w:shd w:fill="F6F8FA"/>
          </w:tcPr>
          <w:p>
            <w:pPr>
              <w:spacing w:after="80" w:before="80" w:line="269" w:lineRule="auto"/>
            </w:pPr>
            <w:r>
              <w:rPr>
                <w:rFonts w:ascii="Calibri" w:hAnsi="Calibri" w:eastAsia="微软雅黑"/>
                <w:b w:val="0"/>
                <w:color w:val="263442"/>
                <w:sz w:val="19"/>
              </w:rPr>
              <w:t>-21.30</w:t>
            </w:r>
          </w:p>
        </w:tc>
        <w:tc>
          <w:tcPr>
            <w:tcW w:type="dxa" w:w="1531"/>
            <w:shd w:fill="F6F8FA"/>
          </w:tcPr>
          <w:p>
            <w:pPr>
              <w:spacing w:after="80" w:before="80" w:line="269" w:lineRule="auto"/>
            </w:pPr>
            <w:r>
              <w:rPr>
                <w:rFonts w:ascii="Calibri" w:hAnsi="Calibri" w:eastAsia="微软雅黑"/>
                <w:b w:val="0"/>
                <w:color w:val="263442"/>
                <w:sz w:val="19"/>
              </w:rPr>
              <w:t>24/24</w:t>
            </w:r>
          </w:p>
        </w:tc>
      </w:tr>
      <w:tr>
        <w:trPr>
          <w:cantSplit/>
        </w:trPr>
        <w:tc>
          <w:tcPr>
            <w:tcW w:type="dxa" w:w="1701"/>
            <w:shd w:fill="FFFFFF"/>
          </w:tcPr>
          <w:p>
            <w:pPr>
              <w:spacing w:after="80" w:before="80" w:line="269" w:lineRule="auto"/>
            </w:pPr>
            <w:r>
              <w:rPr>
                <w:rFonts w:ascii="Calibri" w:hAnsi="Calibri" w:eastAsia="微软雅黑"/>
                <w:b w:val="0"/>
                <w:color w:val="263442"/>
                <w:sz w:val="19"/>
              </w:rPr>
              <w:t>VOC2007</w:t>
            </w:r>
          </w:p>
        </w:tc>
        <w:tc>
          <w:tcPr>
            <w:tcW w:type="dxa" w:w="1531"/>
            <w:shd w:fill="FFFFFF"/>
          </w:tcPr>
          <w:p>
            <w:pPr>
              <w:spacing w:after="80" w:before="80" w:line="269" w:lineRule="auto"/>
            </w:pPr>
            <w:r>
              <w:rPr>
                <w:rFonts w:ascii="Calibri" w:hAnsi="Calibri" w:eastAsia="微软雅黑"/>
                <w:b w:val="0"/>
                <w:color w:val="263442"/>
                <w:sz w:val="19"/>
              </w:rPr>
              <w:t>本地VLM</w:t>
            </w:r>
          </w:p>
        </w:tc>
        <w:tc>
          <w:tcPr>
            <w:tcW w:type="dxa" w:w="1304"/>
            <w:shd w:fill="FFFFFF"/>
          </w:tcPr>
          <w:p>
            <w:pPr>
              <w:spacing w:after="80" w:before="80" w:line="269" w:lineRule="auto"/>
            </w:pPr>
            <w:r>
              <w:rPr>
                <w:rFonts w:ascii="Calibri" w:hAnsi="Calibri" w:eastAsia="微软雅黑"/>
                <w:b w:val="0"/>
                <w:color w:val="263442"/>
                <w:sz w:val="19"/>
              </w:rPr>
              <w:t>92.45</w:t>
            </w:r>
          </w:p>
        </w:tc>
        <w:tc>
          <w:tcPr>
            <w:tcW w:type="dxa" w:w="1304"/>
            <w:shd w:fill="FFFFFF"/>
          </w:tcPr>
          <w:p>
            <w:pPr>
              <w:spacing w:after="80" w:before="80" w:line="269" w:lineRule="auto"/>
            </w:pPr>
            <w:r>
              <w:rPr>
                <w:rFonts w:ascii="Calibri" w:hAnsi="Calibri" w:eastAsia="微软雅黑"/>
                <w:b w:val="0"/>
                <w:color w:val="263442"/>
                <w:sz w:val="19"/>
              </w:rPr>
              <w:t>75.88</w:t>
            </w:r>
          </w:p>
        </w:tc>
        <w:tc>
          <w:tcPr>
            <w:tcW w:type="dxa" w:w="2154"/>
            <w:shd w:fill="FFFFFF"/>
          </w:tcPr>
          <w:p>
            <w:pPr>
              <w:spacing w:after="80" w:before="80" w:line="269" w:lineRule="auto"/>
            </w:pPr>
            <w:r>
              <w:rPr>
                <w:rFonts w:ascii="Calibri" w:hAnsi="Calibri" w:eastAsia="微软雅黑"/>
                <w:b w:val="0"/>
                <w:color w:val="263442"/>
                <w:sz w:val="19"/>
              </w:rPr>
              <w:t>-16.57</w:t>
            </w:r>
          </w:p>
        </w:tc>
        <w:tc>
          <w:tcPr>
            <w:tcW w:type="dxa" w:w="1531"/>
            <w:shd w:fill="FFFFFF"/>
          </w:tcPr>
          <w:p>
            <w:pPr>
              <w:spacing w:after="80" w:before="80" w:line="269" w:lineRule="auto"/>
            </w:pPr>
            <w:r>
              <w:rPr>
                <w:rFonts w:ascii="Calibri" w:hAnsi="Calibri" w:eastAsia="微软雅黑"/>
                <w:b w:val="0"/>
                <w:color w:val="263442"/>
                <w:sz w:val="19"/>
              </w:rPr>
              <w:t>24/24</w:t>
            </w:r>
          </w:p>
        </w:tc>
      </w:tr>
      <w:tr>
        <w:trPr>
          <w:cantSplit/>
        </w:trPr>
        <w:tc>
          <w:tcPr>
            <w:tcW w:type="dxa" w:w="1701"/>
            <w:shd w:fill="F6F8FA"/>
          </w:tcPr>
          <w:p>
            <w:pPr>
              <w:spacing w:after="80" w:before="80" w:line="269" w:lineRule="auto"/>
            </w:pPr>
            <w:r>
              <w:rPr>
                <w:rFonts w:ascii="Calibri" w:hAnsi="Calibri" w:eastAsia="微软雅黑"/>
                <w:b w:val="0"/>
                <w:color w:val="263442"/>
                <w:sz w:val="19"/>
              </w:rPr>
              <w:t>VOC2007</w:t>
            </w:r>
          </w:p>
        </w:tc>
        <w:tc>
          <w:tcPr>
            <w:tcW w:type="dxa" w:w="1531"/>
            <w:shd w:fill="F6F8FA"/>
          </w:tcPr>
          <w:p>
            <w:pPr>
              <w:spacing w:after="80" w:before="80" w:line="269" w:lineRule="auto"/>
            </w:pPr>
            <w:r>
              <w:rPr>
                <w:rFonts w:ascii="Calibri" w:hAnsi="Calibri" w:eastAsia="微软雅黑"/>
                <w:b w:val="0"/>
                <w:color w:val="263442"/>
                <w:sz w:val="19"/>
              </w:rPr>
              <w:t>线上VLM</w:t>
            </w:r>
          </w:p>
        </w:tc>
        <w:tc>
          <w:tcPr>
            <w:tcW w:type="dxa" w:w="1304"/>
            <w:shd w:fill="F6F8FA"/>
          </w:tcPr>
          <w:p>
            <w:pPr>
              <w:spacing w:after="80" w:before="80" w:line="269" w:lineRule="auto"/>
            </w:pPr>
            <w:r>
              <w:rPr>
                <w:rFonts w:ascii="Calibri" w:hAnsi="Calibri" w:eastAsia="微软雅黑"/>
                <w:b w:val="0"/>
                <w:color w:val="263442"/>
                <w:sz w:val="19"/>
              </w:rPr>
              <w:t>93.21</w:t>
            </w:r>
          </w:p>
        </w:tc>
        <w:tc>
          <w:tcPr>
            <w:tcW w:type="dxa" w:w="1304"/>
            <w:shd w:fill="F6F8FA"/>
          </w:tcPr>
          <w:p>
            <w:pPr>
              <w:spacing w:after="80" w:before="80" w:line="269" w:lineRule="auto"/>
            </w:pPr>
            <w:r>
              <w:rPr>
                <w:rFonts w:ascii="Calibri" w:hAnsi="Calibri" w:eastAsia="微软雅黑"/>
                <w:b w:val="0"/>
                <w:color w:val="263442"/>
                <w:sz w:val="19"/>
              </w:rPr>
              <w:t>78.78</w:t>
            </w:r>
          </w:p>
        </w:tc>
        <w:tc>
          <w:tcPr>
            <w:tcW w:type="dxa" w:w="2154"/>
            <w:shd w:fill="F6F8FA"/>
          </w:tcPr>
          <w:p>
            <w:pPr>
              <w:spacing w:after="80" w:before="80" w:line="269" w:lineRule="auto"/>
            </w:pPr>
            <w:r>
              <w:rPr>
                <w:rFonts w:ascii="Calibri" w:hAnsi="Calibri" w:eastAsia="微软雅黑"/>
                <w:b w:val="0"/>
                <w:color w:val="263442"/>
                <w:sz w:val="19"/>
              </w:rPr>
              <w:t>-14.44</w:t>
            </w:r>
          </w:p>
        </w:tc>
        <w:tc>
          <w:tcPr>
            <w:tcW w:type="dxa" w:w="1531"/>
            <w:shd w:fill="F6F8FA"/>
          </w:tcPr>
          <w:p>
            <w:pPr>
              <w:spacing w:after="80" w:before="80" w:line="269" w:lineRule="auto"/>
            </w:pPr>
            <w:r>
              <w:rPr>
                <w:rFonts w:ascii="Calibri" w:hAnsi="Calibri" w:eastAsia="微软雅黑"/>
                <w:b w:val="0"/>
                <w:color w:val="263442"/>
                <w:sz w:val="19"/>
              </w:rPr>
              <w:t>24/24</w:t>
            </w:r>
          </w:p>
        </w:tc>
      </w:tr>
      <w:tr>
        <w:trPr>
          <w:cantSplit/>
        </w:trPr>
        <w:tc>
          <w:tcPr>
            <w:tcW w:type="dxa" w:w="1701"/>
            <w:shd w:fill="FFFFFF"/>
          </w:tcPr>
          <w:p>
            <w:pPr>
              <w:spacing w:after="80" w:before="80" w:line="269" w:lineRule="auto"/>
            </w:pPr>
            <w:r>
              <w:rPr>
                <w:rFonts w:ascii="Calibri" w:hAnsi="Calibri" w:eastAsia="微软雅黑"/>
                <w:b w:val="0"/>
                <w:color w:val="263442"/>
                <w:sz w:val="19"/>
              </w:rPr>
              <w:t>Objects365</w:t>
            </w:r>
          </w:p>
        </w:tc>
        <w:tc>
          <w:tcPr>
            <w:tcW w:type="dxa" w:w="1531"/>
            <w:shd w:fill="FFFFFF"/>
          </w:tcPr>
          <w:p>
            <w:pPr>
              <w:spacing w:after="80" w:before="80" w:line="269" w:lineRule="auto"/>
            </w:pPr>
            <w:r>
              <w:rPr>
                <w:rFonts w:ascii="Calibri" w:hAnsi="Calibri" w:eastAsia="微软雅黑"/>
                <w:b w:val="0"/>
                <w:color w:val="263442"/>
                <w:sz w:val="19"/>
              </w:rPr>
              <w:t>本地VLM</w:t>
            </w:r>
          </w:p>
        </w:tc>
        <w:tc>
          <w:tcPr>
            <w:tcW w:type="dxa" w:w="1304"/>
            <w:shd w:fill="FFFFFF"/>
          </w:tcPr>
          <w:p>
            <w:pPr>
              <w:spacing w:after="80" w:before="80" w:line="269" w:lineRule="auto"/>
            </w:pPr>
            <w:r>
              <w:rPr>
                <w:rFonts w:ascii="Calibri" w:hAnsi="Calibri" w:eastAsia="微软雅黑"/>
                <w:b w:val="0"/>
                <w:color w:val="263442"/>
                <w:sz w:val="19"/>
              </w:rPr>
              <w:t>87.03</w:t>
            </w:r>
          </w:p>
        </w:tc>
        <w:tc>
          <w:tcPr>
            <w:tcW w:type="dxa" w:w="1304"/>
            <w:shd w:fill="FFFFFF"/>
          </w:tcPr>
          <w:p>
            <w:pPr>
              <w:spacing w:after="80" w:before="80" w:line="269" w:lineRule="auto"/>
            </w:pPr>
            <w:r>
              <w:rPr>
                <w:rFonts w:ascii="Calibri" w:hAnsi="Calibri" w:eastAsia="微软雅黑"/>
                <w:b w:val="0"/>
                <w:color w:val="263442"/>
                <w:sz w:val="19"/>
              </w:rPr>
              <w:t>45.23</w:t>
            </w:r>
          </w:p>
        </w:tc>
        <w:tc>
          <w:tcPr>
            <w:tcW w:type="dxa" w:w="2154"/>
            <w:shd w:fill="FFFFFF"/>
          </w:tcPr>
          <w:p>
            <w:pPr>
              <w:spacing w:after="80" w:before="80" w:line="269" w:lineRule="auto"/>
            </w:pPr>
            <w:r>
              <w:rPr>
                <w:rFonts w:ascii="Calibri" w:hAnsi="Calibri" w:eastAsia="微软雅黑"/>
                <w:b w:val="0"/>
                <w:color w:val="263442"/>
                <w:sz w:val="19"/>
              </w:rPr>
              <w:t>-41.80</w:t>
            </w:r>
          </w:p>
        </w:tc>
        <w:tc>
          <w:tcPr>
            <w:tcW w:type="dxa" w:w="1531"/>
            <w:shd w:fill="FFFFFF"/>
          </w:tcPr>
          <w:p>
            <w:pPr>
              <w:spacing w:after="80" w:before="80" w:line="269" w:lineRule="auto"/>
            </w:pPr>
            <w:r>
              <w:rPr>
                <w:rFonts w:ascii="Calibri" w:hAnsi="Calibri" w:eastAsia="微软雅黑"/>
                <w:b w:val="0"/>
                <w:color w:val="263442"/>
                <w:sz w:val="19"/>
              </w:rPr>
              <w:t>24/24</w:t>
            </w:r>
          </w:p>
        </w:tc>
      </w:tr>
      <w:tr>
        <w:trPr>
          <w:cantSplit/>
        </w:trPr>
        <w:tc>
          <w:tcPr>
            <w:tcW w:type="dxa" w:w="1701"/>
            <w:shd w:fill="F6F8FA"/>
          </w:tcPr>
          <w:p>
            <w:pPr>
              <w:spacing w:after="80" w:before="80" w:line="269" w:lineRule="auto"/>
            </w:pPr>
            <w:r>
              <w:rPr>
                <w:rFonts w:ascii="Calibri" w:hAnsi="Calibri" w:eastAsia="微软雅黑"/>
                <w:b w:val="0"/>
                <w:color w:val="263442"/>
                <w:sz w:val="19"/>
              </w:rPr>
              <w:t>Objects365</w:t>
            </w:r>
          </w:p>
        </w:tc>
        <w:tc>
          <w:tcPr>
            <w:tcW w:type="dxa" w:w="1531"/>
            <w:shd w:fill="F6F8FA"/>
          </w:tcPr>
          <w:p>
            <w:pPr>
              <w:spacing w:after="80" w:before="80" w:line="269" w:lineRule="auto"/>
            </w:pPr>
            <w:r>
              <w:rPr>
                <w:rFonts w:ascii="Calibri" w:hAnsi="Calibri" w:eastAsia="微软雅黑"/>
                <w:b w:val="0"/>
                <w:color w:val="263442"/>
                <w:sz w:val="19"/>
              </w:rPr>
              <w:t>线上VLM</w:t>
            </w:r>
          </w:p>
        </w:tc>
        <w:tc>
          <w:tcPr>
            <w:tcW w:type="dxa" w:w="1304"/>
            <w:shd w:fill="F6F8FA"/>
          </w:tcPr>
          <w:p>
            <w:pPr>
              <w:spacing w:after="80" w:before="80" w:line="269" w:lineRule="auto"/>
            </w:pPr>
            <w:r>
              <w:rPr>
                <w:rFonts w:ascii="Calibri" w:hAnsi="Calibri" w:eastAsia="微软雅黑"/>
                <w:b w:val="0"/>
                <w:color w:val="263442"/>
                <w:sz w:val="19"/>
              </w:rPr>
              <w:t>89.08</w:t>
            </w:r>
          </w:p>
        </w:tc>
        <w:tc>
          <w:tcPr>
            <w:tcW w:type="dxa" w:w="1304"/>
            <w:shd w:fill="F6F8FA"/>
          </w:tcPr>
          <w:p>
            <w:pPr>
              <w:spacing w:after="80" w:before="80" w:line="269" w:lineRule="auto"/>
            </w:pPr>
            <w:r>
              <w:rPr>
                <w:rFonts w:ascii="Calibri" w:hAnsi="Calibri" w:eastAsia="微软雅黑"/>
                <w:b w:val="0"/>
                <w:color w:val="263442"/>
                <w:sz w:val="19"/>
              </w:rPr>
              <w:t>47.83</w:t>
            </w:r>
          </w:p>
        </w:tc>
        <w:tc>
          <w:tcPr>
            <w:tcW w:type="dxa" w:w="2154"/>
            <w:shd w:fill="F6F8FA"/>
          </w:tcPr>
          <w:p>
            <w:pPr>
              <w:spacing w:after="80" w:before="80" w:line="269" w:lineRule="auto"/>
            </w:pPr>
            <w:r>
              <w:rPr>
                <w:rFonts w:ascii="Calibri" w:hAnsi="Calibri" w:eastAsia="微软雅黑"/>
                <w:b w:val="0"/>
                <w:color w:val="263442"/>
                <w:sz w:val="19"/>
              </w:rPr>
              <w:t>-41.25</w:t>
            </w:r>
          </w:p>
        </w:tc>
        <w:tc>
          <w:tcPr>
            <w:tcW w:type="dxa" w:w="1531"/>
            <w:shd w:fill="F6F8FA"/>
          </w:tcPr>
          <w:p>
            <w:pPr>
              <w:spacing w:after="80" w:before="80" w:line="269" w:lineRule="auto"/>
            </w:pPr>
            <w:r>
              <w:rPr>
                <w:rFonts w:ascii="Calibri" w:hAnsi="Calibri" w:eastAsia="微软雅黑"/>
                <w:b w:val="0"/>
                <w:color w:val="263442"/>
                <w:sz w:val="19"/>
              </w:rPr>
              <w:t>24/24</w:t>
            </w:r>
          </w:p>
        </w:tc>
      </w:tr>
    </w:tbl>
    <w:p>
      <w:pPr>
        <w:pStyle w:val="Heading2"/>
        <w:keepNext/>
      </w:pPr>
      <w:r>
        <w:rPr>
          <w:rFonts w:ascii="Calibri" w:hAnsi="Calibri" w:eastAsia="微软雅黑"/>
          <w:b/>
          <w:color w:val="2166AC"/>
          <w:sz w:val="25"/>
        </w:rPr>
        <w:t>为什么这对测试研究有价值</w:t>
      </w:r>
    </w:p>
    <w:p>
      <w:pPr>
        <w:spacing w:after="140" w:line="312" w:lineRule="auto"/>
      </w:pPr>
      <w:r>
        <w:rPr>
          <w:rFonts w:ascii="Calibri" w:hAnsi="Calibri" w:eastAsia="微软雅黑"/>
          <w:b w:val="0"/>
          <w:color w:val="263442"/>
          <w:sz w:val="22"/>
        </w:rPr>
        <w:t>总体F1把不同视觉条件混合到一个数值里，而分层结果把条件差异展开了。例如，Objects365的本地与线上分层分别产生41.80和41.25个百分点的平均落差。这个量级让测试者能够直接看到：同一套模型面对该池的不同风险条件时，测得表现有很大差别。</w:t>
      </w:r>
    </w:p>
    <w:p>
      <w:pPr>
        <w:spacing w:after="140" w:line="312" w:lineRule="auto"/>
      </w:pPr>
      <w:r>
        <w:rPr>
          <w:rFonts w:ascii="Calibri" w:hAnsi="Calibri" w:eastAsia="微软雅黑"/>
          <w:b w:val="0"/>
          <w:color w:val="263442"/>
          <w:sz w:val="22"/>
        </w:rPr>
        <w:t>这里可形成一种更具体的能力描述：既报告模型的总体分数，也报告低风险层、高风险层和层间落差。三个数字共同刻画模型的表现水平及其对测试条件变化的响应，为后续选择重点测试条件提供依据。</w:t>
      </w:r>
    </w:p>
    <w:p>
      <w:pPr>
        <w:spacing w:after="140" w:line="312" w:lineRule="auto"/>
      </w:pPr>
      <w:r>
        <w:rPr>
          <w:rFonts w:ascii="Calibri" w:hAnsi="Calibri" w:eastAsia="微软雅黑"/>
          <w:b/>
          <w:color w:val="2166AC"/>
          <w:sz w:val="22"/>
        </w:rPr>
        <w:t>可用于论文的表述：在冻结模型、类别比例及风险规则的条件下，预定义视觉风险分层在三个确认池中揭示了明确的条件性能差异，为总体分类指标提供了分层解释。</w:t>
      </w:r>
    </w:p>
    <w:p>
      <w:r>
        <w:br w:type="page"/>
      </w:r>
    </w:p>
    <w:p>
      <w:pPr>
        <w:pStyle w:val="Heading1"/>
        <w:keepNext/>
      </w:pPr>
      <w:r>
        <w:rPr>
          <w:rFonts w:ascii="Calibri" w:hAnsi="Calibri" w:eastAsia="微软雅黑"/>
          <w:b/>
          <w:color w:val="2166AC"/>
          <w:sz w:val="32"/>
        </w:rPr>
        <w:t>图1｜风险落差与随机分组波动直接对照</w:t>
      </w:r>
    </w:p>
    <w:p>
      <w:pPr>
        <w:keepNext/>
        <w:jc w:val="center"/>
      </w:pPr>
      <w:r>
        <w:drawing>
          <wp:inline xmlns:a="http://schemas.openxmlformats.org/drawingml/2006/main" xmlns:pic="http://schemas.openxmlformats.org/drawingml/2006/picture">
            <wp:extent cx="6048000" cy="3344019"/>
            <wp:docPr id="1" name="Picture 1"/>
            <wp:cNvGraphicFramePr>
              <a:graphicFrameLocks noChangeAspect="1"/>
            </wp:cNvGraphicFramePr>
            <a:graphic>
              <a:graphicData uri="http://schemas.openxmlformats.org/drawingml/2006/picture">
                <pic:pic>
                  <pic:nvPicPr>
                    <pic:cNvPr id="0" name="01_risk_gap_vs_random.png"/>
                    <pic:cNvPicPr/>
                  </pic:nvPicPr>
                  <pic:blipFill>
                    <a:blip r:embed="rId11"/>
                    <a:stretch>
                      <a:fillRect/>
                    </a:stretch>
                  </pic:blipFill>
                  <pic:spPr>
                    <a:xfrm>
                      <a:off x="0" y="0"/>
                      <a:ext cx="6048000" cy="3344019"/>
                    </a:xfrm>
                    <a:prstGeom prst="rect"/>
                  </pic:spPr>
                </pic:pic>
              </a:graphicData>
            </a:graphic>
          </wp:inline>
        </w:drawing>
      </w:r>
    </w:p>
    <w:p>
      <w:pPr>
        <w:spacing w:after="160" w:line="288" w:lineRule="auto"/>
      </w:pPr>
      <w:r>
        <w:rPr>
          <w:rFonts w:ascii="Calibri" w:hAnsi="Calibri" w:eastAsia="微软雅黑"/>
          <w:b w:val="0"/>
          <w:color w:val="526477"/>
          <w:sz w:val="19"/>
        </w:rPr>
        <w:t>蓝色菱形为实际风险分层的Q5−Q1平均Macro-F1差；灰色短条为10000次类别内随机划层的95%百分位范围。横轴为共同的百分点差值刻度，虚线表示零差。</w:t>
      </w:r>
    </w:p>
    <w:p>
      <w:pPr>
        <w:spacing w:after="80" w:line="312" w:lineRule="auto"/>
      </w:pPr>
      <w:r>
        <w:rPr>
          <w:rFonts w:ascii="Calibri" w:hAnsi="Calibri" w:eastAsia="微软雅黑"/>
          <w:b w:val="0"/>
          <w:color w:val="263442"/>
          <w:sz w:val="22"/>
        </w:rPr>
        <w:t>读图时比较蓝色菱形与零线附近的灰条。六个蓝色点均位于灰条左侧较远位置：风险分层能够形成明确落差，而随机分组通常只形成零附近的波动。每行直接标出了实际差值和随机范围，避免多条相近曲线遮住主要对比。</w:t>
      </w:r>
    </w:p>
    <w:p>
      <w:r>
        <w:br w:type="page"/>
      </w:r>
    </w:p>
    <w:p>
      <w:pPr>
        <w:pStyle w:val="Heading1"/>
        <w:keepNext/>
      </w:pPr>
      <w:r>
        <w:rPr>
          <w:rFonts w:ascii="Calibri" w:hAnsi="Calibri" w:eastAsia="微软雅黑"/>
          <w:b/>
          <w:color w:val="2166AC"/>
          <w:sz w:val="32"/>
        </w:rPr>
        <w:t>三、优点2：风险分层提供了超过随机分组的信息</w:t>
      </w:r>
    </w:p>
    <w:p>
      <w:pPr>
        <w:spacing w:after="140" w:line="312" w:lineRule="auto"/>
      </w:pPr>
      <w:r>
        <w:rPr>
          <w:rFonts w:ascii="Calibri" w:hAnsi="Calibri" w:eastAsia="微软雅黑"/>
          <w:b w:val="0"/>
          <w:color w:val="263442"/>
          <w:sz w:val="22"/>
        </w:rPr>
        <w:t>为了判断风险层之间的落差是否只是随机分组产生的现象，本轮增加了类别内随机五等分对照。每次随机排列同一池内各类别的全部目标，再划为五个等量层。层大小、六类比例和分类器预测与原风险分层一致，只改变分层依据。每个池重复10000次。</w:t>
      </w:r>
    </w:p>
    <w:p>
      <w:pPr>
        <w:spacing w:after="100" w:line="312" w:lineRule="auto"/>
      </w:pPr>
      <w:r>
        <w:rPr>
          <w:rFonts w:ascii="Calibri" w:hAnsi="Calibri" w:eastAsia="微软雅黑"/>
          <w:b/>
          <w:color w:val="263442"/>
          <w:sz w:val="20"/>
        </w:rPr>
        <w:t>表4 风险分层与类别内随机分层的直接比较</w:t>
      </w:r>
    </w:p>
    <w:tbl>
      <w:tblPr>
        <w:tblStyle w:val="TableGrid"/>
        <w:tblW w:type="auto" w:w="0"/>
        <w:tblLayout w:type="fixed"/>
        <w:tblLook w:firstColumn="1" w:firstRow="1" w:lastColumn="0" w:lastRow="0" w:noHBand="0" w:noVBand="1" w:val="04A0"/>
      </w:tblPr>
      <w:tblGrid>
        <w:gridCol w:w="1361"/>
        <w:gridCol w:w="1020"/>
        <w:gridCol w:w="1134"/>
        <w:gridCol w:w="1134"/>
        <w:gridCol w:w="2494"/>
        <w:gridCol w:w="1247"/>
        <w:gridCol w:w="1134"/>
      </w:tblGrid>
      <w:tr>
        <w:trPr>
          <w:cantSplit/>
          <w:tblHeader/>
        </w:trPr>
        <w:tc>
          <w:tcPr>
            <w:tcW w:type="dxa" w:w="1361"/>
            <w:shd w:fill="E7EFF7"/>
          </w:tcPr>
          <w:p>
            <w:pPr>
              <w:spacing w:after="80" w:before="80" w:line="269" w:lineRule="auto"/>
            </w:pPr>
            <w:r>
              <w:rPr>
                <w:rFonts w:ascii="Calibri" w:hAnsi="Calibri" w:eastAsia="微软雅黑"/>
                <w:b/>
                <w:color w:val="263442"/>
                <w:sz w:val="19"/>
              </w:rPr>
              <w:t>池</w:t>
            </w:r>
          </w:p>
        </w:tc>
        <w:tc>
          <w:tcPr>
            <w:tcW w:type="dxa" w:w="1020"/>
            <w:shd w:fill="E7EFF7"/>
          </w:tcPr>
          <w:p>
            <w:pPr>
              <w:spacing w:after="80" w:before="80" w:line="269" w:lineRule="auto"/>
            </w:pPr>
            <w:r>
              <w:rPr>
                <w:rFonts w:ascii="Calibri" w:hAnsi="Calibri" w:eastAsia="微软雅黑"/>
                <w:b/>
                <w:color w:val="263442"/>
                <w:sz w:val="19"/>
              </w:rPr>
              <w:t>来源</w:t>
            </w:r>
          </w:p>
        </w:tc>
        <w:tc>
          <w:tcPr>
            <w:tcW w:type="dxa" w:w="1134"/>
            <w:shd w:fill="E7EFF7"/>
          </w:tcPr>
          <w:p>
            <w:pPr>
              <w:spacing w:after="80" w:before="80" w:line="269" w:lineRule="auto"/>
            </w:pPr>
            <w:r>
              <w:rPr>
                <w:rFonts w:ascii="Calibri" w:hAnsi="Calibri" w:eastAsia="微软雅黑"/>
                <w:b/>
                <w:color w:val="263442"/>
                <w:sz w:val="19"/>
              </w:rPr>
              <w:t>风险差</w:t>
              <w:br/>
              <w:t>（pp）</w:t>
            </w:r>
          </w:p>
        </w:tc>
        <w:tc>
          <w:tcPr>
            <w:tcW w:type="dxa" w:w="1134"/>
            <w:shd w:fill="E7EFF7"/>
          </w:tcPr>
          <w:p>
            <w:pPr>
              <w:spacing w:after="80" w:before="80" w:line="269" w:lineRule="auto"/>
            </w:pPr>
            <w:r>
              <w:rPr>
                <w:rFonts w:ascii="Calibri" w:hAnsi="Calibri" w:eastAsia="微软雅黑"/>
                <w:b/>
                <w:color w:val="263442"/>
                <w:sz w:val="19"/>
              </w:rPr>
              <w:t>随机均差</w:t>
              <w:br/>
              <w:t>（pp）</w:t>
            </w:r>
          </w:p>
        </w:tc>
        <w:tc>
          <w:tcPr>
            <w:tcW w:type="dxa" w:w="2494"/>
            <w:shd w:fill="E7EFF7"/>
          </w:tcPr>
          <w:p>
            <w:pPr>
              <w:spacing w:after="80" w:before="80" w:line="269" w:lineRule="auto"/>
            </w:pPr>
            <w:r>
              <w:rPr>
                <w:rFonts w:ascii="Calibri" w:hAnsi="Calibri" w:eastAsia="微软雅黑"/>
                <w:b/>
                <w:color w:val="263442"/>
                <w:sz w:val="19"/>
              </w:rPr>
              <w:t>随机95%范围</w:t>
              <w:br/>
              <w:t>（pp）</w:t>
            </w:r>
          </w:p>
        </w:tc>
        <w:tc>
          <w:tcPr>
            <w:tcW w:type="dxa" w:w="1247"/>
            <w:shd w:fill="E7EFF7"/>
          </w:tcPr>
          <w:p>
            <w:pPr>
              <w:spacing w:after="80" w:before="80" w:line="269" w:lineRule="auto"/>
            </w:pPr>
            <w:r>
              <w:rPr>
                <w:rFonts w:ascii="Calibri" w:hAnsi="Calibri" w:eastAsia="微软雅黑"/>
                <w:b/>
                <w:color w:val="263442"/>
                <w:sz w:val="19"/>
              </w:rPr>
              <w:t>极端次数</w:t>
            </w:r>
          </w:p>
        </w:tc>
        <w:tc>
          <w:tcPr>
            <w:tcW w:type="dxa" w:w="1134"/>
            <w:shd w:fill="E7EFF7"/>
          </w:tcPr>
          <w:p>
            <w:pPr>
              <w:spacing w:after="80" w:before="80" w:line="269" w:lineRule="auto"/>
            </w:pPr>
            <w:r>
              <w:rPr>
                <w:rFonts w:ascii="Calibri" w:hAnsi="Calibri" w:eastAsia="微软雅黑"/>
                <w:b/>
                <w:color w:val="263442"/>
                <w:sz w:val="19"/>
              </w:rPr>
              <w:t>校正p</w:t>
            </w:r>
          </w:p>
        </w:tc>
      </w:tr>
      <w:tr>
        <w:trPr>
          <w:cantSplit/>
        </w:trPr>
        <w:tc>
          <w:tcPr>
            <w:tcW w:type="dxa" w:w="1361"/>
            <w:shd w:fill="FFFFFF"/>
          </w:tcPr>
          <w:p>
            <w:pPr>
              <w:spacing w:after="80" w:before="80" w:line="269" w:lineRule="auto"/>
            </w:pPr>
            <w:r>
              <w:rPr>
                <w:rFonts w:ascii="Calibri" w:hAnsi="Calibri" w:eastAsia="微软雅黑"/>
                <w:b w:val="0"/>
                <w:color w:val="263442"/>
                <w:sz w:val="19"/>
              </w:rPr>
              <w:t>COCO</w:t>
            </w:r>
          </w:p>
        </w:tc>
        <w:tc>
          <w:tcPr>
            <w:tcW w:type="dxa" w:w="1020"/>
            <w:shd w:fill="FFFFFF"/>
          </w:tcPr>
          <w:p>
            <w:pPr>
              <w:spacing w:after="80" w:before="80" w:line="269" w:lineRule="auto"/>
            </w:pPr>
            <w:r>
              <w:rPr>
                <w:rFonts w:ascii="Calibri" w:hAnsi="Calibri" w:eastAsia="微软雅黑"/>
                <w:b w:val="0"/>
                <w:color w:val="263442"/>
                <w:sz w:val="19"/>
              </w:rPr>
              <w:t>本地VLM</w:t>
            </w:r>
          </w:p>
        </w:tc>
        <w:tc>
          <w:tcPr>
            <w:tcW w:type="dxa" w:w="1134"/>
            <w:shd w:fill="FFFFFF"/>
          </w:tcPr>
          <w:p>
            <w:pPr>
              <w:spacing w:after="80" w:before="80" w:line="269" w:lineRule="auto"/>
            </w:pPr>
            <w:r>
              <w:rPr>
                <w:rFonts w:ascii="Calibri" w:hAnsi="Calibri" w:eastAsia="微软雅黑"/>
                <w:b w:val="0"/>
                <w:color w:val="263442"/>
                <w:sz w:val="19"/>
              </w:rPr>
              <w:t>-25.50</w:t>
            </w:r>
          </w:p>
        </w:tc>
        <w:tc>
          <w:tcPr>
            <w:tcW w:type="dxa" w:w="1134"/>
            <w:shd w:fill="FFFFFF"/>
          </w:tcPr>
          <w:p>
            <w:pPr>
              <w:spacing w:after="80" w:before="80" w:line="269" w:lineRule="auto"/>
            </w:pPr>
            <w:r>
              <w:rPr>
                <w:rFonts w:ascii="Calibri" w:hAnsi="Calibri" w:eastAsia="微软雅黑"/>
                <w:b w:val="0"/>
                <w:color w:val="263442"/>
                <w:sz w:val="19"/>
              </w:rPr>
              <w:t>-0.01</w:t>
            </w:r>
          </w:p>
        </w:tc>
        <w:tc>
          <w:tcPr>
            <w:tcW w:type="dxa" w:w="2494"/>
            <w:shd w:fill="FFFFFF"/>
          </w:tcPr>
          <w:p>
            <w:pPr>
              <w:spacing w:after="80" w:before="80" w:line="269" w:lineRule="auto"/>
            </w:pPr>
            <w:r>
              <w:rPr>
                <w:rFonts w:ascii="Calibri" w:hAnsi="Calibri" w:eastAsia="微软雅黑"/>
                <w:b w:val="0"/>
                <w:color w:val="263442"/>
                <w:sz w:val="19"/>
              </w:rPr>
              <w:t>[-3.24, +3.22]</w:t>
            </w:r>
          </w:p>
        </w:tc>
        <w:tc>
          <w:tcPr>
            <w:tcW w:type="dxa" w:w="1247"/>
            <w:shd w:fill="FFFFFF"/>
          </w:tcPr>
          <w:p>
            <w:pPr>
              <w:spacing w:after="80" w:before="80" w:line="269" w:lineRule="auto"/>
            </w:pPr>
            <w:r>
              <w:rPr>
                <w:rFonts w:ascii="Calibri" w:hAnsi="Calibri" w:eastAsia="微软雅黑"/>
                <w:b w:val="0"/>
                <w:color w:val="263442"/>
                <w:sz w:val="19"/>
              </w:rPr>
              <w:t>0/10000</w:t>
            </w:r>
          </w:p>
        </w:tc>
        <w:tc>
          <w:tcPr>
            <w:tcW w:type="dxa" w:w="1134"/>
            <w:shd w:fill="FFFFFF"/>
          </w:tcPr>
          <w:p>
            <w:pPr>
              <w:spacing w:after="80" w:before="80" w:line="269" w:lineRule="auto"/>
            </w:pPr>
            <w:r>
              <w:rPr>
                <w:rFonts w:ascii="Calibri" w:hAnsi="Calibri" w:eastAsia="微软雅黑"/>
                <w:b w:val="0"/>
                <w:color w:val="263442"/>
                <w:sz w:val="19"/>
              </w:rPr>
              <w:t>0.00060</w:t>
            </w:r>
          </w:p>
        </w:tc>
      </w:tr>
      <w:tr>
        <w:trPr>
          <w:cantSplit/>
        </w:trPr>
        <w:tc>
          <w:tcPr>
            <w:tcW w:type="dxa" w:w="1361"/>
            <w:shd w:fill="F6F8FA"/>
          </w:tcPr>
          <w:p>
            <w:pPr>
              <w:spacing w:after="80" w:before="80" w:line="269" w:lineRule="auto"/>
            </w:pPr>
            <w:r>
              <w:rPr>
                <w:rFonts w:ascii="Calibri" w:hAnsi="Calibri" w:eastAsia="微软雅黑"/>
                <w:b w:val="0"/>
                <w:color w:val="263442"/>
                <w:sz w:val="19"/>
              </w:rPr>
              <w:t>COCO</w:t>
            </w:r>
          </w:p>
        </w:tc>
        <w:tc>
          <w:tcPr>
            <w:tcW w:type="dxa" w:w="1020"/>
            <w:shd w:fill="F6F8FA"/>
          </w:tcPr>
          <w:p>
            <w:pPr>
              <w:spacing w:after="80" w:before="80" w:line="269" w:lineRule="auto"/>
            </w:pPr>
            <w:r>
              <w:rPr>
                <w:rFonts w:ascii="Calibri" w:hAnsi="Calibri" w:eastAsia="微软雅黑"/>
                <w:b w:val="0"/>
                <w:color w:val="263442"/>
                <w:sz w:val="19"/>
              </w:rPr>
              <w:t>线上VLM</w:t>
            </w:r>
          </w:p>
        </w:tc>
        <w:tc>
          <w:tcPr>
            <w:tcW w:type="dxa" w:w="1134"/>
            <w:shd w:fill="F6F8FA"/>
          </w:tcPr>
          <w:p>
            <w:pPr>
              <w:spacing w:after="80" w:before="80" w:line="269" w:lineRule="auto"/>
            </w:pPr>
            <w:r>
              <w:rPr>
                <w:rFonts w:ascii="Calibri" w:hAnsi="Calibri" w:eastAsia="微软雅黑"/>
                <w:b w:val="0"/>
                <w:color w:val="263442"/>
                <w:sz w:val="19"/>
              </w:rPr>
              <w:t>-21.30</w:t>
            </w:r>
          </w:p>
        </w:tc>
        <w:tc>
          <w:tcPr>
            <w:tcW w:type="dxa" w:w="1134"/>
            <w:shd w:fill="F6F8FA"/>
          </w:tcPr>
          <w:p>
            <w:pPr>
              <w:spacing w:after="80" w:before="80" w:line="269" w:lineRule="auto"/>
            </w:pPr>
            <w:r>
              <w:rPr>
                <w:rFonts w:ascii="Calibri" w:hAnsi="Calibri" w:eastAsia="微软雅黑"/>
                <w:b w:val="0"/>
                <w:color w:val="263442"/>
                <w:sz w:val="19"/>
              </w:rPr>
              <w:t>-0.01</w:t>
            </w:r>
          </w:p>
        </w:tc>
        <w:tc>
          <w:tcPr>
            <w:tcW w:type="dxa" w:w="2494"/>
            <w:shd w:fill="F6F8FA"/>
          </w:tcPr>
          <w:p>
            <w:pPr>
              <w:spacing w:after="80" w:before="80" w:line="269" w:lineRule="auto"/>
            </w:pPr>
            <w:r>
              <w:rPr>
                <w:rFonts w:ascii="Calibri" w:hAnsi="Calibri" w:eastAsia="微软雅黑"/>
                <w:b w:val="0"/>
                <w:color w:val="263442"/>
                <w:sz w:val="19"/>
              </w:rPr>
              <w:t>[-3.24, +3.22]</w:t>
            </w:r>
          </w:p>
        </w:tc>
        <w:tc>
          <w:tcPr>
            <w:tcW w:type="dxa" w:w="1247"/>
            <w:shd w:fill="F6F8FA"/>
          </w:tcPr>
          <w:p>
            <w:pPr>
              <w:spacing w:after="80" w:before="80" w:line="269" w:lineRule="auto"/>
            </w:pPr>
            <w:r>
              <w:rPr>
                <w:rFonts w:ascii="Calibri" w:hAnsi="Calibri" w:eastAsia="微软雅黑"/>
                <w:b w:val="0"/>
                <w:color w:val="263442"/>
                <w:sz w:val="19"/>
              </w:rPr>
              <w:t>0/10000</w:t>
            </w:r>
          </w:p>
        </w:tc>
        <w:tc>
          <w:tcPr>
            <w:tcW w:type="dxa" w:w="1134"/>
            <w:shd w:fill="F6F8FA"/>
          </w:tcPr>
          <w:p>
            <w:pPr>
              <w:spacing w:after="80" w:before="80" w:line="269" w:lineRule="auto"/>
            </w:pPr>
            <w:r>
              <w:rPr>
                <w:rFonts w:ascii="Calibri" w:hAnsi="Calibri" w:eastAsia="微软雅黑"/>
                <w:b w:val="0"/>
                <w:color w:val="263442"/>
                <w:sz w:val="19"/>
              </w:rPr>
              <w:t>0.00060</w:t>
            </w:r>
          </w:p>
        </w:tc>
      </w:tr>
      <w:tr>
        <w:trPr>
          <w:cantSplit/>
        </w:trPr>
        <w:tc>
          <w:tcPr>
            <w:tcW w:type="dxa" w:w="1361"/>
            <w:shd w:fill="FFFFFF"/>
          </w:tcPr>
          <w:p>
            <w:pPr>
              <w:spacing w:after="80" w:before="80" w:line="269" w:lineRule="auto"/>
            </w:pPr>
            <w:r>
              <w:rPr>
                <w:rFonts w:ascii="Calibri" w:hAnsi="Calibri" w:eastAsia="微软雅黑"/>
                <w:b w:val="0"/>
                <w:color w:val="263442"/>
                <w:sz w:val="19"/>
              </w:rPr>
              <w:t>VOC2007</w:t>
            </w:r>
          </w:p>
        </w:tc>
        <w:tc>
          <w:tcPr>
            <w:tcW w:type="dxa" w:w="1020"/>
            <w:shd w:fill="FFFFFF"/>
          </w:tcPr>
          <w:p>
            <w:pPr>
              <w:spacing w:after="80" w:before="80" w:line="269" w:lineRule="auto"/>
            </w:pPr>
            <w:r>
              <w:rPr>
                <w:rFonts w:ascii="Calibri" w:hAnsi="Calibri" w:eastAsia="微软雅黑"/>
                <w:b w:val="0"/>
                <w:color w:val="263442"/>
                <w:sz w:val="19"/>
              </w:rPr>
              <w:t>本地VLM</w:t>
            </w:r>
          </w:p>
        </w:tc>
        <w:tc>
          <w:tcPr>
            <w:tcW w:type="dxa" w:w="1134"/>
            <w:shd w:fill="FFFFFF"/>
          </w:tcPr>
          <w:p>
            <w:pPr>
              <w:spacing w:after="80" w:before="80" w:line="269" w:lineRule="auto"/>
            </w:pPr>
            <w:r>
              <w:rPr>
                <w:rFonts w:ascii="Calibri" w:hAnsi="Calibri" w:eastAsia="微软雅黑"/>
                <w:b w:val="0"/>
                <w:color w:val="263442"/>
                <w:sz w:val="19"/>
              </w:rPr>
              <w:t>-16.57</w:t>
            </w:r>
          </w:p>
        </w:tc>
        <w:tc>
          <w:tcPr>
            <w:tcW w:type="dxa" w:w="1134"/>
            <w:shd w:fill="FFFFFF"/>
          </w:tcPr>
          <w:p>
            <w:pPr>
              <w:spacing w:after="80" w:before="80" w:line="269" w:lineRule="auto"/>
            </w:pPr>
            <w:r>
              <w:rPr>
                <w:rFonts w:ascii="Calibri" w:hAnsi="Calibri" w:eastAsia="微软雅黑"/>
                <w:b w:val="0"/>
                <w:color w:val="263442"/>
                <w:sz w:val="19"/>
              </w:rPr>
              <w:t>+0.02</w:t>
            </w:r>
          </w:p>
        </w:tc>
        <w:tc>
          <w:tcPr>
            <w:tcW w:type="dxa" w:w="2494"/>
            <w:shd w:fill="FFFFFF"/>
          </w:tcPr>
          <w:p>
            <w:pPr>
              <w:spacing w:after="80" w:before="80" w:line="269" w:lineRule="auto"/>
            </w:pPr>
            <w:r>
              <w:rPr>
                <w:rFonts w:ascii="Calibri" w:hAnsi="Calibri" w:eastAsia="微软雅黑"/>
                <w:b w:val="0"/>
                <w:color w:val="263442"/>
                <w:sz w:val="19"/>
              </w:rPr>
              <w:t>[-5.61, +5.76]</w:t>
            </w:r>
          </w:p>
        </w:tc>
        <w:tc>
          <w:tcPr>
            <w:tcW w:type="dxa" w:w="1247"/>
            <w:shd w:fill="FFFFFF"/>
          </w:tcPr>
          <w:p>
            <w:pPr>
              <w:spacing w:after="80" w:before="80" w:line="269" w:lineRule="auto"/>
            </w:pPr>
            <w:r>
              <w:rPr>
                <w:rFonts w:ascii="Calibri" w:hAnsi="Calibri" w:eastAsia="微软雅黑"/>
                <w:b w:val="0"/>
                <w:color w:val="263442"/>
                <w:sz w:val="19"/>
              </w:rPr>
              <w:t>0/10000</w:t>
            </w:r>
          </w:p>
        </w:tc>
        <w:tc>
          <w:tcPr>
            <w:tcW w:type="dxa" w:w="1134"/>
            <w:shd w:fill="FFFFFF"/>
          </w:tcPr>
          <w:p>
            <w:pPr>
              <w:spacing w:after="80" w:before="80" w:line="269" w:lineRule="auto"/>
            </w:pPr>
            <w:r>
              <w:rPr>
                <w:rFonts w:ascii="Calibri" w:hAnsi="Calibri" w:eastAsia="微软雅黑"/>
                <w:b w:val="0"/>
                <w:color w:val="263442"/>
                <w:sz w:val="19"/>
              </w:rPr>
              <w:t>0.00060</w:t>
            </w:r>
          </w:p>
        </w:tc>
      </w:tr>
      <w:tr>
        <w:trPr>
          <w:cantSplit/>
        </w:trPr>
        <w:tc>
          <w:tcPr>
            <w:tcW w:type="dxa" w:w="1361"/>
            <w:shd w:fill="F6F8FA"/>
          </w:tcPr>
          <w:p>
            <w:pPr>
              <w:spacing w:after="80" w:before="80" w:line="269" w:lineRule="auto"/>
            </w:pPr>
            <w:r>
              <w:rPr>
                <w:rFonts w:ascii="Calibri" w:hAnsi="Calibri" w:eastAsia="微软雅黑"/>
                <w:b w:val="0"/>
                <w:color w:val="263442"/>
                <w:sz w:val="19"/>
              </w:rPr>
              <w:t>VOC2007</w:t>
            </w:r>
          </w:p>
        </w:tc>
        <w:tc>
          <w:tcPr>
            <w:tcW w:type="dxa" w:w="1020"/>
            <w:shd w:fill="F6F8FA"/>
          </w:tcPr>
          <w:p>
            <w:pPr>
              <w:spacing w:after="80" w:before="80" w:line="269" w:lineRule="auto"/>
            </w:pPr>
            <w:r>
              <w:rPr>
                <w:rFonts w:ascii="Calibri" w:hAnsi="Calibri" w:eastAsia="微软雅黑"/>
                <w:b w:val="0"/>
                <w:color w:val="263442"/>
                <w:sz w:val="19"/>
              </w:rPr>
              <w:t>线上VLM</w:t>
            </w:r>
          </w:p>
        </w:tc>
        <w:tc>
          <w:tcPr>
            <w:tcW w:type="dxa" w:w="1134"/>
            <w:shd w:fill="F6F8FA"/>
          </w:tcPr>
          <w:p>
            <w:pPr>
              <w:spacing w:after="80" w:before="80" w:line="269" w:lineRule="auto"/>
            </w:pPr>
            <w:r>
              <w:rPr>
                <w:rFonts w:ascii="Calibri" w:hAnsi="Calibri" w:eastAsia="微软雅黑"/>
                <w:b w:val="0"/>
                <w:color w:val="263442"/>
                <w:sz w:val="19"/>
              </w:rPr>
              <w:t>-14.44</w:t>
            </w:r>
          </w:p>
        </w:tc>
        <w:tc>
          <w:tcPr>
            <w:tcW w:type="dxa" w:w="1134"/>
            <w:shd w:fill="F6F8FA"/>
          </w:tcPr>
          <w:p>
            <w:pPr>
              <w:spacing w:after="80" w:before="80" w:line="269" w:lineRule="auto"/>
            </w:pPr>
            <w:r>
              <w:rPr>
                <w:rFonts w:ascii="Calibri" w:hAnsi="Calibri" w:eastAsia="微软雅黑"/>
                <w:b w:val="0"/>
                <w:color w:val="263442"/>
                <w:sz w:val="19"/>
              </w:rPr>
              <w:t>+0.02</w:t>
            </w:r>
          </w:p>
        </w:tc>
        <w:tc>
          <w:tcPr>
            <w:tcW w:type="dxa" w:w="2494"/>
            <w:shd w:fill="F6F8FA"/>
          </w:tcPr>
          <w:p>
            <w:pPr>
              <w:spacing w:after="80" w:before="80" w:line="269" w:lineRule="auto"/>
            </w:pPr>
            <w:r>
              <w:rPr>
                <w:rFonts w:ascii="Calibri" w:hAnsi="Calibri" w:eastAsia="微软雅黑"/>
                <w:b w:val="0"/>
                <w:color w:val="263442"/>
                <w:sz w:val="19"/>
              </w:rPr>
              <w:t>[-5.61, +5.76]</w:t>
            </w:r>
          </w:p>
        </w:tc>
        <w:tc>
          <w:tcPr>
            <w:tcW w:type="dxa" w:w="1247"/>
            <w:shd w:fill="F6F8FA"/>
          </w:tcPr>
          <w:p>
            <w:pPr>
              <w:spacing w:after="80" w:before="80" w:line="269" w:lineRule="auto"/>
            </w:pPr>
            <w:r>
              <w:rPr>
                <w:rFonts w:ascii="Calibri" w:hAnsi="Calibri" w:eastAsia="微软雅黑"/>
                <w:b w:val="0"/>
                <w:color w:val="263442"/>
                <w:sz w:val="19"/>
              </w:rPr>
              <w:t>0/10000</w:t>
            </w:r>
          </w:p>
        </w:tc>
        <w:tc>
          <w:tcPr>
            <w:tcW w:type="dxa" w:w="1134"/>
            <w:shd w:fill="F6F8FA"/>
          </w:tcPr>
          <w:p>
            <w:pPr>
              <w:spacing w:after="80" w:before="80" w:line="269" w:lineRule="auto"/>
            </w:pPr>
            <w:r>
              <w:rPr>
                <w:rFonts w:ascii="Calibri" w:hAnsi="Calibri" w:eastAsia="微软雅黑"/>
                <w:b w:val="0"/>
                <w:color w:val="263442"/>
                <w:sz w:val="19"/>
              </w:rPr>
              <w:t>0.00060</w:t>
            </w:r>
          </w:p>
        </w:tc>
      </w:tr>
      <w:tr>
        <w:trPr>
          <w:cantSplit/>
        </w:trPr>
        <w:tc>
          <w:tcPr>
            <w:tcW w:type="dxa" w:w="1361"/>
            <w:shd w:fill="FFFFFF"/>
          </w:tcPr>
          <w:p>
            <w:pPr>
              <w:spacing w:after="80" w:before="80" w:line="269" w:lineRule="auto"/>
            </w:pPr>
            <w:r>
              <w:rPr>
                <w:rFonts w:ascii="Calibri" w:hAnsi="Calibri" w:eastAsia="微软雅黑"/>
                <w:b w:val="0"/>
                <w:color w:val="263442"/>
                <w:sz w:val="19"/>
              </w:rPr>
              <w:t>Objects365</w:t>
            </w:r>
          </w:p>
        </w:tc>
        <w:tc>
          <w:tcPr>
            <w:tcW w:type="dxa" w:w="1020"/>
            <w:shd w:fill="FFFFFF"/>
          </w:tcPr>
          <w:p>
            <w:pPr>
              <w:spacing w:after="80" w:before="80" w:line="269" w:lineRule="auto"/>
            </w:pPr>
            <w:r>
              <w:rPr>
                <w:rFonts w:ascii="Calibri" w:hAnsi="Calibri" w:eastAsia="微软雅黑"/>
                <w:b w:val="0"/>
                <w:color w:val="263442"/>
                <w:sz w:val="19"/>
              </w:rPr>
              <w:t>本地VLM</w:t>
            </w:r>
          </w:p>
        </w:tc>
        <w:tc>
          <w:tcPr>
            <w:tcW w:type="dxa" w:w="1134"/>
            <w:shd w:fill="FFFFFF"/>
          </w:tcPr>
          <w:p>
            <w:pPr>
              <w:spacing w:after="80" w:before="80" w:line="269" w:lineRule="auto"/>
            </w:pPr>
            <w:r>
              <w:rPr>
                <w:rFonts w:ascii="Calibri" w:hAnsi="Calibri" w:eastAsia="微软雅黑"/>
                <w:b w:val="0"/>
                <w:color w:val="263442"/>
                <w:sz w:val="19"/>
              </w:rPr>
              <w:t>-41.80</w:t>
            </w:r>
          </w:p>
        </w:tc>
        <w:tc>
          <w:tcPr>
            <w:tcW w:type="dxa" w:w="1134"/>
            <w:shd w:fill="FFFFFF"/>
          </w:tcPr>
          <w:p>
            <w:pPr>
              <w:spacing w:after="80" w:before="80" w:line="269" w:lineRule="auto"/>
            </w:pPr>
            <w:r>
              <w:rPr>
                <w:rFonts w:ascii="Calibri" w:hAnsi="Calibri" w:eastAsia="微软雅黑"/>
                <w:b w:val="0"/>
                <w:color w:val="263442"/>
                <w:sz w:val="19"/>
              </w:rPr>
              <w:t>+0.01</w:t>
            </w:r>
          </w:p>
        </w:tc>
        <w:tc>
          <w:tcPr>
            <w:tcW w:type="dxa" w:w="2494"/>
            <w:shd w:fill="FFFFFF"/>
          </w:tcPr>
          <w:p>
            <w:pPr>
              <w:spacing w:after="80" w:before="80" w:line="269" w:lineRule="auto"/>
            </w:pPr>
            <w:r>
              <w:rPr>
                <w:rFonts w:ascii="Calibri" w:hAnsi="Calibri" w:eastAsia="微软雅黑"/>
                <w:b w:val="0"/>
                <w:color w:val="263442"/>
                <w:sz w:val="19"/>
              </w:rPr>
              <w:t>[-4.24, +4.23]</w:t>
            </w:r>
          </w:p>
        </w:tc>
        <w:tc>
          <w:tcPr>
            <w:tcW w:type="dxa" w:w="1247"/>
            <w:shd w:fill="FFFFFF"/>
          </w:tcPr>
          <w:p>
            <w:pPr>
              <w:spacing w:after="80" w:before="80" w:line="269" w:lineRule="auto"/>
            </w:pPr>
            <w:r>
              <w:rPr>
                <w:rFonts w:ascii="Calibri" w:hAnsi="Calibri" w:eastAsia="微软雅黑"/>
                <w:b w:val="0"/>
                <w:color w:val="263442"/>
                <w:sz w:val="19"/>
              </w:rPr>
              <w:t>0/10000</w:t>
            </w:r>
          </w:p>
        </w:tc>
        <w:tc>
          <w:tcPr>
            <w:tcW w:type="dxa" w:w="1134"/>
            <w:shd w:fill="FFFFFF"/>
          </w:tcPr>
          <w:p>
            <w:pPr>
              <w:spacing w:after="80" w:before="80" w:line="269" w:lineRule="auto"/>
            </w:pPr>
            <w:r>
              <w:rPr>
                <w:rFonts w:ascii="Calibri" w:hAnsi="Calibri" w:eastAsia="微软雅黑"/>
                <w:b w:val="0"/>
                <w:color w:val="263442"/>
                <w:sz w:val="19"/>
              </w:rPr>
              <w:t>0.00060</w:t>
            </w:r>
          </w:p>
        </w:tc>
      </w:tr>
      <w:tr>
        <w:trPr>
          <w:cantSplit/>
        </w:trPr>
        <w:tc>
          <w:tcPr>
            <w:tcW w:type="dxa" w:w="1361"/>
            <w:shd w:fill="F6F8FA"/>
          </w:tcPr>
          <w:p>
            <w:pPr>
              <w:spacing w:after="80" w:before="80" w:line="269" w:lineRule="auto"/>
            </w:pPr>
            <w:r>
              <w:rPr>
                <w:rFonts w:ascii="Calibri" w:hAnsi="Calibri" w:eastAsia="微软雅黑"/>
                <w:b w:val="0"/>
                <w:color w:val="263442"/>
                <w:sz w:val="19"/>
              </w:rPr>
              <w:t>Objects365</w:t>
            </w:r>
          </w:p>
        </w:tc>
        <w:tc>
          <w:tcPr>
            <w:tcW w:type="dxa" w:w="1020"/>
            <w:shd w:fill="F6F8FA"/>
          </w:tcPr>
          <w:p>
            <w:pPr>
              <w:spacing w:after="80" w:before="80" w:line="269" w:lineRule="auto"/>
            </w:pPr>
            <w:r>
              <w:rPr>
                <w:rFonts w:ascii="Calibri" w:hAnsi="Calibri" w:eastAsia="微软雅黑"/>
                <w:b w:val="0"/>
                <w:color w:val="263442"/>
                <w:sz w:val="19"/>
              </w:rPr>
              <w:t>线上VLM</w:t>
            </w:r>
          </w:p>
        </w:tc>
        <w:tc>
          <w:tcPr>
            <w:tcW w:type="dxa" w:w="1134"/>
            <w:shd w:fill="F6F8FA"/>
          </w:tcPr>
          <w:p>
            <w:pPr>
              <w:spacing w:after="80" w:before="80" w:line="269" w:lineRule="auto"/>
            </w:pPr>
            <w:r>
              <w:rPr>
                <w:rFonts w:ascii="Calibri" w:hAnsi="Calibri" w:eastAsia="微软雅黑"/>
                <w:b w:val="0"/>
                <w:color w:val="263442"/>
                <w:sz w:val="19"/>
              </w:rPr>
              <w:t>-41.25</w:t>
            </w:r>
          </w:p>
        </w:tc>
        <w:tc>
          <w:tcPr>
            <w:tcW w:type="dxa" w:w="1134"/>
            <w:shd w:fill="F6F8FA"/>
          </w:tcPr>
          <w:p>
            <w:pPr>
              <w:spacing w:after="80" w:before="80" w:line="269" w:lineRule="auto"/>
            </w:pPr>
            <w:r>
              <w:rPr>
                <w:rFonts w:ascii="Calibri" w:hAnsi="Calibri" w:eastAsia="微软雅黑"/>
                <w:b w:val="0"/>
                <w:color w:val="263442"/>
                <w:sz w:val="19"/>
              </w:rPr>
              <w:t>+0.01</w:t>
            </w:r>
          </w:p>
        </w:tc>
        <w:tc>
          <w:tcPr>
            <w:tcW w:type="dxa" w:w="2494"/>
            <w:shd w:fill="F6F8FA"/>
          </w:tcPr>
          <w:p>
            <w:pPr>
              <w:spacing w:after="80" w:before="80" w:line="269" w:lineRule="auto"/>
            </w:pPr>
            <w:r>
              <w:rPr>
                <w:rFonts w:ascii="Calibri" w:hAnsi="Calibri" w:eastAsia="微软雅黑"/>
                <w:b w:val="0"/>
                <w:color w:val="263442"/>
                <w:sz w:val="19"/>
              </w:rPr>
              <w:t>[-4.24, +4.23]</w:t>
            </w:r>
          </w:p>
        </w:tc>
        <w:tc>
          <w:tcPr>
            <w:tcW w:type="dxa" w:w="1247"/>
            <w:shd w:fill="F6F8FA"/>
          </w:tcPr>
          <w:p>
            <w:pPr>
              <w:spacing w:after="80" w:before="80" w:line="269" w:lineRule="auto"/>
            </w:pPr>
            <w:r>
              <w:rPr>
                <w:rFonts w:ascii="Calibri" w:hAnsi="Calibri" w:eastAsia="微软雅黑"/>
                <w:b w:val="0"/>
                <w:color w:val="263442"/>
                <w:sz w:val="19"/>
              </w:rPr>
              <w:t>0/10000</w:t>
            </w:r>
          </w:p>
        </w:tc>
        <w:tc>
          <w:tcPr>
            <w:tcW w:type="dxa" w:w="1134"/>
            <w:shd w:fill="F6F8FA"/>
          </w:tcPr>
          <w:p>
            <w:pPr>
              <w:spacing w:after="80" w:before="80" w:line="269" w:lineRule="auto"/>
            </w:pPr>
            <w:r>
              <w:rPr>
                <w:rFonts w:ascii="Calibri" w:hAnsi="Calibri" w:eastAsia="微软雅黑"/>
                <w:b w:val="0"/>
                <w:color w:val="263442"/>
                <w:sz w:val="19"/>
              </w:rPr>
              <w:t>0.00060</w:t>
            </w:r>
          </w:p>
        </w:tc>
      </w:tr>
    </w:tbl>
    <w:p>
      <w:pPr>
        <w:spacing w:after="140" w:line="312" w:lineRule="auto"/>
      </w:pPr>
      <w:r>
        <w:rPr>
          <w:rFonts w:ascii="Calibri" w:hAnsi="Calibri" w:eastAsia="微软雅黑"/>
          <w:b w:val="0"/>
          <w:color w:val="263442"/>
          <w:sz w:val="22"/>
        </w:rPr>
        <w:t>三个池的随机分层平均差值都接近零。相应风险分层的落差为14.44—41.80个百分点，且10000次随机划层中均未出现绝对值至少同样大的面板落差。六项Holm校正后p值均为0.00060。随机95%范围描述的是同一有限池内的分组波动。</w:t>
      </w:r>
    </w:p>
    <w:p>
      <w:pPr>
        <w:pStyle w:val="Heading2"/>
        <w:keepNext/>
      </w:pPr>
      <w:r>
        <w:rPr>
          <w:rFonts w:ascii="Calibri" w:hAnsi="Calibri" w:eastAsia="微软雅黑"/>
          <w:b/>
          <w:color w:val="2166AC"/>
          <w:sz w:val="25"/>
        </w:rPr>
        <w:t>这一对照强化了什么</w:t>
      </w:r>
    </w:p>
    <w:p>
      <w:pPr>
        <w:spacing w:after="140" w:line="312" w:lineRule="auto"/>
      </w:pPr>
      <w:r>
        <w:rPr>
          <w:rFonts w:ascii="Calibri" w:hAnsi="Calibri" w:eastAsia="微软雅黑"/>
          <w:b w:val="0"/>
          <w:color w:val="263442"/>
          <w:sz w:val="22"/>
        </w:rPr>
        <w:t>它把“不同分组得到不同分数”推进为更具体的实证结论：按冻结视觉风险评分分层，能够产生超过类别内随机分组波动的性能差异。因而风险评分对当前测试组织提供了有用的区分信息。图1把这层差别直接呈现为实际落差与随机范围的位置对比。</w:t>
      </w:r>
    </w:p>
    <w:p>
      <w:pPr>
        <w:spacing w:after="140" w:line="312" w:lineRule="auto"/>
      </w:pPr>
      <w:r>
        <w:rPr>
          <w:rFonts w:ascii="Calibri" w:hAnsi="Calibri" w:eastAsia="微软雅黑"/>
          <w:b w:val="0"/>
          <w:color w:val="263442"/>
          <w:sz w:val="22"/>
        </w:rPr>
        <w:t>同池本地与线上来源使用同一个随机对照，因为随机排列不读取VLM状态。两个实际风险落差分别与这套共同对照比较，既保留公平的类别配额，也便于观察两种分层来源的共同模式。</w:t>
      </w:r>
    </w:p>
    <w:p>
      <w:pPr>
        <w:spacing w:after="140" w:line="312" w:lineRule="auto"/>
      </w:pPr>
      <w:r>
        <w:rPr>
          <w:rFonts w:ascii="Calibri" w:hAnsi="Calibri" w:eastAsia="微软雅黑"/>
          <w:b/>
          <w:color w:val="2166AC"/>
          <w:sz w:val="22"/>
        </w:rPr>
        <w:t>可用于论文的表述：类别内随机五等分对照表明，六组视觉风险层落差均超过随机分组波动，支持冻结风险评分在所评估池和模型面板中的经验区分度。</w:t>
      </w:r>
    </w:p>
    <w:p>
      <w:r>
        <w:br w:type="page"/>
      </w:r>
    </w:p>
    <w:p>
      <w:pPr>
        <w:pStyle w:val="Heading1"/>
        <w:keepNext/>
      </w:pPr>
      <w:r>
        <w:rPr>
          <w:rFonts w:ascii="Calibri" w:hAnsi="Calibri" w:eastAsia="微软雅黑"/>
          <w:b/>
          <w:color w:val="2166AC"/>
          <w:sz w:val="32"/>
        </w:rPr>
        <w:t>四、优点3：多模型、多来源出现一致模式，并支持能力比较</w:t>
      </w:r>
    </w:p>
    <w:p>
      <w:pPr>
        <w:spacing w:after="140" w:line="312" w:lineRule="auto"/>
      </w:pPr>
      <w:r>
        <w:rPr>
          <w:rFonts w:ascii="Calibri" w:hAnsi="Calibri" w:eastAsia="微软雅黑"/>
          <w:b w:val="0"/>
          <w:color w:val="263442"/>
          <w:sz w:val="22"/>
        </w:rPr>
        <w:t>研究已经从最初的dog实例扩展为六类别目标区域测试。三个确认池合计5400个目标；八种架构各有三个种子，采用本地与线上两种状态标注分别构建风险层。这样的设置允许从模型、数据来源和标注来源三个方向观察同一测试现象。</w:t>
      </w:r>
    </w:p>
    <w:p>
      <w:pPr>
        <w:spacing w:after="140" w:line="312" w:lineRule="auto"/>
      </w:pPr>
      <w:r>
        <w:rPr>
          <w:rFonts w:ascii="Calibri" w:hAnsi="Calibri" w:eastAsia="微软雅黑"/>
          <w:b w:val="0"/>
          <w:color w:val="263442"/>
          <w:sz w:val="22"/>
        </w:rPr>
        <w:t>六个“确认池—标注来源”设置中，每个设置的24次运行都出现Q5 Macro-F1低于Q1，即三个池与两种分层来源中的下降方向重复出现。它使结果从单一模型的个案，成为一个覆盖已测多模型面板的经验模式。</w:t>
      </w:r>
    </w:p>
    <w:p>
      <w:pPr>
        <w:pStyle w:val="Heading2"/>
        <w:keepNext/>
      </w:pPr>
      <w:r>
        <w:rPr>
          <w:rFonts w:ascii="Calibri" w:hAnsi="Calibri" w:eastAsia="微软雅黑"/>
          <w:b/>
          <w:color w:val="2166AC"/>
          <w:sz w:val="25"/>
        </w:rPr>
        <w:t>从发现差异进一步走向比较模型</w:t>
      </w:r>
    </w:p>
    <w:p>
      <w:pPr>
        <w:spacing w:after="140" w:line="312" w:lineRule="auto"/>
      </w:pPr>
      <w:r>
        <w:rPr>
          <w:rFonts w:ascii="Calibri" w:hAnsi="Calibri" w:eastAsia="微软雅黑"/>
          <w:b w:val="0"/>
          <w:color w:val="263442"/>
          <w:sz w:val="22"/>
        </w:rPr>
        <w:t>本研究还可以比较哪个模型在同一高风险集合上的分数更高。图2把八个架构的完整Q5平均F1和设置内名次放到一张热力图中，每格同时给出数值与排名。列内比较回答模型差异，行内阅读回答同一模型在不同池和分层来源中的表现。</w:t>
      </w:r>
    </w:p>
    <w:p>
      <w:pPr>
        <w:spacing w:after="140" w:line="312" w:lineRule="auto"/>
      </w:pPr>
      <w:r>
        <w:rPr>
          <w:rFonts w:ascii="Calibri" w:hAnsi="Calibri" w:eastAsia="微软雅黑"/>
          <w:b w:val="0"/>
          <w:color w:val="263442"/>
          <w:sz w:val="22"/>
        </w:rPr>
        <w:t>在本轮六个设置的完整Q5均值中，ConvNeXt-Tiny均位列第一，Swin-T均位列第二。在固定预算风险占比实验的六组、每组21个实际比例点中，两者也保持相同的前两位平均顺序。这为当前冻结配置下的模型能力比较提供了清晰结果。</w:t>
      </w:r>
    </w:p>
    <w:p>
      <w:pPr>
        <w:spacing w:after="140" w:line="312" w:lineRule="auto"/>
      </w:pPr>
      <w:r>
        <w:rPr>
          <w:rFonts w:ascii="Calibri" w:hAnsi="Calibri" w:eastAsia="微软雅黑"/>
          <w:b w:val="0"/>
          <w:color w:val="263442"/>
          <w:sz w:val="22"/>
        </w:rPr>
        <w:t>实际使用时，可以同时查看高风险F1水平、由低风险到高风险的降幅，以及不同风险占比下的曲线。这样得到的模型比较，比仅报告一个总体F1更具有条件信息。</w:t>
      </w:r>
    </w:p>
    <w:p>
      <w:pPr>
        <w:spacing w:after="140" w:line="312" w:lineRule="auto"/>
      </w:pPr>
      <w:r>
        <w:rPr>
          <w:rFonts w:ascii="Calibri" w:hAnsi="Calibri" w:eastAsia="微软雅黑"/>
          <w:b/>
          <w:color w:val="2166AC"/>
          <w:sz w:val="22"/>
        </w:rPr>
        <w:t>可用于论文的表述：风险层性能差异在八架构、三种子、三个确认池及两种标注来源下重复出现；该测试组织同时支持冻结模型在不同风险条件下的描述性能力比较。</w:t>
      </w:r>
    </w:p>
    <w:p>
      <w:r>
        <w:br w:type="page"/>
      </w:r>
    </w:p>
    <w:p>
      <w:pPr>
        <w:pStyle w:val="Heading1"/>
        <w:keepNext/>
      </w:pPr>
      <w:r>
        <w:rPr>
          <w:rFonts w:ascii="Calibri" w:hAnsi="Calibri" w:eastAsia="微软雅黑"/>
          <w:b/>
          <w:color w:val="2166AC"/>
          <w:sz w:val="32"/>
        </w:rPr>
        <w:t>图2｜八模型高风险表现：数值与名次一眼可见</w:t>
      </w:r>
    </w:p>
    <w:p>
      <w:pPr>
        <w:keepNext/>
        <w:jc w:val="center"/>
      </w:pPr>
      <w:r>
        <w:drawing>
          <wp:inline xmlns:a="http://schemas.openxmlformats.org/drawingml/2006/main" xmlns:pic="http://schemas.openxmlformats.org/drawingml/2006/picture">
            <wp:extent cx="6048000" cy="3516614"/>
            <wp:docPr id="2" name="Picture 2"/>
            <wp:cNvGraphicFramePr>
              <a:graphicFrameLocks noChangeAspect="1"/>
            </wp:cNvGraphicFramePr>
            <a:graphic>
              <a:graphicData uri="http://schemas.openxmlformats.org/drawingml/2006/picture">
                <pic:pic>
                  <pic:nvPicPr>
                    <pic:cNvPr id="0" name="02_high_risk_model_heatmap.png"/>
                    <pic:cNvPicPr/>
                  </pic:nvPicPr>
                  <pic:blipFill>
                    <a:blip r:embed="rId12"/>
                    <a:stretch>
                      <a:fillRect/>
                    </a:stretch>
                  </pic:blipFill>
                  <pic:spPr>
                    <a:xfrm>
                      <a:off x="0" y="0"/>
                      <a:ext cx="6048000" cy="3516614"/>
                    </a:xfrm>
                    <a:prstGeom prst="rect"/>
                  </pic:spPr>
                </pic:pic>
              </a:graphicData>
            </a:graphic>
          </wp:inline>
        </w:drawing>
      </w:r>
    </w:p>
    <w:p>
      <w:pPr>
        <w:spacing w:after="160" w:line="288" w:lineRule="auto"/>
      </w:pPr>
      <w:r>
        <w:rPr>
          <w:rFonts w:ascii="Calibri" w:hAnsi="Calibri" w:eastAsia="微软雅黑"/>
          <w:b w:val="0"/>
          <w:color w:val="526477"/>
          <w:sz w:val="19"/>
        </w:rPr>
        <w:t>每格为完整Q5上的Macro-F1（%），先平均同架构三个种子；“第几名”按同列八模型均值排序。六列分别对应三池和两种标注来源，所有格使用共同35%—90%色标。</w:t>
      </w:r>
    </w:p>
    <w:p>
      <w:pPr>
        <w:spacing w:after="80" w:line="312" w:lineRule="auto"/>
      </w:pPr>
      <w:r>
        <w:rPr>
          <w:rFonts w:ascii="Calibri" w:hAnsi="Calibri" w:eastAsia="微软雅黑"/>
          <w:b w:val="0"/>
          <w:color w:val="263442"/>
          <w:sz w:val="22"/>
        </w:rPr>
        <w:t>先沿一列查看数值和名次，即可比较同一高风险测试集合中的八模型；再沿一行查看同一模型在不同条件下的分数。统一色标与逐格数字保留真实差距，替代八条曲线挤在一起的展示方式。</w:t>
      </w:r>
    </w:p>
    <w:p>
      <w:r>
        <w:br w:type="page"/>
      </w:r>
    </w:p>
    <w:p>
      <w:pPr>
        <w:pStyle w:val="Heading1"/>
        <w:keepNext/>
      </w:pPr>
      <w:r>
        <w:rPr>
          <w:rFonts w:ascii="Calibri" w:hAnsi="Calibri" w:eastAsia="微软雅黑"/>
          <w:b/>
          <w:color w:val="2166AC"/>
          <w:sz w:val="32"/>
        </w:rPr>
        <w:t>五、优点4：用受控实验描绘测试条件与性能的响应关系</w:t>
      </w:r>
    </w:p>
    <w:p>
      <w:pPr>
        <w:spacing w:after="140" w:line="312" w:lineRule="auto"/>
      </w:pPr>
      <w:r>
        <w:rPr>
          <w:rFonts w:ascii="Calibri" w:hAnsi="Calibri" w:eastAsia="微软雅黑"/>
          <w:b w:val="0"/>
          <w:color w:val="263442"/>
          <w:sz w:val="22"/>
        </w:rPr>
        <w:t>这一实验固定测试总量为120个目标，每类20个，保持模型、预测和类别比例不变。高风险Q5占比从0%到100%，每5个百分点取一个实际点，共21点；各比例进行1000次重复抽样。相邻点通过替换目标改变测试构成。</w:t>
      </w:r>
    </w:p>
    <w:p>
      <w:pPr>
        <w:spacing w:after="140" w:line="312" w:lineRule="auto"/>
      </w:pPr>
      <w:r>
        <w:rPr>
          <w:rFonts w:ascii="Calibri" w:hAnsi="Calibri" w:eastAsia="微软雅黑"/>
          <w:b w:val="0"/>
          <w:color w:val="263442"/>
          <w:sz w:val="22"/>
        </w:rPr>
        <w:t>0%高风险对应从Q1—Q4抽样，100%高风险对应全部来自Q5。因而它测量的是固定预算下风险构成的响应，和前面的完整Q5−Q1分层对比是两项互补实验。</w:t>
      </w:r>
    </w:p>
    <w:p>
      <w:pPr>
        <w:spacing w:after="100" w:line="312" w:lineRule="auto"/>
      </w:pPr>
      <w:r>
        <w:rPr>
          <w:rFonts w:ascii="Calibri" w:hAnsi="Calibri" w:eastAsia="微软雅黑"/>
          <w:b/>
          <w:color w:val="263442"/>
          <w:sz w:val="20"/>
        </w:rPr>
        <w:t>表5 固定预算下高风险占比变化的面板F1响应</w:t>
      </w:r>
    </w:p>
    <w:tbl>
      <w:tblPr>
        <w:tblStyle w:val="TableGrid"/>
        <w:tblW w:type="auto" w:w="0"/>
        <w:tblLayout w:type="fixed"/>
        <w:tblLook w:firstColumn="1" w:firstRow="1" w:lastColumn="0" w:lastRow="0" w:noHBand="0" w:noVBand="1" w:val="04A0"/>
      </w:tblPr>
      <w:tblGrid>
        <w:gridCol w:w="1474"/>
        <w:gridCol w:w="1134"/>
        <w:gridCol w:w="1361"/>
        <w:gridCol w:w="1417"/>
        <w:gridCol w:w="1474"/>
        <w:gridCol w:w="2665"/>
      </w:tblGrid>
      <w:tr>
        <w:trPr>
          <w:cantSplit/>
          <w:tblHeader/>
        </w:trPr>
        <w:tc>
          <w:tcPr>
            <w:tcW w:type="dxa" w:w="1474"/>
            <w:shd w:fill="E7EFF7"/>
          </w:tcPr>
          <w:p>
            <w:pPr>
              <w:spacing w:after="80" w:before="80" w:line="269" w:lineRule="auto"/>
            </w:pPr>
            <w:r>
              <w:rPr>
                <w:rFonts w:ascii="Calibri" w:hAnsi="Calibri" w:eastAsia="微软雅黑"/>
                <w:b/>
                <w:color w:val="263442"/>
                <w:sz w:val="19"/>
              </w:rPr>
              <w:t>池</w:t>
            </w:r>
          </w:p>
        </w:tc>
        <w:tc>
          <w:tcPr>
            <w:tcW w:type="dxa" w:w="1134"/>
            <w:shd w:fill="E7EFF7"/>
          </w:tcPr>
          <w:p>
            <w:pPr>
              <w:spacing w:after="80" w:before="80" w:line="269" w:lineRule="auto"/>
            </w:pPr>
            <w:r>
              <w:rPr>
                <w:rFonts w:ascii="Calibri" w:hAnsi="Calibri" w:eastAsia="微软雅黑"/>
                <w:b/>
                <w:color w:val="263442"/>
                <w:sz w:val="19"/>
              </w:rPr>
              <w:t>来源</w:t>
            </w:r>
          </w:p>
        </w:tc>
        <w:tc>
          <w:tcPr>
            <w:tcW w:type="dxa" w:w="1361"/>
            <w:shd w:fill="E7EFF7"/>
          </w:tcPr>
          <w:p>
            <w:pPr>
              <w:spacing w:after="80" w:before="80" w:line="269" w:lineRule="auto"/>
            </w:pPr>
            <w:r>
              <w:rPr>
                <w:rFonts w:ascii="Calibri" w:hAnsi="Calibri" w:eastAsia="微软雅黑"/>
                <w:b/>
                <w:color w:val="263442"/>
                <w:sz w:val="19"/>
              </w:rPr>
              <w:t>0% F1</w:t>
              <w:br/>
              <w:t>（%）</w:t>
            </w:r>
          </w:p>
        </w:tc>
        <w:tc>
          <w:tcPr>
            <w:tcW w:type="dxa" w:w="1417"/>
            <w:shd w:fill="E7EFF7"/>
          </w:tcPr>
          <w:p>
            <w:pPr>
              <w:spacing w:after="80" w:before="80" w:line="269" w:lineRule="auto"/>
            </w:pPr>
            <w:r>
              <w:rPr>
                <w:rFonts w:ascii="Calibri" w:hAnsi="Calibri" w:eastAsia="微软雅黑"/>
                <w:b/>
                <w:color w:val="263442"/>
                <w:sz w:val="19"/>
              </w:rPr>
              <w:t>100% F1</w:t>
              <w:br/>
              <w:t>（%）</w:t>
            </w:r>
          </w:p>
        </w:tc>
        <w:tc>
          <w:tcPr>
            <w:tcW w:type="dxa" w:w="1474"/>
            <w:shd w:fill="E7EFF7"/>
          </w:tcPr>
          <w:p>
            <w:pPr>
              <w:spacing w:after="80" w:before="80" w:line="269" w:lineRule="auto"/>
            </w:pPr>
            <w:r>
              <w:rPr>
                <w:rFonts w:ascii="Calibri" w:hAnsi="Calibri" w:eastAsia="微软雅黑"/>
                <w:b/>
                <w:color w:val="263442"/>
                <w:sz w:val="19"/>
              </w:rPr>
              <w:t>变化</w:t>
              <w:br/>
              <w:t>（pp）</w:t>
            </w:r>
          </w:p>
        </w:tc>
        <w:tc>
          <w:tcPr>
            <w:tcW w:type="dxa" w:w="2665"/>
            <w:shd w:fill="E7EFF7"/>
          </w:tcPr>
          <w:p>
            <w:pPr>
              <w:spacing w:after="80" w:before="80" w:line="269" w:lineRule="auto"/>
            </w:pPr>
            <w:r>
              <w:rPr>
                <w:rFonts w:ascii="Calibri" w:hAnsi="Calibri" w:eastAsia="微软雅黑"/>
                <w:b/>
                <w:color w:val="263442"/>
                <w:sz w:val="19"/>
              </w:rPr>
              <w:t>95%配对抽样范围</w:t>
              <w:br/>
              <w:t>（pp）</w:t>
            </w:r>
          </w:p>
        </w:tc>
      </w:tr>
      <w:tr>
        <w:trPr>
          <w:cantSplit/>
        </w:trPr>
        <w:tc>
          <w:tcPr>
            <w:tcW w:type="dxa" w:w="1474"/>
            <w:shd w:fill="FFFFFF"/>
          </w:tcPr>
          <w:p>
            <w:pPr>
              <w:spacing w:after="80" w:before="80" w:line="269" w:lineRule="auto"/>
            </w:pPr>
            <w:r>
              <w:rPr>
                <w:rFonts w:ascii="Calibri" w:hAnsi="Calibri" w:eastAsia="微软雅黑"/>
                <w:b w:val="0"/>
                <w:color w:val="263442"/>
                <w:sz w:val="19"/>
              </w:rPr>
              <w:t>COCO</w:t>
            </w:r>
          </w:p>
        </w:tc>
        <w:tc>
          <w:tcPr>
            <w:tcW w:type="dxa" w:w="1134"/>
            <w:shd w:fill="FFFFFF"/>
          </w:tcPr>
          <w:p>
            <w:pPr>
              <w:spacing w:after="80" w:before="80" w:line="269" w:lineRule="auto"/>
            </w:pPr>
            <w:r>
              <w:rPr>
                <w:rFonts w:ascii="Calibri" w:hAnsi="Calibri" w:eastAsia="微软雅黑"/>
                <w:b w:val="0"/>
                <w:color w:val="263442"/>
                <w:sz w:val="19"/>
              </w:rPr>
              <w:t>本地VLM</w:t>
            </w:r>
          </w:p>
        </w:tc>
        <w:tc>
          <w:tcPr>
            <w:tcW w:type="dxa" w:w="1361"/>
            <w:shd w:fill="FFFFFF"/>
          </w:tcPr>
          <w:p>
            <w:pPr>
              <w:spacing w:after="80" w:before="80" w:line="269" w:lineRule="auto"/>
            </w:pPr>
            <w:r>
              <w:rPr>
                <w:rFonts w:ascii="Calibri" w:hAnsi="Calibri" w:eastAsia="微软雅黑"/>
                <w:b w:val="0"/>
                <w:color w:val="263442"/>
                <w:sz w:val="19"/>
              </w:rPr>
              <w:t>90.18</w:t>
            </w:r>
          </w:p>
        </w:tc>
        <w:tc>
          <w:tcPr>
            <w:tcW w:type="dxa" w:w="1417"/>
            <w:shd w:fill="FFFFFF"/>
          </w:tcPr>
          <w:p>
            <w:pPr>
              <w:spacing w:after="80" w:before="80" w:line="269" w:lineRule="auto"/>
            </w:pPr>
            <w:r>
              <w:rPr>
                <w:rFonts w:ascii="Calibri" w:hAnsi="Calibri" w:eastAsia="微软雅黑"/>
                <w:b w:val="0"/>
                <w:color w:val="263442"/>
                <w:sz w:val="19"/>
              </w:rPr>
              <w:t>69.40</w:t>
            </w:r>
          </w:p>
        </w:tc>
        <w:tc>
          <w:tcPr>
            <w:tcW w:type="dxa" w:w="1474"/>
            <w:shd w:fill="FFFFFF"/>
          </w:tcPr>
          <w:p>
            <w:pPr>
              <w:spacing w:after="80" w:before="80" w:line="269" w:lineRule="auto"/>
            </w:pPr>
            <w:r>
              <w:rPr>
                <w:rFonts w:ascii="Calibri" w:hAnsi="Calibri" w:eastAsia="微软雅黑"/>
                <w:b w:val="0"/>
                <w:color w:val="263442"/>
                <w:sz w:val="19"/>
              </w:rPr>
              <w:t>-20.78</w:t>
            </w:r>
          </w:p>
        </w:tc>
        <w:tc>
          <w:tcPr>
            <w:tcW w:type="dxa" w:w="2665"/>
            <w:shd w:fill="FFFFFF"/>
          </w:tcPr>
          <w:p>
            <w:pPr>
              <w:spacing w:after="80" w:before="80" w:line="269" w:lineRule="auto"/>
            </w:pPr>
            <w:r>
              <w:rPr>
                <w:rFonts w:ascii="Calibri" w:hAnsi="Calibri" w:eastAsia="微软雅黑"/>
                <w:b w:val="0"/>
                <w:color w:val="263442"/>
                <w:sz w:val="19"/>
              </w:rPr>
              <w:t>[-27.06, -14.21]</w:t>
            </w:r>
          </w:p>
        </w:tc>
      </w:tr>
      <w:tr>
        <w:trPr>
          <w:cantSplit/>
        </w:trPr>
        <w:tc>
          <w:tcPr>
            <w:tcW w:type="dxa" w:w="1474"/>
            <w:shd w:fill="F6F8FA"/>
          </w:tcPr>
          <w:p>
            <w:pPr>
              <w:spacing w:after="80" w:before="80" w:line="269" w:lineRule="auto"/>
            </w:pPr>
            <w:r>
              <w:rPr>
                <w:rFonts w:ascii="Calibri" w:hAnsi="Calibri" w:eastAsia="微软雅黑"/>
                <w:b w:val="0"/>
                <w:color w:val="263442"/>
                <w:sz w:val="19"/>
              </w:rPr>
              <w:t>COCO</w:t>
            </w:r>
          </w:p>
        </w:tc>
        <w:tc>
          <w:tcPr>
            <w:tcW w:type="dxa" w:w="1134"/>
            <w:shd w:fill="F6F8FA"/>
          </w:tcPr>
          <w:p>
            <w:pPr>
              <w:spacing w:after="80" w:before="80" w:line="269" w:lineRule="auto"/>
            </w:pPr>
            <w:r>
              <w:rPr>
                <w:rFonts w:ascii="Calibri" w:hAnsi="Calibri" w:eastAsia="微软雅黑"/>
                <w:b w:val="0"/>
                <w:color w:val="263442"/>
                <w:sz w:val="19"/>
              </w:rPr>
              <w:t>线上VLM</w:t>
            </w:r>
          </w:p>
        </w:tc>
        <w:tc>
          <w:tcPr>
            <w:tcW w:type="dxa" w:w="1361"/>
            <w:shd w:fill="F6F8FA"/>
          </w:tcPr>
          <w:p>
            <w:pPr>
              <w:spacing w:after="80" w:before="80" w:line="269" w:lineRule="auto"/>
            </w:pPr>
            <w:r>
              <w:rPr>
                <w:rFonts w:ascii="Calibri" w:hAnsi="Calibri" w:eastAsia="微软雅黑"/>
                <w:b w:val="0"/>
                <w:color w:val="263442"/>
                <w:sz w:val="19"/>
              </w:rPr>
              <w:t>89.34</w:t>
            </w:r>
          </w:p>
        </w:tc>
        <w:tc>
          <w:tcPr>
            <w:tcW w:type="dxa" w:w="1417"/>
            <w:shd w:fill="F6F8FA"/>
          </w:tcPr>
          <w:p>
            <w:pPr>
              <w:spacing w:after="80" w:before="80" w:line="269" w:lineRule="auto"/>
            </w:pPr>
            <w:r>
              <w:rPr>
                <w:rFonts w:ascii="Calibri" w:hAnsi="Calibri" w:eastAsia="微软雅黑"/>
                <w:b w:val="0"/>
                <w:color w:val="263442"/>
                <w:sz w:val="19"/>
              </w:rPr>
              <w:t>72.72</w:t>
            </w:r>
          </w:p>
        </w:tc>
        <w:tc>
          <w:tcPr>
            <w:tcW w:type="dxa" w:w="1474"/>
            <w:shd w:fill="F6F8FA"/>
          </w:tcPr>
          <w:p>
            <w:pPr>
              <w:spacing w:after="80" w:before="80" w:line="269" w:lineRule="auto"/>
            </w:pPr>
            <w:r>
              <w:rPr>
                <w:rFonts w:ascii="Calibri" w:hAnsi="Calibri" w:eastAsia="微软雅黑"/>
                <w:b w:val="0"/>
                <w:color w:val="263442"/>
                <w:sz w:val="19"/>
              </w:rPr>
              <w:t>-16.62</w:t>
            </w:r>
          </w:p>
        </w:tc>
        <w:tc>
          <w:tcPr>
            <w:tcW w:type="dxa" w:w="2665"/>
            <w:shd w:fill="F6F8FA"/>
          </w:tcPr>
          <w:p>
            <w:pPr>
              <w:spacing w:after="80" w:before="80" w:line="269" w:lineRule="auto"/>
            </w:pPr>
            <w:r>
              <w:rPr>
                <w:rFonts w:ascii="Calibri" w:hAnsi="Calibri" w:eastAsia="微软雅黑"/>
                <w:b w:val="0"/>
                <w:color w:val="263442"/>
                <w:sz w:val="19"/>
              </w:rPr>
              <w:t>[-22.82, -10.45]</w:t>
            </w:r>
          </w:p>
        </w:tc>
      </w:tr>
      <w:tr>
        <w:trPr>
          <w:cantSplit/>
        </w:trPr>
        <w:tc>
          <w:tcPr>
            <w:tcW w:type="dxa" w:w="1474"/>
            <w:shd w:fill="FFFFFF"/>
          </w:tcPr>
          <w:p>
            <w:pPr>
              <w:spacing w:after="80" w:before="80" w:line="269" w:lineRule="auto"/>
            </w:pPr>
            <w:r>
              <w:rPr>
                <w:rFonts w:ascii="Calibri" w:hAnsi="Calibri" w:eastAsia="微软雅黑"/>
                <w:b w:val="0"/>
                <w:color w:val="263442"/>
                <w:sz w:val="19"/>
              </w:rPr>
              <w:t>VOC2007</w:t>
            </w:r>
          </w:p>
        </w:tc>
        <w:tc>
          <w:tcPr>
            <w:tcW w:type="dxa" w:w="1134"/>
            <w:shd w:fill="FFFFFF"/>
          </w:tcPr>
          <w:p>
            <w:pPr>
              <w:spacing w:after="80" w:before="80" w:line="269" w:lineRule="auto"/>
            </w:pPr>
            <w:r>
              <w:rPr>
                <w:rFonts w:ascii="Calibri" w:hAnsi="Calibri" w:eastAsia="微软雅黑"/>
                <w:b w:val="0"/>
                <w:color w:val="263442"/>
                <w:sz w:val="19"/>
              </w:rPr>
              <w:t>本地VLM</w:t>
            </w:r>
          </w:p>
        </w:tc>
        <w:tc>
          <w:tcPr>
            <w:tcW w:type="dxa" w:w="1361"/>
            <w:shd w:fill="FFFFFF"/>
          </w:tcPr>
          <w:p>
            <w:pPr>
              <w:spacing w:after="80" w:before="80" w:line="269" w:lineRule="auto"/>
            </w:pPr>
            <w:r>
              <w:rPr>
                <w:rFonts w:ascii="Calibri" w:hAnsi="Calibri" w:eastAsia="微软雅黑"/>
                <w:b w:val="0"/>
                <w:color w:val="263442"/>
                <w:sz w:val="19"/>
              </w:rPr>
              <w:t>91.80</w:t>
            </w:r>
          </w:p>
        </w:tc>
        <w:tc>
          <w:tcPr>
            <w:tcW w:type="dxa" w:w="1417"/>
            <w:shd w:fill="FFFFFF"/>
          </w:tcPr>
          <w:p>
            <w:pPr>
              <w:spacing w:after="80" w:before="80" w:line="269" w:lineRule="auto"/>
            </w:pPr>
            <w:r>
              <w:rPr>
                <w:rFonts w:ascii="Calibri" w:hAnsi="Calibri" w:eastAsia="微软雅黑"/>
                <w:b w:val="0"/>
                <w:color w:val="263442"/>
                <w:sz w:val="19"/>
              </w:rPr>
              <w:t>75.88</w:t>
            </w:r>
          </w:p>
        </w:tc>
        <w:tc>
          <w:tcPr>
            <w:tcW w:type="dxa" w:w="1474"/>
            <w:shd w:fill="FFFFFF"/>
          </w:tcPr>
          <w:p>
            <w:pPr>
              <w:spacing w:after="80" w:before="80" w:line="269" w:lineRule="auto"/>
            </w:pPr>
            <w:r>
              <w:rPr>
                <w:rFonts w:ascii="Calibri" w:hAnsi="Calibri" w:eastAsia="微软雅黑"/>
                <w:b w:val="0"/>
                <w:color w:val="263442"/>
                <w:sz w:val="19"/>
              </w:rPr>
              <w:t>-15.92</w:t>
            </w:r>
          </w:p>
        </w:tc>
        <w:tc>
          <w:tcPr>
            <w:tcW w:type="dxa" w:w="2665"/>
            <w:shd w:fill="FFFFFF"/>
          </w:tcPr>
          <w:p>
            <w:pPr>
              <w:spacing w:after="80" w:before="80" w:line="269" w:lineRule="auto"/>
            </w:pPr>
            <w:r>
              <w:rPr>
                <w:rFonts w:ascii="Calibri" w:hAnsi="Calibri" w:eastAsia="微软雅黑"/>
                <w:b w:val="0"/>
                <w:color w:val="263442"/>
                <w:sz w:val="19"/>
              </w:rPr>
              <w:t>[-18.76, -13.05]</w:t>
            </w:r>
          </w:p>
        </w:tc>
      </w:tr>
      <w:tr>
        <w:trPr>
          <w:cantSplit/>
        </w:trPr>
        <w:tc>
          <w:tcPr>
            <w:tcW w:type="dxa" w:w="1474"/>
            <w:shd w:fill="F6F8FA"/>
          </w:tcPr>
          <w:p>
            <w:pPr>
              <w:spacing w:after="80" w:before="80" w:line="269" w:lineRule="auto"/>
            </w:pPr>
            <w:r>
              <w:rPr>
                <w:rFonts w:ascii="Calibri" w:hAnsi="Calibri" w:eastAsia="微软雅黑"/>
                <w:b w:val="0"/>
                <w:color w:val="263442"/>
                <w:sz w:val="19"/>
              </w:rPr>
              <w:t>VOC2007</w:t>
            </w:r>
          </w:p>
        </w:tc>
        <w:tc>
          <w:tcPr>
            <w:tcW w:type="dxa" w:w="1134"/>
            <w:shd w:fill="F6F8FA"/>
          </w:tcPr>
          <w:p>
            <w:pPr>
              <w:spacing w:after="80" w:before="80" w:line="269" w:lineRule="auto"/>
            </w:pPr>
            <w:r>
              <w:rPr>
                <w:rFonts w:ascii="Calibri" w:hAnsi="Calibri" w:eastAsia="微软雅黑"/>
                <w:b w:val="0"/>
                <w:color w:val="263442"/>
                <w:sz w:val="19"/>
              </w:rPr>
              <w:t>线上VLM</w:t>
            </w:r>
          </w:p>
        </w:tc>
        <w:tc>
          <w:tcPr>
            <w:tcW w:type="dxa" w:w="1361"/>
            <w:shd w:fill="F6F8FA"/>
          </w:tcPr>
          <w:p>
            <w:pPr>
              <w:spacing w:after="80" w:before="80" w:line="269" w:lineRule="auto"/>
            </w:pPr>
            <w:r>
              <w:rPr>
                <w:rFonts w:ascii="Calibri" w:hAnsi="Calibri" w:eastAsia="微软雅黑"/>
                <w:b w:val="0"/>
                <w:color w:val="263442"/>
                <w:sz w:val="19"/>
              </w:rPr>
              <w:t>91.07</w:t>
            </w:r>
          </w:p>
        </w:tc>
        <w:tc>
          <w:tcPr>
            <w:tcW w:type="dxa" w:w="1417"/>
            <w:shd w:fill="F6F8FA"/>
          </w:tcPr>
          <w:p>
            <w:pPr>
              <w:spacing w:after="80" w:before="80" w:line="269" w:lineRule="auto"/>
            </w:pPr>
            <w:r>
              <w:rPr>
                <w:rFonts w:ascii="Calibri" w:hAnsi="Calibri" w:eastAsia="微软雅黑"/>
                <w:b w:val="0"/>
                <w:color w:val="263442"/>
                <w:sz w:val="19"/>
              </w:rPr>
              <w:t>78.78</w:t>
            </w:r>
          </w:p>
        </w:tc>
        <w:tc>
          <w:tcPr>
            <w:tcW w:type="dxa" w:w="1474"/>
            <w:shd w:fill="F6F8FA"/>
          </w:tcPr>
          <w:p>
            <w:pPr>
              <w:spacing w:after="80" w:before="80" w:line="269" w:lineRule="auto"/>
            </w:pPr>
            <w:r>
              <w:rPr>
                <w:rFonts w:ascii="Calibri" w:hAnsi="Calibri" w:eastAsia="微软雅黑"/>
                <w:b w:val="0"/>
                <w:color w:val="263442"/>
                <w:sz w:val="19"/>
              </w:rPr>
              <w:t>-12.29</w:t>
            </w:r>
          </w:p>
        </w:tc>
        <w:tc>
          <w:tcPr>
            <w:tcW w:type="dxa" w:w="2665"/>
            <w:shd w:fill="F6F8FA"/>
          </w:tcPr>
          <w:p>
            <w:pPr>
              <w:spacing w:after="80" w:before="80" w:line="269" w:lineRule="auto"/>
            </w:pPr>
            <w:r>
              <w:rPr>
                <w:rFonts w:ascii="Calibri" w:hAnsi="Calibri" w:eastAsia="微软雅黑"/>
                <w:b w:val="0"/>
                <w:color w:val="263442"/>
                <w:sz w:val="19"/>
              </w:rPr>
              <w:t>[-15.23, -8.98]</w:t>
            </w:r>
          </w:p>
        </w:tc>
      </w:tr>
      <w:tr>
        <w:trPr>
          <w:cantSplit/>
        </w:trPr>
        <w:tc>
          <w:tcPr>
            <w:tcW w:type="dxa" w:w="1474"/>
            <w:shd w:fill="FFFFFF"/>
          </w:tcPr>
          <w:p>
            <w:pPr>
              <w:spacing w:after="80" w:before="80" w:line="269" w:lineRule="auto"/>
            </w:pPr>
            <w:r>
              <w:rPr>
                <w:rFonts w:ascii="Calibri" w:hAnsi="Calibri" w:eastAsia="微软雅黑"/>
                <w:b w:val="0"/>
                <w:color w:val="263442"/>
                <w:sz w:val="19"/>
              </w:rPr>
              <w:t>Objects365</w:t>
            </w:r>
          </w:p>
        </w:tc>
        <w:tc>
          <w:tcPr>
            <w:tcW w:type="dxa" w:w="1134"/>
            <w:shd w:fill="FFFFFF"/>
          </w:tcPr>
          <w:p>
            <w:pPr>
              <w:spacing w:after="80" w:before="80" w:line="269" w:lineRule="auto"/>
            </w:pPr>
            <w:r>
              <w:rPr>
                <w:rFonts w:ascii="Calibri" w:hAnsi="Calibri" w:eastAsia="微软雅黑"/>
                <w:b w:val="0"/>
                <w:color w:val="263442"/>
                <w:sz w:val="19"/>
              </w:rPr>
              <w:t>本地VLM</w:t>
            </w:r>
          </w:p>
        </w:tc>
        <w:tc>
          <w:tcPr>
            <w:tcW w:type="dxa" w:w="1361"/>
            <w:shd w:fill="FFFFFF"/>
          </w:tcPr>
          <w:p>
            <w:pPr>
              <w:spacing w:after="80" w:before="80" w:line="269" w:lineRule="auto"/>
            </w:pPr>
            <w:r>
              <w:rPr>
                <w:rFonts w:ascii="Calibri" w:hAnsi="Calibri" w:eastAsia="微软雅黑"/>
                <w:b w:val="0"/>
                <w:color w:val="263442"/>
                <w:sz w:val="19"/>
              </w:rPr>
              <w:t>79.81</w:t>
            </w:r>
          </w:p>
        </w:tc>
        <w:tc>
          <w:tcPr>
            <w:tcW w:type="dxa" w:w="1417"/>
            <w:shd w:fill="FFFFFF"/>
          </w:tcPr>
          <w:p>
            <w:pPr>
              <w:spacing w:after="80" w:before="80" w:line="269" w:lineRule="auto"/>
            </w:pPr>
            <w:r>
              <w:rPr>
                <w:rFonts w:ascii="Calibri" w:hAnsi="Calibri" w:eastAsia="微软雅黑"/>
                <w:b w:val="0"/>
                <w:color w:val="263442"/>
                <w:sz w:val="19"/>
              </w:rPr>
              <w:t>45.04</w:t>
            </w:r>
          </w:p>
        </w:tc>
        <w:tc>
          <w:tcPr>
            <w:tcW w:type="dxa" w:w="1474"/>
            <w:shd w:fill="FFFFFF"/>
          </w:tcPr>
          <w:p>
            <w:pPr>
              <w:spacing w:after="80" w:before="80" w:line="269" w:lineRule="auto"/>
            </w:pPr>
            <w:r>
              <w:rPr>
                <w:rFonts w:ascii="Calibri" w:hAnsi="Calibri" w:eastAsia="微软雅黑"/>
                <w:b w:val="0"/>
                <w:color w:val="263442"/>
                <w:sz w:val="19"/>
              </w:rPr>
              <w:t>-34.77</w:t>
            </w:r>
          </w:p>
        </w:tc>
        <w:tc>
          <w:tcPr>
            <w:tcW w:type="dxa" w:w="2665"/>
            <w:shd w:fill="FFFFFF"/>
          </w:tcPr>
          <w:p>
            <w:pPr>
              <w:spacing w:after="80" w:before="80" w:line="269" w:lineRule="auto"/>
            </w:pPr>
            <w:r>
              <w:rPr>
                <w:rFonts w:ascii="Calibri" w:hAnsi="Calibri" w:eastAsia="微软雅黑"/>
                <w:b w:val="0"/>
                <w:color w:val="263442"/>
                <w:sz w:val="19"/>
              </w:rPr>
              <w:t>[-42.12, -27.58]</w:t>
            </w:r>
          </w:p>
        </w:tc>
      </w:tr>
      <w:tr>
        <w:trPr>
          <w:cantSplit/>
        </w:trPr>
        <w:tc>
          <w:tcPr>
            <w:tcW w:type="dxa" w:w="1474"/>
            <w:shd w:fill="F6F8FA"/>
          </w:tcPr>
          <w:p>
            <w:pPr>
              <w:spacing w:after="80" w:before="80" w:line="269" w:lineRule="auto"/>
            </w:pPr>
            <w:r>
              <w:rPr>
                <w:rFonts w:ascii="Calibri" w:hAnsi="Calibri" w:eastAsia="微软雅黑"/>
                <w:b w:val="0"/>
                <w:color w:val="263442"/>
                <w:sz w:val="19"/>
              </w:rPr>
              <w:t>Objects365</w:t>
            </w:r>
          </w:p>
        </w:tc>
        <w:tc>
          <w:tcPr>
            <w:tcW w:type="dxa" w:w="1134"/>
            <w:shd w:fill="F6F8FA"/>
          </w:tcPr>
          <w:p>
            <w:pPr>
              <w:spacing w:after="80" w:before="80" w:line="269" w:lineRule="auto"/>
            </w:pPr>
            <w:r>
              <w:rPr>
                <w:rFonts w:ascii="Calibri" w:hAnsi="Calibri" w:eastAsia="微软雅黑"/>
                <w:b w:val="0"/>
                <w:color w:val="263442"/>
                <w:sz w:val="19"/>
              </w:rPr>
              <w:t>线上VLM</w:t>
            </w:r>
          </w:p>
        </w:tc>
        <w:tc>
          <w:tcPr>
            <w:tcW w:type="dxa" w:w="1361"/>
            <w:shd w:fill="F6F8FA"/>
          </w:tcPr>
          <w:p>
            <w:pPr>
              <w:spacing w:after="80" w:before="80" w:line="269" w:lineRule="auto"/>
            </w:pPr>
            <w:r>
              <w:rPr>
                <w:rFonts w:ascii="Calibri" w:hAnsi="Calibri" w:eastAsia="微软雅黑"/>
                <w:b w:val="0"/>
                <w:color w:val="263442"/>
                <w:sz w:val="19"/>
              </w:rPr>
              <w:t>79.33</w:t>
            </w:r>
          </w:p>
        </w:tc>
        <w:tc>
          <w:tcPr>
            <w:tcW w:type="dxa" w:w="1417"/>
            <w:shd w:fill="F6F8FA"/>
          </w:tcPr>
          <w:p>
            <w:pPr>
              <w:spacing w:after="80" w:before="80" w:line="269" w:lineRule="auto"/>
            </w:pPr>
            <w:r>
              <w:rPr>
                <w:rFonts w:ascii="Calibri" w:hAnsi="Calibri" w:eastAsia="微软雅黑"/>
                <w:b w:val="0"/>
                <w:color w:val="263442"/>
                <w:sz w:val="19"/>
              </w:rPr>
              <w:t>47.49</w:t>
            </w:r>
          </w:p>
        </w:tc>
        <w:tc>
          <w:tcPr>
            <w:tcW w:type="dxa" w:w="1474"/>
            <w:shd w:fill="F6F8FA"/>
          </w:tcPr>
          <w:p>
            <w:pPr>
              <w:spacing w:after="80" w:before="80" w:line="269" w:lineRule="auto"/>
            </w:pPr>
            <w:r>
              <w:rPr>
                <w:rFonts w:ascii="Calibri" w:hAnsi="Calibri" w:eastAsia="微软雅黑"/>
                <w:b w:val="0"/>
                <w:color w:val="263442"/>
                <w:sz w:val="19"/>
              </w:rPr>
              <w:t>-31.84</w:t>
            </w:r>
          </w:p>
        </w:tc>
        <w:tc>
          <w:tcPr>
            <w:tcW w:type="dxa" w:w="2665"/>
            <w:shd w:fill="F6F8FA"/>
          </w:tcPr>
          <w:p>
            <w:pPr>
              <w:spacing w:after="80" w:before="80" w:line="269" w:lineRule="auto"/>
            </w:pPr>
            <w:r>
              <w:rPr>
                <w:rFonts w:ascii="Calibri" w:hAnsi="Calibri" w:eastAsia="微软雅黑"/>
                <w:b w:val="0"/>
                <w:color w:val="263442"/>
                <w:sz w:val="19"/>
              </w:rPr>
              <w:t>[-39.65, -24.08]</w:t>
            </w:r>
          </w:p>
        </w:tc>
      </w:tr>
    </w:tbl>
    <w:p>
      <w:pPr>
        <w:spacing w:after="140" w:line="312" w:lineRule="auto"/>
      </w:pPr>
      <w:r>
        <w:rPr>
          <w:rFonts w:ascii="Calibri" w:hAnsi="Calibri" w:eastAsia="微软雅黑"/>
          <w:b w:val="0"/>
          <w:color w:val="263442"/>
          <w:sz w:val="22"/>
        </w:rPr>
        <w:t>六组主面板的平均F1终点下降12.29—34.77个百分点，且终点配对差的重复抽样范围均低于零。图3用成对柱展示起点、终点及降幅，图4用相对起点的变化曲线展示完整21点响应。</w:t>
      </w:r>
    </w:p>
    <w:p>
      <w:pPr>
        <w:pStyle w:val="Heading2"/>
        <w:keepNext/>
      </w:pPr>
      <w:r>
        <w:rPr>
          <w:rFonts w:ascii="Calibri" w:hAnsi="Calibri" w:eastAsia="微软雅黑"/>
          <w:b/>
          <w:color w:val="2166AC"/>
          <w:sz w:val="25"/>
        </w:rPr>
        <w:t>测试价值：把条件变化量化成能力响应</w:t>
      </w:r>
    </w:p>
    <w:p>
      <w:pPr>
        <w:spacing w:after="140" w:line="312" w:lineRule="auto"/>
      </w:pPr>
      <w:r>
        <w:rPr>
          <w:rFonts w:ascii="Calibri" w:hAnsi="Calibri" w:eastAsia="微软雅黑"/>
          <w:b w:val="0"/>
          <w:color w:val="263442"/>
          <w:sz w:val="22"/>
        </w:rPr>
        <w:t>测试者不再只得到“这个模型在一个集合上的F1是多少”，而能够观察“高风险目标比例逐步改变时，模型得分如何响应”。由于测试总量和六类比例保持固定，这一实验把条件构成作为明确的变化因素，便于解释模型在不同测试分布下的评分变化。</w:t>
      </w:r>
    </w:p>
    <w:p>
      <w:pPr>
        <w:spacing w:after="140" w:line="312" w:lineRule="auto"/>
      </w:pPr>
      <w:r>
        <w:rPr>
          <w:rFonts w:ascii="Calibri" w:hAnsi="Calibri" w:eastAsia="微软雅黑"/>
          <w:b/>
          <w:color w:val="2166AC"/>
          <w:sz w:val="22"/>
        </w:rPr>
        <w:t>可用于论文的表述：在测试预算、类别比例与模型预测固定的条件下，提高类别内高风险目标占比对应更低的面板平均Macro-F1，形成了可复查的测试构成—性能响应曲线。</w:t>
      </w:r>
    </w:p>
    <w:p>
      <w:r>
        <w:br w:type="page"/>
      </w:r>
    </w:p>
    <w:p>
      <w:pPr>
        <w:pStyle w:val="Heading1"/>
        <w:keepNext/>
      </w:pPr>
      <w:r>
        <w:rPr>
          <w:rFonts w:ascii="Calibri" w:hAnsi="Calibri" w:eastAsia="微软雅黑"/>
          <w:b/>
          <w:color w:val="2166AC"/>
          <w:sz w:val="32"/>
        </w:rPr>
        <w:t>图3｜相同预算下的起点与终点差异</w:t>
      </w:r>
    </w:p>
    <w:p>
      <w:pPr>
        <w:keepNext/>
        <w:jc w:val="center"/>
      </w:pPr>
      <w:r>
        <w:drawing>
          <wp:inline xmlns:a="http://schemas.openxmlformats.org/drawingml/2006/main" xmlns:pic="http://schemas.openxmlformats.org/drawingml/2006/picture">
            <wp:extent cx="6048000" cy="3344019"/>
            <wp:docPr id="3" name="Picture 3"/>
            <wp:cNvGraphicFramePr>
              <a:graphicFrameLocks noChangeAspect="1"/>
            </wp:cNvGraphicFramePr>
            <a:graphic>
              <a:graphicData uri="http://schemas.openxmlformats.org/drawingml/2006/picture">
                <pic:pic>
                  <pic:nvPicPr>
                    <pic:cNvPr id="0" name="03_fixed_budget_endpoint_comparison.png"/>
                    <pic:cNvPicPr/>
                  </pic:nvPicPr>
                  <pic:blipFill>
                    <a:blip r:embed="rId13"/>
                    <a:stretch>
                      <a:fillRect/>
                    </a:stretch>
                  </pic:blipFill>
                  <pic:spPr>
                    <a:xfrm>
                      <a:off x="0" y="0"/>
                      <a:ext cx="6048000" cy="3344019"/>
                    </a:xfrm>
                    <a:prstGeom prst="rect"/>
                  </pic:spPr>
                </pic:pic>
              </a:graphicData>
            </a:graphic>
          </wp:inline>
        </w:drawing>
      </w:r>
    </w:p>
    <w:p>
      <w:pPr>
        <w:spacing w:after="160" w:line="288" w:lineRule="auto"/>
      </w:pPr>
      <w:r>
        <w:rPr>
          <w:rFonts w:ascii="Calibri" w:hAnsi="Calibri" w:eastAsia="微软雅黑"/>
          <w:b w:val="0"/>
          <w:color w:val="526477"/>
          <w:sz w:val="19"/>
        </w:rPr>
        <w:t>蓝柱为0%Q5、从Q1—Q4抽样的面板F1；橙色斜线柱为100%Q5的面板F1。每组均固定120目标、六类各20，柱轴从0开始；柱顶标F1，柱内标直接降幅。</w:t>
      </w:r>
    </w:p>
    <w:p>
      <w:pPr>
        <w:spacing w:after="80" w:line="312" w:lineRule="auto"/>
      </w:pPr>
      <w:r>
        <w:rPr>
          <w:rFonts w:ascii="Calibri" w:hAnsi="Calibri" w:eastAsia="微软雅黑"/>
          <w:b w:val="0"/>
          <w:color w:val="263442"/>
          <w:sz w:val="22"/>
        </w:rPr>
        <w:t>成对柱让每个设置的性能变化更容易比较。例如Objects365的起点和终点之间有超过30个百分点的差距；COCO和VOC2007也均有明确落差。读者能够直接看到测试构成变化的效应量。</w:t>
      </w:r>
    </w:p>
    <w:p>
      <w:r>
        <w:br w:type="page"/>
      </w:r>
    </w:p>
    <w:p>
      <w:pPr>
        <w:pStyle w:val="Heading1"/>
        <w:keepNext/>
      </w:pPr>
      <w:r>
        <w:rPr>
          <w:rFonts w:ascii="Calibri" w:hAnsi="Calibri" w:eastAsia="微软雅黑"/>
          <w:b/>
          <w:color w:val="2166AC"/>
          <w:sz w:val="32"/>
        </w:rPr>
        <w:t>图4｜真实21点响应：按数据池拆开看变化</w:t>
      </w:r>
    </w:p>
    <w:p>
      <w:pPr>
        <w:keepNext/>
        <w:jc w:val="center"/>
      </w:pPr>
      <w:r>
        <w:drawing>
          <wp:inline xmlns:a="http://schemas.openxmlformats.org/drawingml/2006/main" xmlns:pic="http://schemas.openxmlformats.org/drawingml/2006/picture">
            <wp:extent cx="6048000" cy="2572906"/>
            <wp:docPr id="4" name="Picture 4"/>
            <wp:cNvGraphicFramePr>
              <a:graphicFrameLocks noChangeAspect="1"/>
            </wp:cNvGraphicFramePr>
            <a:graphic>
              <a:graphicData uri="http://schemas.openxmlformats.org/drawingml/2006/picture">
                <pic:pic>
                  <pic:nvPicPr>
                    <pic:cNvPr id="0" name="04_risk_share_response_delta.png"/>
                    <pic:cNvPicPr/>
                  </pic:nvPicPr>
                  <pic:blipFill>
                    <a:blip r:embed="rId14"/>
                    <a:stretch>
                      <a:fillRect/>
                    </a:stretch>
                  </pic:blipFill>
                  <pic:spPr>
                    <a:xfrm>
                      <a:off x="0" y="0"/>
                      <a:ext cx="6048000" cy="2572906"/>
                    </a:xfrm>
                    <a:prstGeom prst="rect"/>
                  </pic:spPr>
                </pic:pic>
              </a:graphicData>
            </a:graphic>
          </wp:inline>
        </w:drawing>
      </w:r>
    </w:p>
    <w:p>
      <w:pPr>
        <w:spacing w:after="160" w:line="288" w:lineRule="auto"/>
      </w:pPr>
      <w:r>
        <w:rPr>
          <w:rFonts w:ascii="Calibri" w:hAnsi="Calibri" w:eastAsia="微软雅黑"/>
          <w:b w:val="0"/>
          <w:color w:val="526477"/>
          <w:sz w:val="19"/>
        </w:rPr>
        <w:t>纵轴为相对0%高风险起点的Macro-F1变化，单位百分点；横轴为Q5占比。三面板使用相同纵轴范围，蓝实线和橙虚线分别表示本地、线上分层。全部21点直接取自实验均值，标记每隔四点显示一次。</w:t>
      </w:r>
    </w:p>
    <w:p>
      <w:pPr>
        <w:spacing w:after="80" w:line="312" w:lineRule="auto"/>
      </w:pPr>
      <w:r>
        <w:rPr>
          <w:rFonts w:ascii="Calibri" w:hAnsi="Calibri" w:eastAsia="微软雅黑"/>
          <w:b w:val="0"/>
          <w:color w:val="263442"/>
          <w:sz w:val="22"/>
        </w:rPr>
        <w:t>起点均归零，便于比较变化幅度；曲线向下表示在当前测试构成下测得F1低于起点。三个池分别展示，避免八模型和多个数据来源同时叠加。该图保留真实点间响应，直观看出Objects365的总体变化幅度更大。</w:t>
      </w:r>
    </w:p>
    <w:p>
      <w:r>
        <w:br w:type="page"/>
      </w:r>
    </w:p>
    <w:p>
      <w:pPr>
        <w:pStyle w:val="Heading1"/>
        <w:keepNext/>
      </w:pPr>
      <w:r>
        <w:rPr>
          <w:rFonts w:ascii="Calibri" w:hAnsi="Calibri" w:eastAsia="微软雅黑"/>
          <w:b/>
          <w:color w:val="2166AC"/>
          <w:sz w:val="32"/>
        </w:rPr>
        <w:t>六、优点5：已经形成可复查的测试流程</w:t>
      </w:r>
    </w:p>
    <w:p>
      <w:pPr>
        <w:spacing w:after="140" w:line="312" w:lineRule="auto"/>
      </w:pPr>
      <w:r>
        <w:rPr>
          <w:rFonts w:ascii="Calibri" w:hAnsi="Calibri" w:eastAsia="微软雅黑"/>
          <w:b w:val="0"/>
          <w:color w:val="263442"/>
          <w:sz w:val="22"/>
        </w:rPr>
        <w:t>研究的成果不仅是几张结果图，还包括从条件描述到模型评测的完整工作流。目标、状态协议、预测及选择记录可以在不同分析之间复用，使分层评测、随机对照和风险占比响应建立在一致的输入上。</w:t>
      </w:r>
    </w:p>
    <w:p>
      <w:pPr>
        <w:spacing w:after="100" w:line="312" w:lineRule="auto"/>
      </w:pPr>
      <w:r>
        <w:rPr>
          <w:rFonts w:ascii="Calibri" w:hAnsi="Calibri" w:eastAsia="微软雅黑"/>
          <w:b/>
          <w:color w:val="263442"/>
          <w:sz w:val="20"/>
        </w:rPr>
        <w:t>表6 完整流程、保留材料与实际作用</w:t>
      </w:r>
    </w:p>
    <w:tbl>
      <w:tblPr>
        <w:tblStyle w:val="TableGrid"/>
        <w:tblW w:type="auto" w:w="0"/>
        <w:tblLayout w:type="fixed"/>
        <w:tblLook w:firstColumn="1" w:firstRow="1" w:lastColumn="0" w:lastRow="0" w:noHBand="0" w:noVBand="1" w:val="04A0"/>
      </w:tblPr>
      <w:tblGrid>
        <w:gridCol w:w="1984"/>
        <w:gridCol w:w="3969"/>
        <w:gridCol w:w="3572"/>
      </w:tblGrid>
      <w:tr>
        <w:trPr>
          <w:cantSplit/>
          <w:tblHeader/>
        </w:trPr>
        <w:tc>
          <w:tcPr>
            <w:tcW w:type="dxa" w:w="1984"/>
            <w:shd w:fill="E7EFF7"/>
          </w:tcPr>
          <w:p>
            <w:pPr>
              <w:spacing w:after="80" w:before="80" w:line="269" w:lineRule="auto"/>
            </w:pPr>
            <w:r>
              <w:rPr>
                <w:rFonts w:ascii="Calibri" w:hAnsi="Calibri" w:eastAsia="微软雅黑"/>
                <w:b/>
                <w:color w:val="263442"/>
                <w:sz w:val="19"/>
              </w:rPr>
              <w:t>步骤</w:t>
            </w:r>
          </w:p>
        </w:tc>
        <w:tc>
          <w:tcPr>
            <w:tcW w:type="dxa" w:w="3969"/>
            <w:shd w:fill="E7EFF7"/>
          </w:tcPr>
          <w:p>
            <w:pPr>
              <w:spacing w:after="80" w:before="80" w:line="269" w:lineRule="auto"/>
            </w:pPr>
            <w:r>
              <w:rPr>
                <w:rFonts w:ascii="Calibri" w:hAnsi="Calibri" w:eastAsia="微软雅黑"/>
                <w:b/>
                <w:color w:val="263442"/>
                <w:sz w:val="19"/>
              </w:rPr>
              <w:t>保留的材料</w:t>
            </w:r>
          </w:p>
        </w:tc>
        <w:tc>
          <w:tcPr>
            <w:tcW w:type="dxa" w:w="3572"/>
            <w:shd w:fill="E7EFF7"/>
          </w:tcPr>
          <w:p>
            <w:pPr>
              <w:spacing w:after="80" w:before="80" w:line="269" w:lineRule="auto"/>
            </w:pPr>
            <w:r>
              <w:rPr>
                <w:rFonts w:ascii="Calibri" w:hAnsi="Calibri" w:eastAsia="微软雅黑"/>
                <w:b/>
                <w:color w:val="263442"/>
                <w:sz w:val="19"/>
              </w:rPr>
              <w:t>作用</w:t>
            </w:r>
          </w:p>
        </w:tc>
      </w:tr>
      <w:tr>
        <w:trPr>
          <w:cantSplit/>
        </w:trPr>
        <w:tc>
          <w:tcPr>
            <w:tcW w:type="dxa" w:w="1984"/>
            <w:shd w:fill="FFFFFF"/>
          </w:tcPr>
          <w:p>
            <w:pPr>
              <w:spacing w:after="80" w:before="80" w:line="269" w:lineRule="auto"/>
            </w:pPr>
            <w:r>
              <w:rPr>
                <w:rFonts w:ascii="Calibri" w:hAnsi="Calibri" w:eastAsia="微软雅黑"/>
                <w:b w:val="0"/>
                <w:color w:val="263442"/>
                <w:sz w:val="19"/>
              </w:rPr>
              <w:t>固定实验对象</w:t>
            </w:r>
          </w:p>
        </w:tc>
        <w:tc>
          <w:tcPr>
            <w:tcW w:type="dxa" w:w="3969"/>
            <w:shd w:fill="FFFFFF"/>
          </w:tcPr>
          <w:p>
            <w:pPr>
              <w:spacing w:after="80" w:before="80" w:line="269" w:lineRule="auto"/>
            </w:pPr>
            <w:r>
              <w:rPr>
                <w:rFonts w:ascii="Calibri" w:hAnsi="Calibri" w:eastAsia="微软雅黑"/>
                <w:b w:val="0"/>
                <w:color w:val="263442"/>
                <w:sz w:val="19"/>
              </w:rPr>
              <w:t>目标ID、类别、目标框、数据池清单</w:t>
            </w:r>
          </w:p>
        </w:tc>
        <w:tc>
          <w:tcPr>
            <w:tcW w:type="dxa" w:w="3572"/>
            <w:shd w:fill="FFFFFF"/>
          </w:tcPr>
          <w:p>
            <w:pPr>
              <w:spacing w:after="80" w:before="80" w:line="269" w:lineRule="auto"/>
            </w:pPr>
            <w:r>
              <w:rPr>
                <w:rFonts w:ascii="Calibri" w:hAnsi="Calibri" w:eastAsia="微软雅黑"/>
                <w:b w:val="0"/>
                <w:color w:val="263442"/>
                <w:sz w:val="19"/>
              </w:rPr>
              <w:t>明确每张图测哪个目标</w:t>
            </w:r>
          </w:p>
        </w:tc>
      </w:tr>
      <w:tr>
        <w:trPr>
          <w:cantSplit/>
        </w:trPr>
        <w:tc>
          <w:tcPr>
            <w:tcW w:type="dxa" w:w="1984"/>
            <w:shd w:fill="F6F8FA"/>
          </w:tcPr>
          <w:p>
            <w:pPr>
              <w:spacing w:after="80" w:before="80" w:line="269" w:lineRule="auto"/>
            </w:pPr>
            <w:r>
              <w:rPr>
                <w:rFonts w:ascii="Calibri" w:hAnsi="Calibri" w:eastAsia="微软雅黑"/>
                <w:b w:val="0"/>
                <w:color w:val="263442"/>
                <w:sz w:val="19"/>
              </w:rPr>
              <w:t>定义视觉状态</w:t>
            </w:r>
          </w:p>
        </w:tc>
        <w:tc>
          <w:tcPr>
            <w:tcW w:type="dxa" w:w="3969"/>
            <w:shd w:fill="F6F8FA"/>
          </w:tcPr>
          <w:p>
            <w:pPr>
              <w:spacing w:after="80" w:before="80" w:line="269" w:lineRule="auto"/>
            </w:pPr>
            <w:r>
              <w:rPr>
                <w:rFonts w:ascii="Calibri" w:hAnsi="Calibri" w:eastAsia="微软雅黑"/>
                <w:b w:val="0"/>
                <w:color w:val="263442"/>
                <w:sz w:val="19"/>
              </w:rPr>
              <w:t>状态字段、枚举值、风险映射</w:t>
            </w:r>
          </w:p>
        </w:tc>
        <w:tc>
          <w:tcPr>
            <w:tcW w:type="dxa" w:w="3572"/>
            <w:shd w:fill="F6F8FA"/>
          </w:tcPr>
          <w:p>
            <w:pPr>
              <w:spacing w:after="80" w:before="80" w:line="269" w:lineRule="auto"/>
            </w:pPr>
            <w:r>
              <w:rPr>
                <w:rFonts w:ascii="Calibri" w:hAnsi="Calibri" w:eastAsia="微软雅黑"/>
                <w:b w:val="0"/>
                <w:color w:val="263442"/>
                <w:sz w:val="19"/>
              </w:rPr>
              <w:t>用统一语言描述测试条件</w:t>
            </w:r>
          </w:p>
        </w:tc>
      </w:tr>
      <w:tr>
        <w:trPr>
          <w:cantSplit/>
        </w:trPr>
        <w:tc>
          <w:tcPr>
            <w:tcW w:type="dxa" w:w="1984"/>
            <w:shd w:fill="FFFFFF"/>
          </w:tcPr>
          <w:p>
            <w:pPr>
              <w:spacing w:after="80" w:before="80" w:line="269" w:lineRule="auto"/>
            </w:pPr>
            <w:r>
              <w:rPr>
                <w:rFonts w:ascii="Calibri" w:hAnsi="Calibri" w:eastAsia="微软雅黑"/>
                <w:b w:val="0"/>
                <w:color w:val="263442"/>
                <w:sz w:val="19"/>
              </w:rPr>
              <w:t>双来源状态标注</w:t>
            </w:r>
          </w:p>
        </w:tc>
        <w:tc>
          <w:tcPr>
            <w:tcW w:type="dxa" w:w="3969"/>
            <w:shd w:fill="FFFFFF"/>
          </w:tcPr>
          <w:p>
            <w:pPr>
              <w:spacing w:after="80" w:before="80" w:line="269" w:lineRule="auto"/>
            </w:pPr>
            <w:r>
              <w:rPr>
                <w:rFonts w:ascii="Calibri" w:hAnsi="Calibri" w:eastAsia="微软雅黑"/>
                <w:b w:val="0"/>
                <w:color w:val="263442"/>
                <w:sz w:val="19"/>
              </w:rPr>
              <w:t>本地与线上VLM结构化结果</w:t>
            </w:r>
          </w:p>
        </w:tc>
        <w:tc>
          <w:tcPr>
            <w:tcW w:type="dxa" w:w="3572"/>
            <w:shd w:fill="FFFFFF"/>
          </w:tcPr>
          <w:p>
            <w:pPr>
              <w:spacing w:after="80" w:before="80" w:line="269" w:lineRule="auto"/>
            </w:pPr>
            <w:r>
              <w:rPr>
                <w:rFonts w:ascii="Calibri" w:hAnsi="Calibri" w:eastAsia="微软雅黑"/>
                <w:b w:val="0"/>
                <w:color w:val="263442"/>
                <w:sz w:val="19"/>
              </w:rPr>
              <w:t>检查不同标注来源下的结果模式</w:t>
            </w:r>
          </w:p>
        </w:tc>
      </w:tr>
      <w:tr>
        <w:trPr>
          <w:cantSplit/>
        </w:trPr>
        <w:tc>
          <w:tcPr>
            <w:tcW w:type="dxa" w:w="1984"/>
            <w:shd w:fill="F6F8FA"/>
          </w:tcPr>
          <w:p>
            <w:pPr>
              <w:spacing w:after="80" w:before="80" w:line="269" w:lineRule="auto"/>
            </w:pPr>
            <w:r>
              <w:rPr>
                <w:rFonts w:ascii="Calibri" w:hAnsi="Calibri" w:eastAsia="微软雅黑"/>
                <w:b w:val="0"/>
                <w:color w:val="263442"/>
                <w:sz w:val="19"/>
              </w:rPr>
              <w:t>冻结模型预测</w:t>
            </w:r>
          </w:p>
        </w:tc>
        <w:tc>
          <w:tcPr>
            <w:tcW w:type="dxa" w:w="3969"/>
            <w:shd w:fill="F6F8FA"/>
          </w:tcPr>
          <w:p>
            <w:pPr>
              <w:spacing w:after="80" w:before="80" w:line="269" w:lineRule="auto"/>
            </w:pPr>
            <w:r>
              <w:rPr>
                <w:rFonts w:ascii="Calibri" w:hAnsi="Calibri" w:eastAsia="微软雅黑"/>
                <w:b w:val="0"/>
                <w:color w:val="263442"/>
                <w:sz w:val="19"/>
              </w:rPr>
              <w:t>架构、种子、样本ID与输出</w:t>
            </w:r>
          </w:p>
        </w:tc>
        <w:tc>
          <w:tcPr>
            <w:tcW w:type="dxa" w:w="3572"/>
            <w:shd w:fill="F6F8FA"/>
          </w:tcPr>
          <w:p>
            <w:pPr>
              <w:spacing w:after="80" w:before="80" w:line="269" w:lineRule="auto"/>
            </w:pPr>
            <w:r>
              <w:rPr>
                <w:rFonts w:ascii="Calibri" w:hAnsi="Calibri" w:eastAsia="微软雅黑"/>
                <w:b w:val="0"/>
                <w:color w:val="263442"/>
                <w:sz w:val="19"/>
              </w:rPr>
              <w:t>让后续对照使用同一模型行为</w:t>
            </w:r>
          </w:p>
        </w:tc>
      </w:tr>
      <w:tr>
        <w:trPr>
          <w:cantSplit/>
        </w:trPr>
        <w:tc>
          <w:tcPr>
            <w:tcW w:type="dxa" w:w="1984"/>
            <w:shd w:fill="FFFFFF"/>
          </w:tcPr>
          <w:p>
            <w:pPr>
              <w:spacing w:after="80" w:before="80" w:line="269" w:lineRule="auto"/>
            </w:pPr>
            <w:r>
              <w:rPr>
                <w:rFonts w:ascii="Calibri" w:hAnsi="Calibri" w:eastAsia="微软雅黑"/>
                <w:b w:val="0"/>
                <w:color w:val="263442"/>
                <w:sz w:val="19"/>
              </w:rPr>
              <w:t>分层及受控抽样</w:t>
            </w:r>
          </w:p>
        </w:tc>
        <w:tc>
          <w:tcPr>
            <w:tcW w:type="dxa" w:w="3969"/>
            <w:shd w:fill="FFFFFF"/>
          </w:tcPr>
          <w:p>
            <w:pPr>
              <w:spacing w:after="80" w:before="80" w:line="269" w:lineRule="auto"/>
            </w:pPr>
            <w:r>
              <w:rPr>
                <w:rFonts w:ascii="Calibri" w:hAnsi="Calibri" w:eastAsia="微软雅黑"/>
                <w:b w:val="0"/>
                <w:color w:val="263442"/>
                <w:sz w:val="19"/>
              </w:rPr>
              <w:t>风险层成员、随机排列、抽样记录</w:t>
            </w:r>
          </w:p>
        </w:tc>
        <w:tc>
          <w:tcPr>
            <w:tcW w:type="dxa" w:w="3572"/>
            <w:shd w:fill="FFFFFF"/>
          </w:tcPr>
          <w:p>
            <w:pPr>
              <w:spacing w:after="80" w:before="80" w:line="269" w:lineRule="auto"/>
            </w:pPr>
            <w:r>
              <w:rPr>
                <w:rFonts w:ascii="Calibri" w:hAnsi="Calibri" w:eastAsia="微软雅黑"/>
                <w:b w:val="0"/>
                <w:color w:val="263442"/>
                <w:sz w:val="19"/>
              </w:rPr>
              <w:t>复查风险配额与组间比较</w:t>
            </w:r>
          </w:p>
        </w:tc>
      </w:tr>
      <w:tr>
        <w:trPr>
          <w:cantSplit/>
        </w:trPr>
        <w:tc>
          <w:tcPr>
            <w:tcW w:type="dxa" w:w="1984"/>
            <w:shd w:fill="F6F8FA"/>
          </w:tcPr>
          <w:p>
            <w:pPr>
              <w:spacing w:after="80" w:before="80" w:line="269" w:lineRule="auto"/>
            </w:pPr>
            <w:r>
              <w:rPr>
                <w:rFonts w:ascii="Calibri" w:hAnsi="Calibri" w:eastAsia="微软雅黑"/>
                <w:b w:val="0"/>
                <w:color w:val="263442"/>
                <w:sz w:val="19"/>
              </w:rPr>
              <w:t>统计与可视化</w:t>
            </w:r>
          </w:p>
        </w:tc>
        <w:tc>
          <w:tcPr>
            <w:tcW w:type="dxa" w:w="3969"/>
            <w:shd w:fill="F6F8FA"/>
          </w:tcPr>
          <w:p>
            <w:pPr>
              <w:spacing w:after="80" w:before="80" w:line="269" w:lineRule="auto"/>
            </w:pPr>
            <w:r>
              <w:rPr>
                <w:rFonts w:ascii="Calibri" w:hAnsi="Calibri" w:eastAsia="微软雅黑"/>
                <w:b w:val="0"/>
                <w:color w:val="263442"/>
                <w:sz w:val="19"/>
              </w:rPr>
              <w:t>逐运行指标、汇总表、SVG与绘图源码</w:t>
            </w:r>
          </w:p>
        </w:tc>
        <w:tc>
          <w:tcPr>
            <w:tcW w:type="dxa" w:w="3572"/>
            <w:shd w:fill="F6F8FA"/>
          </w:tcPr>
          <w:p>
            <w:pPr>
              <w:spacing w:after="80" w:before="80" w:line="269" w:lineRule="auto"/>
            </w:pPr>
            <w:r>
              <w:rPr>
                <w:rFonts w:ascii="Calibri" w:hAnsi="Calibri" w:eastAsia="微软雅黑"/>
                <w:b w:val="0"/>
                <w:color w:val="263442"/>
                <w:sz w:val="19"/>
              </w:rPr>
              <w:t>追溯图中数字并重新生成图表</w:t>
            </w:r>
          </w:p>
        </w:tc>
      </w:tr>
    </w:tbl>
    <w:p>
      <w:pPr>
        <w:pStyle w:val="Heading2"/>
        <w:keepNext/>
      </w:pPr>
      <w:r>
        <w:rPr>
          <w:rFonts w:ascii="Calibri" w:hAnsi="Calibri" w:eastAsia="微软雅黑"/>
          <w:b/>
          <w:color w:val="2166AC"/>
          <w:sz w:val="25"/>
        </w:rPr>
        <w:t>本轮已完成的核验</w:t>
      </w:r>
    </w:p>
    <w:p>
      <w:pPr>
        <w:spacing w:after="140" w:line="312" w:lineRule="auto"/>
      </w:pPr>
      <w:r>
        <w:rPr>
          <w:rFonts w:ascii="Calibri" w:hAnsi="Calibri" w:eastAsia="微软雅黑"/>
          <w:b w:val="0"/>
          <w:color w:val="263442"/>
          <w:sz w:val="22"/>
        </w:rPr>
        <w:t>新增随机分层与消融整合审计核对了54000000个随机成员位置，并通过独立直方图方法重构25440906个数值；另有648次直接sklearn对照。正式输入冻结核验确认10901个文件哈希不变，历史完整分层和消融结果复算一致。</w:t>
      </w:r>
    </w:p>
    <w:p>
      <w:pPr>
        <w:spacing w:after="140" w:line="312" w:lineRule="auto"/>
      </w:pPr>
      <w:r>
        <w:rPr>
          <w:rFonts w:ascii="Calibri" w:hAnsi="Calibri" w:eastAsia="微软雅黑"/>
          <w:b w:val="0"/>
          <w:color w:val="263442"/>
          <w:sz w:val="22"/>
        </w:rPr>
        <w:t>完整论文新增表格的102个数字单元与源表一致；原25个编号表及相关工作内容保持一致，旧结果另行复审450格。图表保留可编辑SVG和绘图源码，整合论文提供Markdown与Word版本。</w:t>
      </w:r>
    </w:p>
    <w:p>
      <w:pPr>
        <w:spacing w:after="140" w:line="312" w:lineRule="auto"/>
      </w:pPr>
      <w:r>
        <w:rPr>
          <w:rFonts w:ascii="Calibri" w:hAnsi="Calibri" w:eastAsia="微软雅黑"/>
          <w:b/>
          <w:color w:val="263442"/>
          <w:sz w:val="22"/>
        </w:rPr>
        <w:t>对测试工作而言，这种留存方式使结论能够从文字追溯到汇总表、从汇总表追溯到具体模型和样本记录。它也使同一套证据可以服务于结果说明、模型比较和论文呈现。</w:t>
      </w:r>
    </w:p>
    <w:p>
      <w:pPr>
        <w:spacing w:after="140" w:line="312" w:lineRule="auto"/>
      </w:pPr>
      <w:r>
        <w:rPr>
          <w:rFonts w:ascii="Calibri" w:hAnsi="Calibri" w:eastAsia="微软雅黑"/>
          <w:b/>
          <w:color w:val="2166AC"/>
          <w:sz w:val="22"/>
        </w:rPr>
        <w:t>可用于论文的表述：本文形成了以固定目标、冻结预测、可见状态及风险配额为基础的测试流程，并保留标签、成员、指标与绘图材料，使主要结果可以被核验和复算。</w:t>
      </w:r>
    </w:p>
    <w:p>
      <w:r>
        <w:br w:type="page"/>
      </w:r>
    </w:p>
    <w:p>
      <w:pPr>
        <w:pStyle w:val="Heading1"/>
        <w:keepNext/>
      </w:pPr>
      <w:r>
        <w:rPr>
          <w:rFonts w:ascii="Calibri" w:hAnsi="Calibri" w:eastAsia="微软雅黑"/>
          <w:b/>
          <w:color w:val="2166AC"/>
          <w:sz w:val="32"/>
        </w:rPr>
        <w:t>七、这些成果如何用于汇报和论文</w:t>
      </w:r>
    </w:p>
    <w:p>
      <w:pPr>
        <w:pStyle w:val="Heading2"/>
        <w:keepNext/>
      </w:pPr>
      <w:r>
        <w:rPr>
          <w:rFonts w:ascii="Calibri" w:hAnsi="Calibri" w:eastAsia="微软雅黑"/>
          <w:b/>
          <w:color w:val="2166AC"/>
          <w:sz w:val="25"/>
        </w:rPr>
        <w:t>汇报时的推荐顺序</w:t>
      </w:r>
    </w:p>
    <w:p>
      <w:pPr>
        <w:spacing w:after="140" w:line="312" w:lineRule="auto"/>
      </w:pPr>
      <w:r>
        <w:rPr>
          <w:rFonts w:ascii="Calibri" w:hAnsi="Calibri" w:eastAsia="微软雅黑"/>
          <w:b w:val="0"/>
          <w:color w:val="263442"/>
          <w:sz w:val="22"/>
        </w:rPr>
        <w:t>先说明研究目标：用可解释视觉条件评价模型的条件能力。再展示图1，说明风险分层产生的落差超过随机分组波动；随后展示图2，比较八模型在同一高风险条件下的表现；最后用图3与图4说明固定测试预算下的风险构成响应。这样可以把“方法有区分信息”“模型之间有差异”“测试分布会影响测得性能”三个层次串起来。</w:t>
      </w:r>
    </w:p>
    <w:p>
      <w:pPr>
        <w:pStyle w:val="Heading2"/>
        <w:keepNext/>
      </w:pPr>
      <w:r>
        <w:rPr>
          <w:rFonts w:ascii="Calibri" w:hAnsi="Calibri" w:eastAsia="微软雅黑"/>
          <w:b/>
          <w:color w:val="2166AC"/>
          <w:sz w:val="25"/>
        </w:rPr>
        <w:t>可直接放入结果章节的总结</w:t>
      </w:r>
    </w:p>
    <w:p>
      <w:pPr>
        <w:spacing w:after="140" w:line="312" w:lineRule="auto"/>
      </w:pPr>
      <w:r>
        <w:rPr>
          <w:rFonts w:ascii="Calibri" w:hAnsi="Calibri" w:eastAsia="微软雅黑"/>
          <w:b w:val="0"/>
          <w:color w:val="263442"/>
          <w:sz w:val="22"/>
        </w:rPr>
        <w:t>在三个确认数据池及双VLM状态来源下，最高风险层与最低风险层之间的面板平均Macro-F1差为−14.44至−41.80个百分点，八种架构各三个种子的运行均保持负向方向。类别内随机五等分重复10000次后，六组风险落差均超过随机分组波动，Holm校正后p值均为0.00060。固定测试总量和六类比例、逐步提高Q5占比的补充实验进一步得到21点性能响应，六组面板平均Macro-F1终点下降12.29—34.77个百分点。上述结果表明，预定义视觉状态与风险分层能够在所评估设置中揭示固定分类器的条件表现，为总体指标提供可解释的分层信息。</w:t>
      </w:r>
    </w:p>
    <w:p>
      <w:pPr>
        <w:pStyle w:val="Heading2"/>
        <w:keepNext/>
      </w:pPr>
      <w:r>
        <w:rPr>
          <w:rFonts w:ascii="Calibri" w:hAnsi="Calibri" w:eastAsia="微软雅黑"/>
          <w:b/>
          <w:color w:val="2166AC"/>
          <w:sz w:val="25"/>
        </w:rPr>
        <w:t>可直接用于成果介绍的核心表述</w:t>
      </w:r>
    </w:p>
    <w:p>
      <w:pPr>
        <w:spacing w:after="140" w:line="312" w:lineRule="auto"/>
      </w:pPr>
      <w:r>
        <w:rPr>
          <w:rFonts w:ascii="Calibri" w:hAnsi="Calibri" w:eastAsia="微软雅黑"/>
          <w:b/>
          <w:color w:val="2166AC"/>
          <w:sz w:val="22"/>
        </w:rPr>
        <w:t>本研究的价值是将“一个总体分数”展开为“可解释条件下的模型能力”。通过统一的视觉状态定义、类别内风险分层、随机分组对照和固定预算响应实验，研究不仅观察到性能差异，还给出了这些差异对应的测试条件、效应量和复查材料。</w:t>
      </w:r>
    </w:p>
    <w:p>
      <w:pPr>
        <w:spacing w:after="140" w:line="312" w:lineRule="auto"/>
      </w:pPr>
      <w:r>
        <w:rPr>
          <w:rFonts w:ascii="Calibri" w:hAnsi="Calibri" w:eastAsia="微软雅黑"/>
          <w:b w:val="0"/>
          <w:color w:val="263442"/>
          <w:sz w:val="22"/>
        </w:rPr>
        <w:t>当前成果可以组织为三项贡献：一是以可见视觉状态描述多类别测试条件；二是通过风险分层及受控风险混合揭示模型条件能力；三是以多模型、多来源及可复查数据构成支撑该测试协议的实证证据。</w:t>
      </w:r>
    </w:p>
    <w:p>
      <w:r>
        <w:br w:type="page"/>
      </w:r>
    </w:p>
    <w:p>
      <w:pPr>
        <w:pStyle w:val="Heading1"/>
        <w:keepNext/>
      </w:pPr>
      <w:r>
        <w:rPr>
          <w:rFonts w:ascii="Calibri" w:hAnsi="Calibri" w:eastAsia="微软雅黑"/>
          <w:b/>
          <w:color w:val="2166AC"/>
          <w:sz w:val="32"/>
        </w:rPr>
        <w:t>八、图表与数据来源索引</w:t>
      </w:r>
    </w:p>
    <w:p>
      <w:pPr>
        <w:spacing w:after="140" w:line="312" w:lineRule="auto"/>
      </w:pPr>
      <w:r>
        <w:rPr>
          <w:rFonts w:ascii="Calibri" w:hAnsi="Calibri" w:eastAsia="微软雅黑"/>
          <w:b w:val="0"/>
          <w:color w:val="263442"/>
          <w:sz w:val="22"/>
        </w:rPr>
        <w:t>本说明聚焦上述五项已获得支持的成果，所有量化表述限定于已完成的确认池、冻结模型和评估配置。图中的完整Q5−Q1与固定预算0%→100%Q5是两种比较，按各自定义阅读。</w:t>
      </w:r>
    </w:p>
    <w:p>
      <w:pPr>
        <w:spacing w:after="100" w:line="312" w:lineRule="auto"/>
      </w:pPr>
      <w:r>
        <w:rPr>
          <w:rFonts w:ascii="Calibri" w:hAnsi="Calibri" w:eastAsia="微软雅黑"/>
          <w:b/>
          <w:color w:val="263442"/>
          <w:sz w:val="20"/>
        </w:rPr>
        <w:t>表7 本文图表的原始证据</w:t>
      </w:r>
    </w:p>
    <w:tbl>
      <w:tblPr>
        <w:tblStyle w:val="TableGrid"/>
        <w:tblW w:type="auto" w:w="0"/>
        <w:tblLayout w:type="fixed"/>
        <w:tblLook w:firstColumn="1" w:firstRow="1" w:lastColumn="0" w:lastRow="0" w:noHBand="0" w:noVBand="1" w:val="04A0"/>
      </w:tblPr>
      <w:tblGrid>
        <w:gridCol w:w="1984"/>
        <w:gridCol w:w="4819"/>
        <w:gridCol w:w="2721"/>
      </w:tblGrid>
      <w:tr>
        <w:trPr>
          <w:cantSplit/>
          <w:tblHeader/>
        </w:trPr>
        <w:tc>
          <w:tcPr>
            <w:tcW w:type="dxa" w:w="1984"/>
            <w:shd w:fill="E7EFF7"/>
          </w:tcPr>
          <w:p>
            <w:pPr>
              <w:spacing w:after="80" w:before="80" w:line="269" w:lineRule="auto"/>
            </w:pPr>
            <w:r>
              <w:rPr>
                <w:rFonts w:ascii="Calibri" w:hAnsi="Calibri" w:eastAsia="微软雅黑"/>
                <w:b/>
                <w:color w:val="263442"/>
                <w:sz w:val="19"/>
              </w:rPr>
              <w:t>图表或论点</w:t>
            </w:r>
          </w:p>
        </w:tc>
        <w:tc>
          <w:tcPr>
            <w:tcW w:type="dxa" w:w="4819"/>
            <w:shd w:fill="E7EFF7"/>
          </w:tcPr>
          <w:p>
            <w:pPr>
              <w:spacing w:after="80" w:before="80" w:line="269" w:lineRule="auto"/>
            </w:pPr>
            <w:r>
              <w:rPr>
                <w:rFonts w:ascii="Calibri" w:hAnsi="Calibri" w:eastAsia="微软雅黑"/>
                <w:b/>
                <w:color w:val="263442"/>
                <w:sz w:val="19"/>
              </w:rPr>
              <w:t>数据文件</w:t>
            </w:r>
          </w:p>
        </w:tc>
        <w:tc>
          <w:tcPr>
            <w:tcW w:type="dxa" w:w="2721"/>
            <w:shd w:fill="E7EFF7"/>
          </w:tcPr>
          <w:p>
            <w:pPr>
              <w:spacing w:after="80" w:before="80" w:line="269" w:lineRule="auto"/>
            </w:pPr>
            <w:r>
              <w:rPr>
                <w:rFonts w:ascii="Calibri" w:hAnsi="Calibri" w:eastAsia="微软雅黑"/>
                <w:b/>
                <w:color w:val="263442"/>
                <w:sz w:val="19"/>
              </w:rPr>
              <w:t>读取方式</w:t>
            </w:r>
          </w:p>
        </w:tc>
      </w:tr>
      <w:tr>
        <w:trPr>
          <w:cantSplit/>
        </w:trPr>
        <w:tc>
          <w:tcPr>
            <w:tcW w:type="dxa" w:w="1984"/>
            <w:shd w:fill="FFFFFF"/>
          </w:tcPr>
          <w:p>
            <w:pPr>
              <w:spacing w:after="80" w:before="80" w:line="269" w:lineRule="auto"/>
            </w:pPr>
            <w:r>
              <w:rPr>
                <w:rFonts w:ascii="Calibri" w:hAnsi="Calibri" w:eastAsia="微软雅黑"/>
                <w:b w:val="0"/>
                <w:color w:val="263442"/>
                <w:sz w:val="19"/>
              </w:rPr>
              <w:t>图1；表3、表4</w:t>
            </w:r>
          </w:p>
        </w:tc>
        <w:tc>
          <w:tcPr>
            <w:tcW w:type="dxa" w:w="4819"/>
            <w:shd w:fill="FFFFFF"/>
          </w:tcPr>
          <w:p>
            <w:pPr>
              <w:spacing w:after="80" w:before="80" w:line="269" w:lineRule="auto"/>
            </w:pPr>
            <w:r>
              <w:rPr>
                <w:rFonts w:ascii="Calibri" w:hAnsi="Calibri" w:eastAsia="微软雅黑"/>
                <w:b w:val="0"/>
                <w:color w:val="263442"/>
                <w:sz w:val="19"/>
              </w:rPr>
              <w:t>random_stratification_ablation_20261006 / tables/random_summary.csv；ablation/*.npz</w:t>
            </w:r>
          </w:p>
        </w:tc>
        <w:tc>
          <w:tcPr>
            <w:tcW w:type="dxa" w:w="2721"/>
            <w:shd w:fill="FFFFFF"/>
          </w:tcPr>
          <w:p>
            <w:pPr>
              <w:spacing w:after="80" w:before="80" w:line="269" w:lineRule="auto"/>
            </w:pPr>
            <w:r>
              <w:rPr>
                <w:rFonts w:ascii="Calibri" w:hAnsi="Calibri" w:eastAsia="微软雅黑"/>
                <w:b w:val="0"/>
                <w:color w:val="263442"/>
                <w:sz w:val="19"/>
              </w:rPr>
              <w:t>完整风险层及随机差值</w:t>
            </w:r>
          </w:p>
        </w:tc>
      </w:tr>
      <w:tr>
        <w:trPr>
          <w:cantSplit/>
        </w:trPr>
        <w:tc>
          <w:tcPr>
            <w:tcW w:type="dxa" w:w="1984"/>
            <w:shd w:fill="F6F8FA"/>
          </w:tcPr>
          <w:p>
            <w:pPr>
              <w:spacing w:after="80" w:before="80" w:line="269" w:lineRule="auto"/>
            </w:pPr>
            <w:r>
              <w:rPr>
                <w:rFonts w:ascii="Calibri" w:hAnsi="Calibri" w:eastAsia="微软雅黑"/>
                <w:b w:val="0"/>
                <w:color w:val="263442"/>
                <w:sz w:val="19"/>
              </w:rPr>
              <w:t>图2；模型能力比较</w:t>
            </w:r>
          </w:p>
        </w:tc>
        <w:tc>
          <w:tcPr>
            <w:tcW w:type="dxa" w:w="4819"/>
            <w:shd w:fill="F6F8FA"/>
          </w:tcPr>
          <w:p>
            <w:pPr>
              <w:spacing w:after="80" w:before="80" w:line="269" w:lineRule="auto"/>
            </w:pPr>
            <w:r>
              <w:rPr>
                <w:rFonts w:ascii="Calibri" w:hAnsi="Calibri" w:eastAsia="微软雅黑"/>
                <w:b w:val="0"/>
                <w:color w:val="263442"/>
                <w:sz w:val="19"/>
              </w:rPr>
              <w:t>同上 / ablation/*_local.npz、*_online.npz</w:t>
            </w:r>
          </w:p>
        </w:tc>
        <w:tc>
          <w:tcPr>
            <w:tcW w:type="dxa" w:w="2721"/>
            <w:shd w:fill="F6F8FA"/>
          </w:tcPr>
          <w:p>
            <w:pPr>
              <w:spacing w:after="80" w:before="80" w:line="269" w:lineRule="auto"/>
            </w:pPr>
            <w:r>
              <w:rPr>
                <w:rFonts w:ascii="Calibri" w:hAnsi="Calibri" w:eastAsia="微软雅黑"/>
                <w:b w:val="0"/>
                <w:color w:val="263442"/>
                <w:sz w:val="19"/>
              </w:rPr>
              <w:t>完整Q5，三个种子平均</w:t>
            </w:r>
          </w:p>
        </w:tc>
      </w:tr>
      <w:tr>
        <w:trPr>
          <w:cantSplit/>
        </w:trPr>
        <w:tc>
          <w:tcPr>
            <w:tcW w:type="dxa" w:w="1984"/>
            <w:shd w:fill="FFFFFF"/>
          </w:tcPr>
          <w:p>
            <w:pPr>
              <w:spacing w:after="80" w:before="80" w:line="269" w:lineRule="auto"/>
            </w:pPr>
            <w:r>
              <w:rPr>
                <w:rFonts w:ascii="Calibri" w:hAnsi="Calibri" w:eastAsia="微软雅黑"/>
                <w:b w:val="0"/>
                <w:color w:val="263442"/>
                <w:sz w:val="19"/>
              </w:rPr>
              <w:t>图3、图4；表5</w:t>
            </w:r>
          </w:p>
        </w:tc>
        <w:tc>
          <w:tcPr>
            <w:tcW w:type="dxa" w:w="4819"/>
            <w:shd w:fill="FFFFFF"/>
          </w:tcPr>
          <w:p>
            <w:pPr>
              <w:spacing w:after="80" w:before="80" w:line="269" w:lineRule="auto"/>
            </w:pPr>
            <w:r>
              <w:rPr>
                <w:rFonts w:ascii="Calibri" w:hAnsi="Calibri" w:eastAsia="微软雅黑"/>
                <w:b w:val="0"/>
                <w:color w:val="263442"/>
                <w:sz w:val="19"/>
              </w:rPr>
              <w:t>controlled_risk_distribution_20261005 / tables/panel_summary.csv、distribution_contrasts.csv</w:t>
            </w:r>
          </w:p>
        </w:tc>
        <w:tc>
          <w:tcPr>
            <w:tcW w:type="dxa" w:w="2721"/>
            <w:shd w:fill="FFFFFF"/>
          </w:tcPr>
          <w:p>
            <w:pPr>
              <w:spacing w:after="80" w:before="80" w:line="269" w:lineRule="auto"/>
            </w:pPr>
            <w:r>
              <w:rPr>
                <w:rFonts w:ascii="Calibri" w:hAnsi="Calibri" w:eastAsia="微软雅黑"/>
                <w:b w:val="0"/>
                <w:color w:val="263442"/>
                <w:sz w:val="19"/>
              </w:rPr>
              <w:t>120目标预算，21点及配对差</w:t>
            </w:r>
          </w:p>
        </w:tc>
      </w:tr>
      <w:tr>
        <w:trPr>
          <w:cantSplit/>
        </w:trPr>
        <w:tc>
          <w:tcPr>
            <w:tcW w:type="dxa" w:w="1984"/>
            <w:shd w:fill="F6F8FA"/>
          </w:tcPr>
          <w:p>
            <w:pPr>
              <w:spacing w:after="80" w:before="80" w:line="269" w:lineRule="auto"/>
            </w:pPr>
            <w:r>
              <w:rPr>
                <w:rFonts w:ascii="Calibri" w:hAnsi="Calibri" w:eastAsia="微软雅黑"/>
                <w:b w:val="0"/>
                <w:color w:val="263442"/>
                <w:sz w:val="19"/>
              </w:rPr>
              <w:t>前两位平均排名</w:t>
            </w:r>
          </w:p>
        </w:tc>
        <w:tc>
          <w:tcPr>
            <w:tcW w:type="dxa" w:w="4819"/>
            <w:shd w:fill="F6F8FA"/>
          </w:tcPr>
          <w:p>
            <w:pPr>
              <w:spacing w:after="80" w:before="80" w:line="269" w:lineRule="auto"/>
            </w:pPr>
            <w:r>
              <w:rPr>
                <w:rFonts w:ascii="Calibri" w:hAnsi="Calibri" w:eastAsia="微软雅黑"/>
                <w:b w:val="0"/>
                <w:color w:val="263442"/>
                <w:sz w:val="19"/>
              </w:rPr>
              <w:t>同上 / tables/model_summary.csv</w:t>
            </w:r>
          </w:p>
        </w:tc>
        <w:tc>
          <w:tcPr>
            <w:tcW w:type="dxa" w:w="2721"/>
            <w:shd w:fill="F6F8FA"/>
          </w:tcPr>
          <w:p>
            <w:pPr>
              <w:spacing w:after="80" w:before="80" w:line="269" w:lineRule="auto"/>
            </w:pPr>
            <w:r>
              <w:rPr>
                <w:rFonts w:ascii="Calibri" w:hAnsi="Calibri" w:eastAsia="微软雅黑"/>
                <w:b w:val="0"/>
                <w:color w:val="263442"/>
                <w:sz w:val="19"/>
              </w:rPr>
              <w:t>六设置×21点，逐设置排序</w:t>
            </w:r>
          </w:p>
        </w:tc>
      </w:tr>
      <w:tr>
        <w:trPr>
          <w:cantSplit/>
        </w:trPr>
        <w:tc>
          <w:tcPr>
            <w:tcW w:type="dxa" w:w="1984"/>
            <w:shd w:fill="FFFFFF"/>
          </w:tcPr>
          <w:p>
            <w:pPr>
              <w:spacing w:after="80" w:before="80" w:line="269" w:lineRule="auto"/>
            </w:pPr>
            <w:r>
              <w:rPr>
                <w:rFonts w:ascii="Calibri" w:hAnsi="Calibri" w:eastAsia="微软雅黑"/>
                <w:b w:val="0"/>
                <w:color w:val="263442"/>
                <w:sz w:val="19"/>
              </w:rPr>
              <w:t>流程核验</w:t>
            </w:r>
          </w:p>
        </w:tc>
        <w:tc>
          <w:tcPr>
            <w:tcW w:type="dxa" w:w="4819"/>
            <w:shd w:fill="FFFFFF"/>
          </w:tcPr>
          <w:p>
            <w:pPr>
              <w:spacing w:after="80" w:before="80" w:line="269" w:lineRule="auto"/>
            </w:pPr>
            <w:r>
              <w:rPr>
                <w:rFonts w:ascii="Calibri" w:hAnsi="Calibri" w:eastAsia="微软雅黑"/>
                <w:b w:val="0"/>
                <w:color w:val="263442"/>
                <w:sz w:val="19"/>
              </w:rPr>
              <w:t>两实验目录 / analysis_audit.json、final_audit.json</w:t>
            </w:r>
          </w:p>
        </w:tc>
        <w:tc>
          <w:tcPr>
            <w:tcW w:type="dxa" w:w="2721"/>
            <w:shd w:fill="FFFFFF"/>
          </w:tcPr>
          <w:p>
            <w:pPr>
              <w:spacing w:after="80" w:before="80" w:line="269" w:lineRule="auto"/>
            </w:pPr>
            <w:r>
              <w:rPr>
                <w:rFonts w:ascii="Calibri" w:hAnsi="Calibri" w:eastAsia="微软雅黑"/>
                <w:b w:val="0"/>
                <w:color w:val="263442"/>
                <w:sz w:val="19"/>
              </w:rPr>
              <w:t>已完成统计与结构核验记录</w:t>
            </w:r>
          </w:p>
        </w:tc>
      </w:tr>
    </w:tbl>
    <w:p>
      <w:pPr>
        <w:spacing w:after="140" w:line="312" w:lineRule="auto"/>
      </w:pPr>
      <w:r>
        <w:rPr>
          <w:rFonts w:ascii="Calibri" w:hAnsi="Calibri" w:eastAsia="微软雅黑"/>
          <w:b w:val="0"/>
          <w:color w:val="263442"/>
          <w:sz w:val="22"/>
        </w:rPr>
        <w:t>图中local表示本地VLM分层，online表示线上VLM分层；Macro-F1为六类别等权指标。表5的95%范围为1000次配对抽样差的百分位，表4的95%范围为10000次随机分层差的百分位。</w:t>
      </w:r>
    </w:p>
    <w:p>
      <w:pPr>
        <w:spacing w:after="140" w:line="312" w:lineRule="auto"/>
      </w:pPr>
      <w:r>
        <w:rPr>
          <w:rFonts w:ascii="Calibri" w:hAnsi="Calibri" w:eastAsia="微软雅黑"/>
          <w:b w:val="0"/>
          <w:color w:val="263442"/>
          <w:sz w:val="20"/>
        </w:rPr>
        <w:t>报告绘图源文件：scripts/build_positive_results_word.py。新增图保存在artifacts/positive_results_report_20261006/figures/，同时提供SVG与PNG；相应汇总表与核验记录在该目录的tables/及audit.json。</w:t>
      </w:r>
    </w:p>
    <w:sectPr w:rsidR="00FC693F" w:rsidRPr="0006063C" w:rsidSect="00034616">
      <w:headerReference w:type="default" r:id="rId9"/>
      <w:footerReference w:type="default" r:id="rId10"/>
      <w:pgSz w:w="11906" w:h="16838"/>
      <w:pgMar w:top="1077"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微软雅黑"/>
        <w:b w:val="0"/>
        <w:color w:val="767676"/>
        <w:sz w:val="18"/>
      </w:rPr>
      <w:t xml:space="preserve">研究成果说明  ·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微软雅黑"/>
        <w:b w:val="0"/>
        <w:color w:val="526477"/>
        <w:sz w:val="18"/>
      </w:rPr>
      <w:t>视觉状态与风险分层测试  /  当前实证成果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优点：视觉状态与风险分层测试的实证成果</dc:title>
  <dc:subject>五项已获支持的研究成果、实验数据与可视化解释</dc:subject>
  <dc:creator>QE研究项目</dc:creator>
  <cp:keywords>视觉状态,模型测试,风险分层,实证研究,Macro-F1</cp:keywords>
  <dc:description>generated by python-docx</dc:description>
  <cp:lastModifiedBy/>
  <cp:revision>1</cp:revision>
  <dcterms:created xsi:type="dcterms:W3CDTF">2013-12-23T23:15:00Z</dcterms:created>
  <dcterms:modified xsi:type="dcterms:W3CDTF">2013-12-23T23:15:00Z</dcterms:modified>
  <cp:category/>
</cp:coreProperties>
</file>