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eastAsia="微软雅黑"/>
          <w:b/>
          <w:sz w:val="40"/>
        </w:rPr>
        <w:t>局限性：视觉状态与风险分层测试的结论边界</w:t>
      </w:r>
    </w:p>
    <w:p>
      <w:pPr>
        <w:spacing w:line="312" w:lineRule="auto" w:after="80"/>
        <w:ind w:firstLine="0"/>
      </w:pPr>
      <w:r>
        <w:rPr>
          <w:rFonts w:ascii="Calibri" w:hAnsi="Calibri" w:eastAsia="微软雅黑"/>
          <w:b w:val="0"/>
          <w:sz w:val="22"/>
        </w:rPr>
        <w:t>依据截至2026年10月6日的完整论文与已核验实验整理，与“优点.docx”配套使用。</w:t>
      </w:r>
    </w:p>
    <w:p>
      <w:pPr>
        <w:pStyle w:val="Heading2"/>
        <w:keepNext/>
      </w:pPr>
      <w:r>
        <w:rPr>
          <w:rFonts w:ascii="Calibri" w:hAnsi="Calibri" w:eastAsia="微软雅黑"/>
          <w:b/>
          <w:color w:val="2166AC"/>
          <w:sz w:val="28"/>
        </w:rPr>
        <w:t>一、先明确：局限性具体限制什么</w:t>
      </w:r>
    </w:p>
    <w:p>
      <w:pPr>
        <w:spacing w:line="312" w:lineRule="auto" w:after="80"/>
        <w:ind w:firstLine="0"/>
      </w:pPr>
      <w:r>
        <w:rPr>
          <w:rFonts w:ascii="Calibri" w:hAnsi="Calibri" w:eastAsia="微软雅黑"/>
          <w:b w:val="0"/>
          <w:sz w:val="22"/>
        </w:rPr>
        <w:t>当前已经支持的结果是：在三个确认池、六个类别及冻结模型面板中，预定义风险分层形成了超过随机分组波动的性能差异；固定预算与类别比例后，风险构成变化也对应明确的平均性能响应。</w:t>
      </w:r>
    </w:p>
    <w:p>
      <w:pPr>
        <w:spacing w:line="312" w:lineRule="auto" w:after="80"/>
        <w:ind w:firstLine="0"/>
      </w:pPr>
      <w:r>
        <w:rPr>
          <w:rFonts w:ascii="Calibri" w:hAnsi="Calibri" w:eastAsia="微软雅黑"/>
          <w:b w:val="0"/>
          <w:sz w:val="22"/>
        </w:rPr>
        <w:t>局限性主要约束更强的解释：这些结果是否可以推广到全部任务；自动描述是否等同于真实状态；哪个字段独立导致错误；覆盖选样是否全面优于其他方法。上述问题与“已测风险层存在差异”并不是同一个命题。</w:t>
      </w:r>
    </w:p>
    <w:tbl>
      <w:tblPr>
        <w:tblStyle w:val="TableGrid"/>
        <w:tblW w:type="auto" w:w="0"/>
        <w:tblLook w:firstColumn="1" w:firstRow="1" w:lastColumn="0" w:lastRow="0" w:noHBand="0" w:noVBand="1" w:val="04A0"/>
      </w:tblPr>
      <w:tblGrid>
        <w:gridCol w:w="3135"/>
        <w:gridCol w:w="3135"/>
        <w:gridCol w:w="3135"/>
      </w:tblGrid>
      <w:tr>
        <w:trPr>
          <w:cantSplit/>
          <w:tblHeader/>
        </w:trPr>
        <w:tc>
          <w:tcPr>
            <w:tcW w:type="dxa" w:w="3135"/>
            <w:shd w:fill="D9EAF7"/>
          </w:tcPr>
          <w:p>
            <w:pPr>
              <w:spacing w:after="80" w:before="80"/>
            </w:pPr>
            <w:r>
              <w:rPr>
                <w:rFonts w:ascii="Calibri" w:hAnsi="Calibri" w:eastAsia="微软雅黑"/>
                <w:b/>
                <w:sz w:val="19"/>
              </w:rPr>
              <w:t>局限性</w:t>
            </w:r>
          </w:p>
        </w:tc>
        <w:tc>
          <w:tcPr>
            <w:tcW w:type="dxa" w:w="3135"/>
            <w:shd w:fill="D9EAF7"/>
          </w:tcPr>
          <w:p>
            <w:pPr>
              <w:spacing w:after="80" w:before="80"/>
            </w:pPr>
            <w:r>
              <w:rPr>
                <w:rFonts w:ascii="Calibri" w:hAnsi="Calibri" w:eastAsia="微软雅黑"/>
                <w:b/>
                <w:sz w:val="19"/>
              </w:rPr>
              <w:t>主要影响</w:t>
            </w:r>
          </w:p>
        </w:tc>
        <w:tc>
          <w:tcPr>
            <w:tcW w:type="dxa" w:w="3135"/>
            <w:shd w:fill="D9EAF7"/>
          </w:tcPr>
          <w:p>
            <w:pPr>
              <w:spacing w:after="80" w:before="80"/>
            </w:pPr>
            <w:r>
              <w:rPr>
                <w:rFonts w:ascii="Calibri" w:hAnsi="Calibri" w:eastAsia="微软雅黑"/>
                <w:b/>
                <w:sz w:val="19"/>
              </w:rPr>
              <w:t>当前应采用的结论口径</w:t>
            </w:r>
          </w:p>
        </w:tc>
      </w:tr>
      <w:tr>
        <w:trPr>
          <w:cantSplit/>
        </w:trPr>
        <w:tc>
          <w:tcPr>
            <w:tcW w:type="dxa" w:w="3135"/>
          </w:tcPr>
          <w:p>
            <w:pPr>
              <w:spacing w:after="80" w:before="80"/>
            </w:pPr>
            <w:r>
              <w:rPr>
                <w:rFonts w:ascii="Calibri" w:hAnsi="Calibri" w:eastAsia="微软雅黑"/>
                <w:b w:val="0"/>
                <w:sz w:val="19"/>
              </w:rPr>
              <w:t>自动状态标签缺少完整语义真值</w:t>
            </w:r>
          </w:p>
        </w:tc>
        <w:tc>
          <w:tcPr>
            <w:tcW w:type="dxa" w:w="3135"/>
          </w:tcPr>
          <w:p>
            <w:pPr>
              <w:spacing w:after="80" w:before="80"/>
            </w:pPr>
            <w:r>
              <w:rPr>
                <w:rFonts w:ascii="Calibri" w:hAnsi="Calibri" w:eastAsia="微软雅黑"/>
                <w:b w:val="0"/>
                <w:sz w:val="19"/>
              </w:rPr>
              <w:t>状态与风险层的解释可信度</w:t>
            </w:r>
          </w:p>
        </w:tc>
        <w:tc>
          <w:tcPr>
            <w:tcW w:type="dxa" w:w="3135"/>
          </w:tcPr>
          <w:p>
            <w:pPr>
              <w:spacing w:after="80" w:before="80"/>
            </w:pPr>
            <w:r>
              <w:rPr>
                <w:rFonts w:ascii="Calibri" w:hAnsi="Calibri" w:eastAsia="微软雅黑"/>
                <w:b w:val="0"/>
                <w:sz w:val="19"/>
              </w:rPr>
              <w:t>自动描述下的条件诊断，不称全字段准确</w:t>
            </w:r>
          </w:p>
        </w:tc>
      </w:tr>
      <w:tr>
        <w:trPr>
          <w:cantSplit/>
        </w:trPr>
        <w:tc>
          <w:tcPr>
            <w:tcW w:type="dxa" w:w="3135"/>
          </w:tcPr>
          <w:p>
            <w:pPr>
              <w:spacing w:after="80" w:before="80"/>
            </w:pPr>
            <w:r>
              <w:rPr>
                <w:rFonts w:ascii="Calibri" w:hAnsi="Calibri" w:eastAsia="微软雅黑"/>
                <w:b w:val="0"/>
                <w:sz w:val="19"/>
              </w:rPr>
              <w:t>覆盖、风险和性能是不同指标</w:t>
            </w:r>
          </w:p>
        </w:tc>
        <w:tc>
          <w:tcPr>
            <w:tcW w:type="dxa" w:w="3135"/>
          </w:tcPr>
          <w:p>
            <w:pPr>
              <w:spacing w:after="80" w:before="80"/>
            </w:pPr>
            <w:r>
              <w:rPr>
                <w:rFonts w:ascii="Calibri" w:hAnsi="Calibri" w:eastAsia="微软雅黑"/>
                <w:b w:val="0"/>
                <w:sz w:val="19"/>
              </w:rPr>
              <w:t>核心结论的概念边界</w:t>
            </w:r>
          </w:p>
        </w:tc>
        <w:tc>
          <w:tcPr>
            <w:tcW w:type="dxa" w:w="3135"/>
          </w:tcPr>
          <w:p>
            <w:pPr>
              <w:spacing w:after="80" w:before="80"/>
            </w:pPr>
            <w:r>
              <w:rPr>
                <w:rFonts w:ascii="Calibri" w:hAnsi="Calibri" w:eastAsia="微软雅黑"/>
                <w:b w:val="0"/>
                <w:sz w:val="19"/>
              </w:rPr>
              <w:t>风险构成响应，不称覆盖率导致F1下降</w:t>
            </w:r>
          </w:p>
        </w:tc>
      </w:tr>
      <w:tr>
        <w:trPr>
          <w:cantSplit/>
        </w:trPr>
        <w:tc>
          <w:tcPr>
            <w:tcW w:type="dxa" w:w="3135"/>
          </w:tcPr>
          <w:p>
            <w:pPr>
              <w:spacing w:after="80" w:before="80"/>
            </w:pPr>
            <w:r>
              <w:rPr>
                <w:rFonts w:ascii="Calibri" w:hAnsi="Calibri" w:eastAsia="微软雅黑"/>
                <w:b w:val="0"/>
                <w:sz w:val="19"/>
              </w:rPr>
              <w:t>风险评分与分位层有设定依赖</w:t>
            </w:r>
          </w:p>
        </w:tc>
        <w:tc>
          <w:tcPr>
            <w:tcW w:type="dxa" w:w="3135"/>
          </w:tcPr>
          <w:p>
            <w:pPr>
              <w:spacing w:after="80" w:before="80"/>
            </w:pPr>
            <w:r>
              <w:rPr>
                <w:rFonts w:ascii="Calibri" w:hAnsi="Calibri" w:eastAsia="微软雅黑"/>
                <w:b w:val="0"/>
                <w:sz w:val="19"/>
              </w:rPr>
              <w:t>风险层定义及可迁移性</w:t>
            </w:r>
          </w:p>
        </w:tc>
        <w:tc>
          <w:tcPr>
            <w:tcW w:type="dxa" w:w="3135"/>
          </w:tcPr>
          <w:p>
            <w:pPr>
              <w:spacing w:after="80" w:before="80"/>
            </w:pPr>
            <w:r>
              <w:rPr>
                <w:rFonts w:ascii="Calibri" w:hAnsi="Calibri" w:eastAsia="微软雅黑"/>
                <w:b w:val="0"/>
                <w:sz w:val="19"/>
              </w:rPr>
              <w:t>类别内相对风险，不称统一绝对难度</w:t>
            </w:r>
          </w:p>
        </w:tc>
      </w:tr>
      <w:tr>
        <w:trPr>
          <w:cantSplit/>
        </w:trPr>
        <w:tc>
          <w:tcPr>
            <w:tcW w:type="dxa" w:w="3135"/>
          </w:tcPr>
          <w:p>
            <w:pPr>
              <w:spacing w:after="80" w:before="80"/>
            </w:pPr>
            <w:r>
              <w:rPr>
                <w:rFonts w:ascii="Calibri" w:hAnsi="Calibri" w:eastAsia="微软雅黑"/>
                <w:b w:val="0"/>
                <w:sz w:val="19"/>
              </w:rPr>
              <w:t>状态相关且删维改变样本成员</w:t>
            </w:r>
          </w:p>
        </w:tc>
        <w:tc>
          <w:tcPr>
            <w:tcW w:type="dxa" w:w="3135"/>
          </w:tcPr>
          <w:p>
            <w:pPr>
              <w:spacing w:after="80" w:before="80"/>
            </w:pPr>
            <w:r>
              <w:rPr>
                <w:rFonts w:ascii="Calibri" w:hAnsi="Calibri" w:eastAsia="微软雅黑"/>
                <w:b w:val="0"/>
                <w:sz w:val="19"/>
              </w:rPr>
              <w:t>单字段解释与因果归因</w:t>
            </w:r>
          </w:p>
        </w:tc>
        <w:tc>
          <w:tcPr>
            <w:tcW w:type="dxa" w:w="3135"/>
          </w:tcPr>
          <w:p>
            <w:pPr>
              <w:spacing w:after="80" w:before="80"/>
            </w:pPr>
            <w:r>
              <w:rPr>
                <w:rFonts w:ascii="Calibri" w:hAnsi="Calibri" w:eastAsia="微软雅黑"/>
                <w:b w:val="0"/>
                <w:sz w:val="19"/>
              </w:rPr>
              <w:t>条件关联，不称某状态独立导致失败</w:t>
            </w:r>
          </w:p>
        </w:tc>
      </w:tr>
      <w:tr>
        <w:trPr>
          <w:cantSplit/>
        </w:trPr>
        <w:tc>
          <w:tcPr>
            <w:tcW w:type="dxa" w:w="3135"/>
          </w:tcPr>
          <w:p>
            <w:pPr>
              <w:spacing w:after="80" w:before="80"/>
            </w:pPr>
            <w:r>
              <w:rPr>
                <w:rFonts w:ascii="Calibri" w:hAnsi="Calibri" w:eastAsia="微软雅黑"/>
                <w:b w:val="0"/>
                <w:sz w:val="19"/>
              </w:rPr>
              <w:t>额外诊断广度收益不一致</w:t>
            </w:r>
          </w:p>
        </w:tc>
        <w:tc>
          <w:tcPr>
            <w:tcW w:type="dxa" w:w="3135"/>
          </w:tcPr>
          <w:p>
            <w:pPr>
              <w:spacing w:after="80" w:before="80"/>
            </w:pPr>
            <w:r>
              <w:rPr>
                <w:rFonts w:ascii="Calibri" w:hAnsi="Calibri" w:eastAsia="微软雅黑"/>
                <w:b w:val="0"/>
                <w:sz w:val="19"/>
              </w:rPr>
              <w:t>Coverage选样的优越性</w:t>
            </w:r>
          </w:p>
        </w:tc>
        <w:tc>
          <w:tcPr>
            <w:tcW w:type="dxa" w:w="3135"/>
          </w:tcPr>
          <w:p>
            <w:pPr>
              <w:spacing w:after="80" w:before="80"/>
            </w:pPr>
            <w:r>
              <w:rPr>
                <w:rFonts w:ascii="Calibri" w:hAnsi="Calibri" w:eastAsia="微软雅黑"/>
                <w:b w:val="0"/>
                <w:sz w:val="19"/>
              </w:rPr>
              <w:t>有条件的增量价值，不称全面最优</w:t>
            </w:r>
          </w:p>
        </w:tc>
      </w:tr>
      <w:tr>
        <w:trPr>
          <w:cantSplit/>
        </w:trPr>
        <w:tc>
          <w:tcPr>
            <w:tcW w:type="dxa" w:w="3135"/>
          </w:tcPr>
          <w:p>
            <w:pPr>
              <w:spacing w:after="80" w:before="80"/>
            </w:pPr>
            <w:r>
              <w:rPr>
                <w:rFonts w:ascii="Calibri" w:hAnsi="Calibri" w:eastAsia="微软雅黑"/>
                <w:b w:val="0"/>
                <w:sz w:val="19"/>
              </w:rPr>
              <w:t>重复抽样及模型运行存在依赖</w:t>
            </w:r>
          </w:p>
        </w:tc>
        <w:tc>
          <w:tcPr>
            <w:tcW w:type="dxa" w:w="3135"/>
          </w:tcPr>
          <w:p>
            <w:pPr>
              <w:spacing w:after="80" w:before="80"/>
            </w:pPr>
            <w:r>
              <w:rPr>
                <w:rFonts w:ascii="Calibri" w:hAnsi="Calibri" w:eastAsia="微软雅黑"/>
                <w:b w:val="0"/>
                <w:sz w:val="19"/>
              </w:rPr>
              <w:t>显著性与区间的解释</w:t>
            </w:r>
          </w:p>
        </w:tc>
        <w:tc>
          <w:tcPr>
            <w:tcW w:type="dxa" w:w="3135"/>
          </w:tcPr>
          <w:p>
            <w:pPr>
              <w:spacing w:after="80" w:before="80"/>
            </w:pPr>
            <w:r>
              <w:rPr>
                <w:rFonts w:ascii="Calibri" w:hAnsi="Calibri" w:eastAsia="微软雅黑"/>
                <w:b w:val="0"/>
                <w:sz w:val="19"/>
              </w:rPr>
              <w:t>以实际抽样单元、家族及面板为准</w:t>
            </w:r>
          </w:p>
        </w:tc>
      </w:tr>
      <w:tr>
        <w:trPr>
          <w:cantSplit/>
        </w:trPr>
        <w:tc>
          <w:tcPr>
            <w:tcW w:type="dxa" w:w="3135"/>
          </w:tcPr>
          <w:p>
            <w:pPr>
              <w:spacing w:after="80" w:before="80"/>
            </w:pPr>
            <w:r>
              <w:rPr>
                <w:rFonts w:ascii="Calibri" w:hAnsi="Calibri" w:eastAsia="微软雅黑"/>
                <w:b w:val="0"/>
                <w:sz w:val="19"/>
              </w:rPr>
              <w:t>模型排名依赖权重与测试构成</w:t>
            </w:r>
          </w:p>
        </w:tc>
        <w:tc>
          <w:tcPr>
            <w:tcW w:type="dxa" w:w="3135"/>
          </w:tcPr>
          <w:p>
            <w:pPr>
              <w:spacing w:after="80" w:before="80"/>
            </w:pPr>
            <w:r>
              <w:rPr>
                <w:rFonts w:ascii="Calibri" w:hAnsi="Calibri" w:eastAsia="微软雅黑"/>
                <w:b w:val="0"/>
                <w:sz w:val="19"/>
              </w:rPr>
              <w:t>架构总体优劣判断</w:t>
            </w:r>
          </w:p>
        </w:tc>
        <w:tc>
          <w:tcPr>
            <w:tcW w:type="dxa" w:w="3135"/>
          </w:tcPr>
          <w:p>
            <w:pPr>
              <w:spacing w:after="80" w:before="80"/>
            </w:pPr>
            <w:r>
              <w:rPr>
                <w:rFonts w:ascii="Calibri" w:hAnsi="Calibri" w:eastAsia="微软雅黑"/>
                <w:b w:val="0"/>
                <w:sz w:val="19"/>
              </w:rPr>
              <w:t>冻结配置下的平均排名与不确定性</w:t>
            </w:r>
          </w:p>
        </w:tc>
      </w:tr>
      <w:tr>
        <w:trPr>
          <w:cantSplit/>
        </w:trPr>
        <w:tc>
          <w:tcPr>
            <w:tcW w:type="dxa" w:w="3135"/>
          </w:tcPr>
          <w:p>
            <w:pPr>
              <w:spacing w:after="80" w:before="80"/>
            </w:pPr>
            <w:r>
              <w:rPr>
                <w:rFonts w:ascii="Calibri" w:hAnsi="Calibri" w:eastAsia="微软雅黑"/>
                <w:b w:val="0"/>
                <w:sz w:val="19"/>
              </w:rPr>
              <w:t>类别、数据池及任务范围有限</w:t>
            </w:r>
          </w:p>
        </w:tc>
        <w:tc>
          <w:tcPr>
            <w:tcW w:type="dxa" w:w="3135"/>
          </w:tcPr>
          <w:p>
            <w:pPr>
              <w:spacing w:after="80" w:before="80"/>
            </w:pPr>
            <w:r>
              <w:rPr>
                <w:rFonts w:ascii="Calibri" w:hAnsi="Calibri" w:eastAsia="微软雅黑"/>
                <w:b w:val="0"/>
                <w:sz w:val="19"/>
              </w:rPr>
              <w:t>向其他任务和部署的推广</w:t>
            </w:r>
          </w:p>
        </w:tc>
        <w:tc>
          <w:tcPr>
            <w:tcW w:type="dxa" w:w="3135"/>
          </w:tcPr>
          <w:p>
            <w:pPr>
              <w:spacing w:after="80" w:before="80"/>
            </w:pPr>
            <w:r>
              <w:rPr>
                <w:rFonts w:ascii="Calibri" w:hAnsi="Calibri" w:eastAsia="微软雅黑"/>
                <w:b w:val="0"/>
                <w:sz w:val="19"/>
              </w:rPr>
              <w:t>六类固定框分类与已评估来源</w:t>
            </w:r>
          </w:p>
        </w:tc>
      </w:tr>
      <w:tr>
        <w:trPr>
          <w:cantSplit/>
        </w:trPr>
        <w:tc>
          <w:tcPr>
            <w:tcW w:type="dxa" w:w="3135"/>
          </w:tcPr>
          <w:p>
            <w:pPr>
              <w:spacing w:after="80" w:before="80"/>
            </w:pPr>
            <w:r>
              <w:rPr>
                <w:rFonts w:ascii="Calibri" w:hAnsi="Calibri" w:eastAsia="微软雅黑"/>
                <w:b w:val="0"/>
                <w:sz w:val="19"/>
              </w:rPr>
              <w:t>稀有状态和一致子集支持不足</w:t>
            </w:r>
          </w:p>
        </w:tc>
        <w:tc>
          <w:tcPr>
            <w:tcW w:type="dxa" w:w="3135"/>
          </w:tcPr>
          <w:p>
            <w:pPr>
              <w:spacing w:after="80" w:before="80"/>
            </w:pPr>
            <w:r>
              <w:rPr>
                <w:rFonts w:ascii="Calibri" w:hAnsi="Calibri" w:eastAsia="微软雅黑"/>
                <w:b w:val="0"/>
                <w:sz w:val="19"/>
              </w:rPr>
              <w:t>细粒度状态及稳健性评价</w:t>
            </w:r>
          </w:p>
        </w:tc>
        <w:tc>
          <w:tcPr>
            <w:tcW w:type="dxa" w:w="3135"/>
          </w:tcPr>
          <w:p>
            <w:pPr>
              <w:spacing w:after="80" w:before="80"/>
            </w:pPr>
            <w:r>
              <w:rPr>
                <w:rFonts w:ascii="Calibri" w:hAnsi="Calibri" w:eastAsia="微软雅黑"/>
                <w:b w:val="0"/>
                <w:sz w:val="19"/>
              </w:rPr>
              <w:t>只对支持足够的组合报告结果</w:t>
            </w:r>
          </w:p>
        </w:tc>
      </w:tr>
      <w:tr>
        <w:trPr>
          <w:cantSplit/>
        </w:trPr>
        <w:tc>
          <w:tcPr>
            <w:tcW w:type="dxa" w:w="3135"/>
          </w:tcPr>
          <w:p>
            <w:pPr>
              <w:spacing w:after="80" w:before="80"/>
            </w:pPr>
            <w:r>
              <w:rPr>
                <w:rFonts w:ascii="Calibri" w:hAnsi="Calibri" w:eastAsia="微软雅黑"/>
                <w:b w:val="0"/>
                <w:sz w:val="19"/>
              </w:rPr>
              <w:t>探索历史和预标注池条件</w:t>
            </w:r>
          </w:p>
        </w:tc>
        <w:tc>
          <w:tcPr>
            <w:tcW w:type="dxa" w:w="3135"/>
          </w:tcPr>
          <w:p>
            <w:pPr>
              <w:spacing w:after="80" w:before="80"/>
            </w:pPr>
            <w:r>
              <w:rPr>
                <w:rFonts w:ascii="Calibri" w:hAnsi="Calibri" w:eastAsia="微软雅黑"/>
                <w:b w:val="0"/>
                <w:sz w:val="19"/>
              </w:rPr>
              <w:t>确认性与实际流程的适用性</w:t>
            </w:r>
          </w:p>
        </w:tc>
        <w:tc>
          <w:tcPr>
            <w:tcW w:type="dxa" w:w="3135"/>
          </w:tcPr>
          <w:p>
            <w:pPr>
              <w:spacing w:after="80" w:before="80"/>
            </w:pPr>
            <w:r>
              <w:rPr>
                <w:rFonts w:ascii="Calibri" w:hAnsi="Calibri" w:eastAsia="微软雅黑"/>
                <w:b w:val="0"/>
                <w:sz w:val="19"/>
              </w:rPr>
              <w:t>冻结后的补充确认与离线测试池</w:t>
            </w:r>
          </w:p>
        </w:tc>
      </w:tr>
    </w:tbl>
    <w:p>
      <w:pPr>
        <w:spacing w:line="312" w:lineRule="auto"/>
        <w:ind w:firstLine="0"/>
      </w:pPr>
    </w:p>
    <w:p>
      <w:pPr>
        <w:pStyle w:val="Heading2"/>
        <w:keepNext/>
      </w:pPr>
      <w:r>
        <w:rPr>
          <w:rFonts w:ascii="Calibri" w:hAnsi="Calibri" w:eastAsia="微软雅黑"/>
          <w:b/>
          <w:color w:val="2166AC"/>
          <w:sz w:val="28"/>
        </w:rPr>
        <w:t>二、局限性1：自动状态标签尚不能作为完整真值</w:t>
      </w:r>
    </w:p>
    <w:p>
      <w:pPr>
        <w:spacing w:line="312" w:lineRule="auto" w:after="80"/>
        <w:ind w:firstLine="0"/>
      </w:pPr>
      <w:r>
        <w:rPr>
          <w:rFonts w:ascii="Calibri" w:hAnsi="Calibri" w:eastAsia="微软雅黑"/>
          <w:b w:val="0"/>
          <w:sz w:val="22"/>
        </w:rPr>
        <w:t>视觉状态由本地和线上VLM生成。结构校验可以保证字段齐全、枚举值合法、格式可解析，但不能保证图片中每个状态都被正确识别。两个模型描述一致，也不等于它们一定正确；两个模型描述不一致，则不能仅据表现更好的一方判断谁是正确标注。</w:t>
      </w:r>
    </w:p>
    <w:p>
      <w:pPr>
        <w:spacing w:line="312" w:lineRule="auto" w:after="80"/>
        <w:ind w:firstLine="0"/>
      </w:pPr>
      <w:r>
        <w:rPr>
          <w:rFonts w:ascii="Calibri" w:hAnsi="Calibri" w:eastAsia="微软雅黑"/>
          <w:b w:val="0"/>
          <w:sz w:val="22"/>
        </w:rPr>
        <w:t>已有Open Images二值属性提供了遮挡和截断的部分参考。与本地/线上VLM结果归并比较后，字段间确实存在不同程度的分歧。</w:t>
      </w:r>
    </w:p>
    <w:tbl>
      <w:tblPr>
        <w:tblStyle w:val="TableGrid"/>
        <w:tblW w:type="auto" w:w="0"/>
        <w:tblLook w:firstColumn="1" w:firstRow="1" w:lastColumn="0" w:lastRow="0" w:noHBand="0" w:noVBand="1" w:val="04A0"/>
      </w:tblPr>
      <w:tblGrid>
        <w:gridCol w:w="1881"/>
        <w:gridCol w:w="1881"/>
        <w:gridCol w:w="1881"/>
        <w:gridCol w:w="1881"/>
        <w:gridCol w:w="1881"/>
      </w:tblGrid>
      <w:tr>
        <w:trPr>
          <w:cantSplit/>
          <w:tblHeader/>
        </w:trPr>
        <w:tc>
          <w:tcPr>
            <w:tcW w:type="dxa" w:w="1881"/>
            <w:shd w:fill="D9EAF7"/>
          </w:tcPr>
          <w:p>
            <w:pPr>
              <w:spacing w:after="80" w:before="80"/>
            </w:pPr>
            <w:r>
              <w:rPr>
                <w:rFonts w:ascii="Calibri" w:hAnsi="Calibri" w:eastAsia="微软雅黑"/>
                <w:b/>
                <w:sz w:val="19"/>
              </w:rPr>
              <w:t>字段</w:t>
            </w:r>
          </w:p>
        </w:tc>
        <w:tc>
          <w:tcPr>
            <w:tcW w:type="dxa" w:w="1881"/>
            <w:shd w:fill="D9EAF7"/>
          </w:tcPr>
          <w:p>
            <w:pPr>
              <w:spacing w:after="80" w:before="80"/>
            </w:pPr>
            <w:r>
              <w:rPr>
                <w:rFonts w:ascii="Calibri" w:hAnsi="Calibri" w:eastAsia="微软雅黑"/>
                <w:b/>
                <w:sz w:val="19"/>
              </w:rPr>
              <w:t>状态标注来源</w:t>
            </w:r>
          </w:p>
        </w:tc>
        <w:tc>
          <w:tcPr>
            <w:tcW w:type="dxa" w:w="1881"/>
            <w:shd w:fill="D9EAF7"/>
          </w:tcPr>
          <w:p>
            <w:pPr>
              <w:spacing w:after="80" w:before="80"/>
            </w:pPr>
            <w:r>
              <w:rPr>
                <w:rFonts w:ascii="Calibri" w:hAnsi="Calibri" w:eastAsia="微软雅黑"/>
                <w:b/>
                <w:sz w:val="19"/>
              </w:rPr>
              <w:t>参考一致率（%）</w:t>
            </w:r>
          </w:p>
        </w:tc>
        <w:tc>
          <w:tcPr>
            <w:tcW w:type="dxa" w:w="1881"/>
            <w:shd w:fill="D9EAF7"/>
          </w:tcPr>
          <w:p>
            <w:pPr>
              <w:spacing w:after="80" w:before="80"/>
            </w:pPr>
            <w:r>
              <w:rPr>
                <w:rFonts w:ascii="Calibri" w:hAnsi="Calibri" w:eastAsia="微软雅黑"/>
                <w:b/>
                <w:sz w:val="19"/>
              </w:rPr>
              <w:t>二值参考F1（%）</w:t>
            </w:r>
          </w:p>
        </w:tc>
        <w:tc>
          <w:tcPr>
            <w:tcW w:type="dxa" w:w="1881"/>
            <w:shd w:fill="D9EAF7"/>
          </w:tcPr>
          <w:p>
            <w:pPr>
              <w:spacing w:after="80" w:before="80"/>
            </w:pPr>
            <w:r>
              <w:rPr>
                <w:rFonts w:ascii="Calibri" w:hAnsi="Calibri" w:eastAsia="微软雅黑"/>
                <w:b/>
                <w:sz w:val="19"/>
              </w:rPr>
              <w:t>Kappa</w:t>
            </w:r>
          </w:p>
        </w:tc>
      </w:tr>
      <w:tr>
        <w:trPr>
          <w:cantSplit/>
        </w:trPr>
        <w:tc>
          <w:tcPr>
            <w:tcW w:type="dxa" w:w="1881"/>
          </w:tcPr>
          <w:p>
            <w:pPr>
              <w:spacing w:after="80" w:before="80"/>
            </w:pPr>
            <w:r>
              <w:rPr>
                <w:rFonts w:ascii="Calibri" w:hAnsi="Calibri" w:eastAsia="微软雅黑"/>
                <w:b w:val="0"/>
                <w:sz w:val="19"/>
              </w:rPr>
              <w:t>遮挡</w:t>
            </w:r>
          </w:p>
        </w:tc>
        <w:tc>
          <w:tcPr>
            <w:tcW w:type="dxa" w:w="1881"/>
          </w:tcPr>
          <w:p>
            <w:pPr>
              <w:spacing w:after="80" w:before="80"/>
            </w:pPr>
            <w:r>
              <w:rPr>
                <w:rFonts w:ascii="Calibri" w:hAnsi="Calibri" w:eastAsia="微软雅黑"/>
                <w:b w:val="0"/>
                <w:sz w:val="19"/>
              </w:rPr>
              <w:t>本地</w:t>
            </w:r>
          </w:p>
        </w:tc>
        <w:tc>
          <w:tcPr>
            <w:tcW w:type="dxa" w:w="1881"/>
          </w:tcPr>
          <w:p>
            <w:pPr>
              <w:spacing w:after="80" w:before="80"/>
            </w:pPr>
            <w:r>
              <w:rPr>
                <w:rFonts w:ascii="Calibri" w:hAnsi="Calibri" w:eastAsia="微软雅黑"/>
                <w:b w:val="0"/>
                <w:sz w:val="19"/>
              </w:rPr>
              <w:t>61.16</w:t>
            </w:r>
          </w:p>
        </w:tc>
        <w:tc>
          <w:tcPr>
            <w:tcW w:type="dxa" w:w="1881"/>
          </w:tcPr>
          <w:p>
            <w:pPr>
              <w:spacing w:after="80" w:before="80"/>
            </w:pPr>
            <w:r>
              <w:rPr>
                <w:rFonts w:ascii="Calibri" w:hAnsi="Calibri" w:eastAsia="微软雅黑"/>
                <w:b w:val="0"/>
                <w:sz w:val="19"/>
              </w:rPr>
              <w:t>66.84</w:t>
            </w:r>
          </w:p>
        </w:tc>
        <w:tc>
          <w:tcPr>
            <w:tcW w:type="dxa" w:w="1881"/>
          </w:tcPr>
          <w:p>
            <w:pPr>
              <w:spacing w:after="80" w:before="80"/>
            </w:pPr>
            <w:r>
              <w:rPr>
                <w:rFonts w:ascii="Calibri" w:hAnsi="Calibri" w:eastAsia="微软雅黑"/>
                <w:b w:val="0"/>
                <w:sz w:val="19"/>
              </w:rPr>
              <w:t>0.238</w:t>
            </w:r>
          </w:p>
        </w:tc>
      </w:tr>
      <w:tr>
        <w:trPr>
          <w:cantSplit/>
        </w:trPr>
        <w:tc>
          <w:tcPr>
            <w:tcW w:type="dxa" w:w="1881"/>
          </w:tcPr>
          <w:p>
            <w:pPr>
              <w:spacing w:after="80" w:before="80"/>
            </w:pPr>
            <w:r>
              <w:rPr>
                <w:rFonts w:ascii="Calibri" w:hAnsi="Calibri" w:eastAsia="微软雅黑"/>
                <w:b w:val="0"/>
                <w:sz w:val="19"/>
              </w:rPr>
              <w:t>遮挡</w:t>
            </w:r>
          </w:p>
        </w:tc>
        <w:tc>
          <w:tcPr>
            <w:tcW w:type="dxa" w:w="1881"/>
          </w:tcPr>
          <w:p>
            <w:pPr>
              <w:spacing w:after="80" w:before="80"/>
            </w:pPr>
            <w:r>
              <w:rPr>
                <w:rFonts w:ascii="Calibri" w:hAnsi="Calibri" w:eastAsia="微软雅黑"/>
                <w:b w:val="0"/>
                <w:sz w:val="19"/>
              </w:rPr>
              <w:t>线上</w:t>
            </w:r>
          </w:p>
        </w:tc>
        <w:tc>
          <w:tcPr>
            <w:tcW w:type="dxa" w:w="1881"/>
          </w:tcPr>
          <w:p>
            <w:pPr>
              <w:spacing w:after="80" w:before="80"/>
            </w:pPr>
            <w:r>
              <w:rPr>
                <w:rFonts w:ascii="Calibri" w:hAnsi="Calibri" w:eastAsia="微软雅黑"/>
                <w:b w:val="0"/>
                <w:sz w:val="19"/>
              </w:rPr>
              <w:t>66.07</w:t>
            </w:r>
          </w:p>
        </w:tc>
        <w:tc>
          <w:tcPr>
            <w:tcW w:type="dxa" w:w="1881"/>
          </w:tcPr>
          <w:p>
            <w:pPr>
              <w:spacing w:after="80" w:before="80"/>
            </w:pPr>
            <w:r>
              <w:rPr>
                <w:rFonts w:ascii="Calibri" w:hAnsi="Calibri" w:eastAsia="微软雅黑"/>
                <w:b w:val="0"/>
                <w:sz w:val="19"/>
              </w:rPr>
              <w:t>69.67</w:t>
            </w:r>
          </w:p>
        </w:tc>
        <w:tc>
          <w:tcPr>
            <w:tcW w:type="dxa" w:w="1881"/>
          </w:tcPr>
          <w:p>
            <w:pPr>
              <w:spacing w:after="80" w:before="80"/>
            </w:pPr>
            <w:r>
              <w:rPr>
                <w:rFonts w:ascii="Calibri" w:hAnsi="Calibri" w:eastAsia="微软雅黑"/>
                <w:b w:val="0"/>
                <w:sz w:val="19"/>
              </w:rPr>
              <w:t>0.331</w:t>
            </w:r>
          </w:p>
        </w:tc>
      </w:tr>
      <w:tr>
        <w:trPr>
          <w:cantSplit/>
        </w:trPr>
        <w:tc>
          <w:tcPr>
            <w:tcW w:type="dxa" w:w="1881"/>
          </w:tcPr>
          <w:p>
            <w:pPr>
              <w:spacing w:after="80" w:before="80"/>
            </w:pPr>
            <w:r>
              <w:rPr>
                <w:rFonts w:ascii="Calibri" w:hAnsi="Calibri" w:eastAsia="微软雅黑"/>
                <w:b w:val="0"/>
                <w:sz w:val="19"/>
              </w:rPr>
              <w:t>截断</w:t>
            </w:r>
          </w:p>
        </w:tc>
        <w:tc>
          <w:tcPr>
            <w:tcW w:type="dxa" w:w="1881"/>
          </w:tcPr>
          <w:p>
            <w:pPr>
              <w:spacing w:after="80" w:before="80"/>
            </w:pPr>
            <w:r>
              <w:rPr>
                <w:rFonts w:ascii="Calibri" w:hAnsi="Calibri" w:eastAsia="微软雅黑"/>
                <w:b w:val="0"/>
                <w:sz w:val="19"/>
              </w:rPr>
              <w:t>本地</w:t>
            </w:r>
          </w:p>
        </w:tc>
        <w:tc>
          <w:tcPr>
            <w:tcW w:type="dxa" w:w="1881"/>
          </w:tcPr>
          <w:p>
            <w:pPr>
              <w:spacing w:after="80" w:before="80"/>
            </w:pPr>
            <w:r>
              <w:rPr>
                <w:rFonts w:ascii="Calibri" w:hAnsi="Calibri" w:eastAsia="微软雅黑"/>
                <w:b w:val="0"/>
                <w:sz w:val="19"/>
              </w:rPr>
              <w:t>67.50</w:t>
            </w:r>
          </w:p>
        </w:tc>
        <w:tc>
          <w:tcPr>
            <w:tcW w:type="dxa" w:w="1881"/>
          </w:tcPr>
          <w:p>
            <w:pPr>
              <w:spacing w:after="80" w:before="80"/>
            </w:pPr>
            <w:r>
              <w:rPr>
                <w:rFonts w:ascii="Calibri" w:hAnsi="Calibri" w:eastAsia="微软雅黑"/>
                <w:b w:val="0"/>
                <w:sz w:val="19"/>
              </w:rPr>
              <w:t>65.46</w:t>
            </w:r>
          </w:p>
        </w:tc>
        <w:tc>
          <w:tcPr>
            <w:tcW w:type="dxa" w:w="1881"/>
          </w:tcPr>
          <w:p>
            <w:pPr>
              <w:spacing w:after="80" w:before="80"/>
            </w:pPr>
            <w:r>
              <w:rPr>
                <w:rFonts w:ascii="Calibri" w:hAnsi="Calibri" w:eastAsia="微软雅黑"/>
                <w:b w:val="0"/>
                <w:sz w:val="19"/>
              </w:rPr>
              <w:t>0.384</w:t>
            </w:r>
          </w:p>
        </w:tc>
      </w:tr>
      <w:tr>
        <w:trPr>
          <w:cantSplit/>
        </w:trPr>
        <w:tc>
          <w:tcPr>
            <w:tcW w:type="dxa" w:w="1881"/>
          </w:tcPr>
          <w:p>
            <w:pPr>
              <w:spacing w:after="80" w:before="80"/>
            </w:pPr>
            <w:r>
              <w:rPr>
                <w:rFonts w:ascii="Calibri" w:hAnsi="Calibri" w:eastAsia="微软雅黑"/>
                <w:b w:val="0"/>
                <w:sz w:val="19"/>
              </w:rPr>
              <w:t>截断</w:t>
            </w:r>
          </w:p>
        </w:tc>
        <w:tc>
          <w:tcPr>
            <w:tcW w:type="dxa" w:w="1881"/>
          </w:tcPr>
          <w:p>
            <w:pPr>
              <w:spacing w:after="80" w:before="80"/>
            </w:pPr>
            <w:r>
              <w:rPr>
                <w:rFonts w:ascii="Calibri" w:hAnsi="Calibri" w:eastAsia="微软雅黑"/>
                <w:b w:val="0"/>
                <w:sz w:val="19"/>
              </w:rPr>
              <w:t>线上</w:t>
            </w:r>
          </w:p>
        </w:tc>
        <w:tc>
          <w:tcPr>
            <w:tcW w:type="dxa" w:w="1881"/>
          </w:tcPr>
          <w:p>
            <w:pPr>
              <w:spacing w:after="80" w:before="80"/>
            </w:pPr>
            <w:r>
              <w:rPr>
                <w:rFonts w:ascii="Calibri" w:hAnsi="Calibri" w:eastAsia="微软雅黑"/>
                <w:b w:val="0"/>
                <w:sz w:val="19"/>
              </w:rPr>
              <w:t>79.62</w:t>
            </w:r>
          </w:p>
        </w:tc>
        <w:tc>
          <w:tcPr>
            <w:tcW w:type="dxa" w:w="1881"/>
          </w:tcPr>
          <w:p>
            <w:pPr>
              <w:spacing w:after="80" w:before="80"/>
            </w:pPr>
            <w:r>
              <w:rPr>
                <w:rFonts w:ascii="Calibri" w:hAnsi="Calibri" w:eastAsia="微软雅黑"/>
                <w:b w:val="0"/>
                <w:sz w:val="19"/>
              </w:rPr>
              <w:t>74.08</w:t>
            </w:r>
          </w:p>
        </w:tc>
        <w:tc>
          <w:tcPr>
            <w:tcW w:type="dxa" w:w="1881"/>
          </w:tcPr>
          <w:p>
            <w:pPr>
              <w:spacing w:after="80" w:before="80"/>
            </w:pPr>
            <w:r>
              <w:rPr>
                <w:rFonts w:ascii="Calibri" w:hAnsi="Calibri" w:eastAsia="微软雅黑"/>
                <w:b w:val="0"/>
                <w:sz w:val="19"/>
              </w:rPr>
              <w:t>0.576</w:t>
            </w:r>
          </w:p>
        </w:tc>
      </w:tr>
    </w:tbl>
    <w:p>
      <w:pPr>
        <w:spacing w:line="312" w:lineRule="auto"/>
        <w:ind w:firstLine="0"/>
      </w:pPr>
    </w:p>
    <w:p>
      <w:pPr>
        <w:spacing w:line="312" w:lineRule="auto" w:after="80"/>
        <w:ind w:firstLine="0"/>
      </w:pPr>
      <w:r>
        <w:rPr>
          <w:rFonts w:ascii="Calibri" w:hAnsi="Calibri" w:eastAsia="微软雅黑"/>
          <w:b w:val="0"/>
          <w:sz w:val="22"/>
        </w:rPr>
        <w:t>这里的F1是状态属性与官方二值参考的对齐指标，不是对象分类F1。官方二值属性与VLM严重程度枚举也并非完全等义，参考本身不保证无误差。因此不能把这张表当成全部状态的准确率；但它明确说明，自动字段的可靠性并不相同，遮挡描述尤其需要谨慎解释。</w:t>
      </w:r>
    </w:p>
    <w:p>
      <w:pPr>
        <w:spacing w:line="312" w:lineRule="auto" w:after="80"/>
        <w:ind w:firstLine="0"/>
      </w:pPr>
      <w:r>
        <w:rPr>
          <w:rFonts w:ascii="Calibri" w:hAnsi="Calibri" w:eastAsia="微软雅黑"/>
          <w:b w:val="0"/>
          <w:sz w:val="22"/>
        </w:rPr>
        <w:t>这项局限主要影响“样本被命名为某个视觉条件是否准确”。当前最稳妥的表述是：模型在自动状态协议定义的风险层上表现不同。不能进一步宣称模型一定在全部真实严重遮挡样本上表现如何。</w:t>
      </w:r>
    </w:p>
    <w:p>
      <w:pPr>
        <w:spacing w:line="312" w:lineRule="auto" w:after="80"/>
        <w:ind w:firstLine="0"/>
      </w:pPr>
      <w:r>
        <w:rPr>
          <w:rFonts w:ascii="Calibri" w:hAnsi="Calibri" w:eastAsia="微软雅黑"/>
          <w:b w:val="0"/>
          <w:sz w:val="22"/>
        </w:rPr>
        <w:t>不进行人工复核，不意味着所有标签一定错误，也不意味着分类器F1会自动降低。它意味着缺少一种直接核验状态语义的证据。本文可继续使用自动标签，保留官方参考、双来源和敏感性结果，明确其解释范围；本说明不将新增人工复核列为必须执行步骤。</w:t>
      </w:r>
    </w:p>
    <w:p>
      <w:pPr>
        <w:pStyle w:val="Heading2"/>
        <w:keepNext/>
      </w:pPr>
      <w:r>
        <w:rPr>
          <w:rFonts w:ascii="Calibri" w:hAnsi="Calibri" w:eastAsia="微软雅黑"/>
          <w:b/>
          <w:color w:val="2166AC"/>
          <w:sz w:val="28"/>
        </w:rPr>
        <w:t>三、局限性2：覆盖率提高不是风险增加的同义词</w:t>
      </w:r>
    </w:p>
    <w:p>
      <w:pPr>
        <w:spacing w:line="312" w:lineRule="auto" w:after="80"/>
        <w:ind w:firstLine="0"/>
      </w:pPr>
      <w:r>
        <w:rPr>
          <w:rFonts w:ascii="Calibri" w:hAnsi="Calibri" w:eastAsia="微软雅黑"/>
          <w:b w:val="0"/>
          <w:sz w:val="22"/>
        </w:rPr>
        <w:t>覆盖描述哪些状态出现及其证据数量；风险描述预定义困难条件；F1描述模型在当前测试集合上的分类表现。三者不能合并解释。</w:t>
      </w:r>
    </w:p>
    <w:p>
      <w:pPr>
        <w:spacing w:line="312" w:lineRule="auto" w:after="80"/>
        <w:ind w:firstLine="0"/>
      </w:pPr>
      <w:r>
        <w:rPr>
          <w:rFonts w:ascii="Calibri" w:hAnsi="Calibri" w:eastAsia="微软雅黑"/>
          <w:b w:val="0"/>
          <w:sz w:val="22"/>
        </w:rPr>
        <w:t>例如，加入一个以前没有出现、但容易识别的毛发状态，可能同时提高状态覆盖与F1。重复加入大量严重遮挡目标，可能增加错误，却主要重复同一批条件。两种情况都说明，覆盖率、样本困难程度和测得性能之间没有预设的单调关系。</w:t>
      </w:r>
    </w:p>
    <w:p>
      <w:pPr>
        <w:spacing w:line="312" w:lineRule="auto" w:after="80"/>
        <w:ind w:firstLine="0"/>
      </w:pPr>
      <w:r>
        <w:rPr>
          <w:rFonts w:ascii="Calibri" w:hAnsi="Calibri" w:eastAsia="微软雅黑"/>
          <w:b w:val="0"/>
          <w:sz w:val="22"/>
        </w:rPr>
        <w:t>最新固定预算实验直接改变的是Q5目标的占比。它控制了测试总量和六类比例，所以支持“风险构成变化对应性能响应”；它没有单独操纵覆盖率，因此不支持“覆盖率增加导致F1下降”的因果结论。</w:t>
      </w:r>
    </w:p>
    <w:p>
      <w:pPr>
        <w:spacing w:line="312" w:lineRule="auto" w:after="80"/>
        <w:ind w:firstLine="0"/>
      </w:pPr>
      <w:r>
        <w:rPr>
          <w:rFonts w:ascii="Calibri" w:hAnsi="Calibri" w:eastAsia="微软雅黑"/>
          <w:b w:val="0"/>
          <w:sz w:val="22"/>
        </w:rPr>
        <w:t>覆盖指标还依赖状态枚举、unknown处理、频次阈值及支持门槛。单字段状态覆盖高，不意味着多字段组合、真实场景或所有可发生条件均已覆盖。当前论文应将覆盖作为有限状态证据指标，不能将其解释为完整视觉世界的充分性。</w:t>
      </w:r>
    </w:p>
    <w:p>
      <w:pPr>
        <w:pStyle w:val="Heading2"/>
        <w:keepNext/>
      </w:pPr>
      <w:r>
        <w:rPr>
          <w:rFonts w:ascii="Calibri" w:hAnsi="Calibri" w:eastAsia="微软雅黑"/>
          <w:b/>
          <w:color w:val="2166AC"/>
          <w:sz w:val="28"/>
        </w:rPr>
        <w:t>四、局限性3：风险评分和分位层依赖规则设定</w:t>
      </w:r>
    </w:p>
    <w:p>
      <w:pPr>
        <w:spacing w:line="312" w:lineRule="auto" w:after="80"/>
        <w:ind w:firstLine="0"/>
      </w:pPr>
      <w:r>
        <w:rPr>
          <w:rFonts w:ascii="Calibri" w:hAnsi="Calibri" w:eastAsia="微软雅黑"/>
          <w:b w:val="0"/>
          <w:sz w:val="22"/>
        </w:rPr>
        <w:t>当前风险评分采用尺度、可见性、遮挡、截断和朝向五维，并固定分值、unknown处理与同分排序规则。哪些条件得到较高分、不同维度如何累计，都会影响最终层成员。</w:t>
      </w:r>
    </w:p>
    <w:p>
      <w:pPr>
        <w:spacing w:line="312" w:lineRule="auto" w:after="80"/>
        <w:ind w:firstLine="0"/>
      </w:pPr>
      <w:r>
        <w:rPr>
          <w:rFonts w:ascii="Calibri" w:hAnsi="Calibri" w:eastAsia="微软雅黑"/>
          <w:b w:val="0"/>
          <w:sz w:val="22"/>
        </w:rPr>
        <w:t>Q5是每个候选池、每个类别内部的相对最高风险五分位层。COCO的Q5与Objects365的Q5并不保证相同绝对难度；dog的Q5也不能直接当作car的同等难度。跨池落差不同，既可能与条件分布有关，也可能与对象、背景、标注资格和具体样本有关。</w:t>
      </w:r>
    </w:p>
    <w:p>
      <w:pPr>
        <w:spacing w:line="312" w:lineRule="auto" w:after="80"/>
        <w:ind w:firstLine="0"/>
      </w:pPr>
      <w:r>
        <w:rPr>
          <w:rFonts w:ascii="Calibri" w:hAnsi="Calibri" w:eastAsia="微软雅黑"/>
          <w:b w:val="0"/>
          <w:sz w:val="22"/>
        </w:rPr>
        <w:t>逐维消融已经补充了规则敏感性证据：删除任一维后仍保留负向层差。但各池12项消融家族的Holm校正p均为0.09375，没有达到0.05标准。因此应说“观察方向保留”，不能说“所有删维结果均获得校正显著支持”或“风险权重已经最优”。</w:t>
      </w:r>
    </w:p>
    <w:p>
      <w:pPr>
        <w:spacing w:line="312" w:lineRule="auto" w:after="80"/>
        <w:ind w:firstLine="0"/>
      </w:pPr>
      <w:r>
        <w:rPr>
          <w:rFonts w:ascii="Calibri" w:hAnsi="Calibri" w:eastAsia="微软雅黑"/>
          <w:b w:val="0"/>
          <w:sz w:val="22"/>
        </w:rPr>
        <w:t>这项局限约束的是风险评分的普遍性与最优性，不取消当前冻结规则在已测池中的经验区分度。</w:t>
      </w:r>
    </w:p>
    <w:p>
      <w:pPr>
        <w:pStyle w:val="Heading2"/>
        <w:keepNext/>
      </w:pPr>
      <w:r>
        <w:rPr>
          <w:rFonts w:ascii="Calibri" w:hAnsi="Calibri" w:eastAsia="微软雅黑"/>
          <w:b/>
          <w:color w:val="2166AC"/>
          <w:sz w:val="28"/>
        </w:rPr>
        <w:t>五、局限性4：状态关联还不能解释为单字段因果</w:t>
      </w:r>
    </w:p>
    <w:p>
      <w:pPr>
        <w:spacing w:line="312" w:lineRule="auto" w:after="80"/>
        <w:ind w:firstLine="0"/>
      </w:pPr>
      <w:r>
        <w:rPr>
          <w:rFonts w:ascii="Calibri" w:hAnsi="Calibri" w:eastAsia="微软雅黑"/>
          <w:b w:val="0"/>
          <w:sz w:val="22"/>
        </w:rPr>
        <w:t>视觉条件会共现。小目标可能同时模糊、可见部位少；背向目标可能缺少面部线索；复杂背景也可能伴随遮挡。即使某状态上的Recall较低，仍不能确定错误独立由该状态造成。</w:t>
      </w:r>
    </w:p>
    <w:p>
      <w:pPr>
        <w:spacing w:line="312" w:lineRule="auto" w:after="80"/>
        <w:ind w:firstLine="0"/>
      </w:pPr>
      <w:r>
        <w:rPr>
          <w:rFonts w:ascii="Calibri" w:hAnsi="Calibri" w:eastAsia="微软雅黑"/>
          <w:b w:val="0"/>
          <w:sz w:val="22"/>
        </w:rPr>
        <w:t>删除一个风险维后，会重新评分、排序和划层，从而改变比较对象。例如，删除遮挡后落差仍存在，说明观察方向不依赖遮挡分值单项；它不证明遮挡没有作用，也不证明遮挡标签准确。其他维度可能携带相关信息，新层也可能保留大量原层目标。</w:t>
      </w:r>
    </w:p>
    <w:p>
      <w:pPr>
        <w:spacing w:line="312" w:lineRule="auto" w:after="80"/>
        <w:ind w:firstLine="0"/>
      </w:pPr>
      <w:r>
        <w:rPr>
          <w:rFonts w:ascii="Calibri" w:hAnsi="Calibri" w:eastAsia="微软雅黑"/>
          <w:b w:val="0"/>
          <w:sz w:val="22"/>
        </w:rPr>
        <w:t>分类器使用目标裁剪图，VLM同时查看原图、标记图与放大图，两者获得的视觉信息并不相同。部分背景或相对尺度条件可能对VLM分层可见，却没有完整保留在分类器输入中。这也限制了直接将VLM描述当作分类器内部失败原因的解释。</w:t>
      </w:r>
    </w:p>
    <w:p>
      <w:pPr>
        <w:spacing w:line="312" w:lineRule="auto" w:after="80"/>
        <w:ind w:firstLine="0"/>
      </w:pPr>
      <w:r>
        <w:rPr>
          <w:rFonts w:ascii="Calibri" w:hAnsi="Calibri" w:eastAsia="微软雅黑"/>
          <w:b w:val="0"/>
          <w:sz w:val="22"/>
        </w:rPr>
        <w:t>因此，状态诊断适合报告“这个条件下观察到较低表现”，当前不能写成“已经定位并证明这个特征是缺陷根因”。研究尚未通过受控图像编辑或条件干预隔离单字段作用。</w:t>
      </w:r>
    </w:p>
    <w:p>
      <w:pPr>
        <w:pStyle w:val="Heading2"/>
        <w:keepNext/>
      </w:pPr>
      <w:r>
        <w:rPr>
          <w:rFonts w:ascii="Calibri" w:hAnsi="Calibri" w:eastAsia="微软雅黑"/>
          <w:b/>
          <w:color w:val="2166AC"/>
          <w:sz w:val="28"/>
        </w:rPr>
        <w:t>六、局限性5：风险分层有效不等于Coverage选样全面优越</w:t>
      </w:r>
    </w:p>
    <w:p>
      <w:pPr>
        <w:spacing w:line="312" w:lineRule="auto" w:after="80"/>
        <w:ind w:firstLine="0"/>
      </w:pPr>
      <w:r>
        <w:rPr>
          <w:rFonts w:ascii="Calibri" w:hAnsi="Calibri" w:eastAsia="微软雅黑"/>
          <w:b w:val="0"/>
          <w:sz w:val="22"/>
        </w:rPr>
        <w:t>风险分层与Coverage选样回答不同问题。前者检查预定义条件能否区分模型表现；后者检查在同预算和相应控制下，覆盖驱动选样能否比其他策略揭示更多不同失败。</w:t>
      </w:r>
    </w:p>
    <w:p>
      <w:pPr>
        <w:spacing w:line="312" w:lineRule="auto" w:after="80"/>
        <w:ind w:firstLine="0"/>
      </w:pPr>
      <w:r>
        <w:rPr>
          <w:rFonts w:ascii="Calibri" w:hAnsi="Calibri" w:eastAsia="微软雅黑"/>
          <w:b w:val="0"/>
          <w:sz w:val="22"/>
        </w:rPr>
        <w:t>现有Coverage相对Random的增量结果依赖来源、控制方式和错误表征。部分共同风险配额设置得到正向收益，但VOC本地未复现相同收益；精确风险匹配、强基线和统一表征下也没有确立普遍优势。不能用随机分层检验显著，替代Coverage与DeepGini、Surprise Adequacy、k-center等选样策略的比较结论。</w:t>
      </w:r>
    </w:p>
    <w:p>
      <w:pPr>
        <w:spacing w:line="312" w:lineRule="auto" w:after="80"/>
        <w:ind w:firstLine="0"/>
      </w:pPr>
      <w:r>
        <w:rPr>
          <w:rFonts w:ascii="Calibri" w:hAnsi="Calibri" w:eastAsia="微软雅黑"/>
          <w:b w:val="0"/>
          <w:sz w:val="22"/>
        </w:rPr>
        <w:t>固定预算风险混合中，原始失败状态广度终点增加，但逐类别等错误数后的混淆类型和错误簇广度没有一致正向收益。暴露更多错误，可能是已有几种混淆变得更频繁；这与发现更多不同问题不是一回事。</w:t>
      </w:r>
    </w:p>
    <w:p>
      <w:pPr>
        <w:spacing w:line="312" w:lineRule="auto" w:after="80"/>
        <w:ind w:firstLine="0"/>
      </w:pPr>
      <w:r>
        <w:rPr>
          <w:rFonts w:ascii="Calibri" w:hAnsi="Calibri" w:eastAsia="微软雅黑"/>
          <w:b w:val="0"/>
          <w:sz w:val="22"/>
        </w:rPr>
        <w:t>当前可以把Coverage定位为测试条件组织与解释工具，并说明它何时增加诊断信息。不能将“错误率更高”“原始失败状态更多”单独作为测试方法全面优越的证明。</w:t>
      </w:r>
    </w:p>
    <w:p>
      <w:pPr>
        <w:pStyle w:val="Heading2"/>
        <w:keepNext/>
      </w:pPr>
      <w:r>
        <w:rPr>
          <w:rFonts w:ascii="Calibri" w:hAnsi="Calibri" w:eastAsia="微软雅黑"/>
          <w:b/>
          <w:color w:val="2166AC"/>
          <w:sz w:val="28"/>
        </w:rPr>
        <w:t>七、局限性6：重复次数很多，但独立证据单元有限</w:t>
      </w:r>
    </w:p>
    <w:p>
      <w:pPr>
        <w:spacing w:line="312" w:lineRule="auto" w:after="80"/>
        <w:ind w:firstLine="0"/>
      </w:pPr>
      <w:r>
        <w:rPr>
          <w:rFonts w:ascii="Calibri" w:hAnsi="Calibri" w:eastAsia="微软雅黑"/>
          <w:b w:val="0"/>
          <w:sz w:val="22"/>
        </w:rPr>
        <w:t>八架构各三个种子提供了24份模型运行，但同一架构的种子不等于三个独立架构。1000次风险混合抽样或10000次随机划层来自同一有限池，也不等于新增了1000或10000个独立数据来源。</w:t>
      </w:r>
    </w:p>
    <w:p>
      <w:pPr>
        <w:spacing w:line="312" w:lineRule="auto" w:after="80"/>
        <w:ind w:firstLine="0"/>
      </w:pPr>
      <w:r>
        <w:rPr>
          <w:rFonts w:ascii="Calibri" w:hAnsi="Calibri" w:eastAsia="微软雅黑"/>
          <w:b w:val="0"/>
          <w:sz w:val="22"/>
        </w:rPr>
        <w:t>统计区间具有不同含义，必须按计算方式解释。</w:t>
      </w:r>
    </w:p>
    <w:tbl>
      <w:tblPr>
        <w:tblStyle w:val="TableGrid"/>
        <w:tblW w:type="auto" w:w="0"/>
        <w:tblLook w:firstColumn="1" w:firstRow="1" w:lastColumn="0" w:lastRow="0" w:noHBand="0" w:noVBand="1" w:val="04A0"/>
      </w:tblPr>
      <w:tblGrid>
        <w:gridCol w:w="3135"/>
        <w:gridCol w:w="3135"/>
        <w:gridCol w:w="3135"/>
      </w:tblGrid>
      <w:tr>
        <w:trPr>
          <w:cantSplit/>
          <w:tblHeader/>
        </w:trPr>
        <w:tc>
          <w:tcPr>
            <w:tcW w:type="dxa" w:w="3135"/>
            <w:shd w:fill="D9EAF7"/>
          </w:tcPr>
          <w:p>
            <w:pPr>
              <w:spacing w:after="80" w:before="80"/>
            </w:pPr>
            <w:r>
              <w:rPr>
                <w:rFonts w:ascii="Calibri" w:hAnsi="Calibri" w:eastAsia="微软雅黑"/>
                <w:b/>
                <w:sz w:val="19"/>
              </w:rPr>
              <w:t>统计材料</w:t>
            </w:r>
          </w:p>
        </w:tc>
        <w:tc>
          <w:tcPr>
            <w:tcW w:type="dxa" w:w="3135"/>
            <w:shd w:fill="D9EAF7"/>
          </w:tcPr>
          <w:p>
            <w:pPr>
              <w:spacing w:after="80" w:before="80"/>
            </w:pPr>
            <w:r>
              <w:rPr>
                <w:rFonts w:ascii="Calibri" w:hAnsi="Calibri" w:eastAsia="微软雅黑"/>
                <w:b/>
                <w:sz w:val="19"/>
              </w:rPr>
              <w:t>主要描述的不确定性</w:t>
            </w:r>
          </w:p>
        </w:tc>
        <w:tc>
          <w:tcPr>
            <w:tcW w:type="dxa" w:w="3135"/>
            <w:shd w:fill="D9EAF7"/>
          </w:tcPr>
          <w:p>
            <w:pPr>
              <w:spacing w:after="80" w:before="80"/>
            </w:pPr>
            <w:r>
              <w:rPr>
                <w:rFonts w:ascii="Calibri" w:hAnsi="Calibri" w:eastAsia="微软雅黑"/>
                <w:b/>
                <w:sz w:val="19"/>
              </w:rPr>
              <w:t>不应解释成什么</w:t>
            </w:r>
          </w:p>
        </w:tc>
      </w:tr>
      <w:tr>
        <w:trPr>
          <w:cantSplit/>
        </w:trPr>
        <w:tc>
          <w:tcPr>
            <w:tcW w:type="dxa" w:w="3135"/>
          </w:tcPr>
          <w:p>
            <w:pPr>
              <w:spacing w:after="80" w:before="80"/>
            </w:pPr>
            <w:r>
              <w:rPr>
                <w:rFonts w:ascii="Calibri" w:hAnsi="Calibri" w:eastAsia="微软雅黑"/>
                <w:b w:val="0"/>
                <w:sz w:val="19"/>
              </w:rPr>
              <w:t>随机划层95%百分位范围</w:t>
            </w:r>
          </w:p>
        </w:tc>
        <w:tc>
          <w:tcPr>
            <w:tcW w:type="dxa" w:w="3135"/>
          </w:tcPr>
          <w:p>
            <w:pPr>
              <w:spacing w:after="80" w:before="80"/>
            </w:pPr>
            <w:r>
              <w:rPr>
                <w:rFonts w:ascii="Calibri" w:hAnsi="Calibri" w:eastAsia="微软雅黑"/>
                <w:b w:val="0"/>
                <w:sz w:val="19"/>
              </w:rPr>
              <w:t>同池、固定预测和类别配额下的随机分组波动</w:t>
            </w:r>
          </w:p>
        </w:tc>
        <w:tc>
          <w:tcPr>
            <w:tcW w:type="dxa" w:w="3135"/>
          </w:tcPr>
          <w:p>
            <w:pPr>
              <w:spacing w:after="80" w:before="80"/>
            </w:pPr>
            <w:r>
              <w:rPr>
                <w:rFonts w:ascii="Calibri" w:hAnsi="Calibri" w:eastAsia="微软雅黑"/>
                <w:b w:val="0"/>
                <w:sz w:val="19"/>
              </w:rPr>
              <w:t>风险差均值CI或部署总体区间</w:t>
            </w:r>
          </w:p>
        </w:tc>
      </w:tr>
      <w:tr>
        <w:trPr>
          <w:cantSplit/>
        </w:trPr>
        <w:tc>
          <w:tcPr>
            <w:tcW w:type="dxa" w:w="3135"/>
          </w:tcPr>
          <w:p>
            <w:pPr>
              <w:spacing w:after="80" w:before="80"/>
            </w:pPr>
            <w:r>
              <w:rPr>
                <w:rFonts w:ascii="Calibri" w:hAnsi="Calibri" w:eastAsia="微软雅黑"/>
                <w:b w:val="0"/>
                <w:sz w:val="19"/>
              </w:rPr>
              <w:t>风险混合95%抽样范围</w:t>
            </w:r>
          </w:p>
        </w:tc>
        <w:tc>
          <w:tcPr>
            <w:tcW w:type="dxa" w:w="3135"/>
          </w:tcPr>
          <w:p>
            <w:pPr>
              <w:spacing w:after="80" w:before="80"/>
            </w:pPr>
            <w:r>
              <w:rPr>
                <w:rFonts w:ascii="Calibri" w:hAnsi="Calibri" w:eastAsia="微软雅黑"/>
                <w:b w:val="0"/>
                <w:sz w:val="19"/>
              </w:rPr>
              <w:t>同池、固定模型面板下替换目标的波动</w:t>
            </w:r>
          </w:p>
        </w:tc>
        <w:tc>
          <w:tcPr>
            <w:tcW w:type="dxa" w:w="3135"/>
          </w:tcPr>
          <w:p>
            <w:pPr>
              <w:spacing w:after="80" w:before="80"/>
            </w:pPr>
            <w:r>
              <w:rPr>
                <w:rFonts w:ascii="Calibri" w:hAnsi="Calibri" w:eastAsia="微软雅黑"/>
                <w:b w:val="0"/>
                <w:sz w:val="19"/>
              </w:rPr>
              <w:t>所有模型及未来自然分布的CI</w:t>
            </w:r>
          </w:p>
        </w:tc>
      </w:tr>
      <w:tr>
        <w:trPr>
          <w:cantSplit/>
        </w:trPr>
        <w:tc>
          <w:tcPr>
            <w:tcW w:type="dxa" w:w="3135"/>
          </w:tcPr>
          <w:p>
            <w:pPr>
              <w:spacing w:after="80" w:before="80"/>
            </w:pPr>
            <w:r>
              <w:rPr>
                <w:rFonts w:ascii="Calibri" w:hAnsi="Calibri" w:eastAsia="微软雅黑"/>
                <w:b w:val="0"/>
                <w:sz w:val="19"/>
              </w:rPr>
              <w:t>架构/种子层级bootstrap</w:t>
            </w:r>
          </w:p>
        </w:tc>
        <w:tc>
          <w:tcPr>
            <w:tcW w:type="dxa" w:w="3135"/>
          </w:tcPr>
          <w:p>
            <w:pPr>
              <w:spacing w:after="80" w:before="80"/>
            </w:pPr>
            <w:r>
              <w:rPr>
                <w:rFonts w:ascii="Calibri" w:hAnsi="Calibri" w:eastAsia="微软雅黑"/>
                <w:b w:val="0"/>
                <w:sz w:val="19"/>
              </w:rPr>
              <w:t>所测架构与种子面板的重采样变动</w:t>
            </w:r>
          </w:p>
        </w:tc>
        <w:tc>
          <w:tcPr>
            <w:tcW w:type="dxa" w:w="3135"/>
          </w:tcPr>
          <w:p>
            <w:pPr>
              <w:spacing w:after="80" w:before="80"/>
            </w:pPr>
            <w:r>
              <w:rPr>
                <w:rFonts w:ascii="Calibri" w:hAnsi="Calibri" w:eastAsia="微软雅黑"/>
                <w:b w:val="0"/>
                <w:sz w:val="19"/>
              </w:rPr>
              <w:t>自动标签语义误差已经被覆盖</w:t>
            </w:r>
          </w:p>
        </w:tc>
      </w:tr>
      <w:tr>
        <w:trPr>
          <w:cantSplit/>
        </w:trPr>
        <w:tc>
          <w:tcPr>
            <w:tcW w:type="dxa" w:w="3135"/>
          </w:tcPr>
          <w:p>
            <w:pPr>
              <w:spacing w:after="80" w:before="80"/>
            </w:pPr>
            <w:r>
              <w:rPr>
                <w:rFonts w:ascii="Calibri" w:hAnsi="Calibri" w:eastAsia="微软雅黑"/>
                <w:b w:val="0"/>
                <w:sz w:val="19"/>
              </w:rPr>
              <w:t>固定模型源图bootstrap</w:t>
            </w:r>
          </w:p>
        </w:tc>
        <w:tc>
          <w:tcPr>
            <w:tcW w:type="dxa" w:w="3135"/>
          </w:tcPr>
          <w:p>
            <w:pPr>
              <w:spacing w:after="80" w:before="80"/>
            </w:pPr>
            <w:r>
              <w:rPr>
                <w:rFonts w:ascii="Calibri" w:hAnsi="Calibri" w:eastAsia="微软雅黑"/>
                <w:b w:val="0"/>
                <w:sz w:val="19"/>
              </w:rPr>
              <w:t>已选模型及池中目标的抽样变动</w:t>
            </w:r>
          </w:p>
        </w:tc>
        <w:tc>
          <w:tcPr>
            <w:tcW w:type="dxa" w:w="3135"/>
          </w:tcPr>
          <w:p>
            <w:pPr>
              <w:spacing w:after="80" w:before="80"/>
            </w:pPr>
            <w:r>
              <w:rPr>
                <w:rFonts w:ascii="Calibri" w:hAnsi="Calibri" w:eastAsia="微软雅黑"/>
                <w:b w:val="0"/>
                <w:sz w:val="19"/>
              </w:rPr>
              <w:t>架构总体或VLM版本的全部不确定性</w:t>
            </w:r>
          </w:p>
        </w:tc>
      </w:tr>
    </w:tbl>
    <w:p>
      <w:pPr>
        <w:spacing w:line="312" w:lineRule="auto"/>
        <w:ind w:firstLine="0"/>
      </w:pPr>
    </w:p>
    <w:p>
      <w:pPr>
        <w:spacing w:line="312" w:lineRule="auto" w:after="80"/>
        <w:ind w:firstLine="0"/>
      </w:pPr>
      <w:r>
        <w:rPr>
          <w:rFonts w:ascii="Calibri" w:hAnsi="Calibri" w:eastAsia="微软雅黑"/>
          <w:b w:val="0"/>
          <w:sz w:val="22"/>
        </w:rPr>
        <w:t>多重比较会限制显著性结论。随机划层六项校正通过，但消融12项校正未通过；其他强基线家族也必须分别报告。不能把一个家族的显著性沿用到另一个家族。</w:t>
      </w:r>
    </w:p>
    <w:p>
      <w:pPr>
        <w:spacing w:line="312" w:lineRule="auto" w:after="80"/>
        <w:ind w:firstLine="0"/>
      </w:pPr>
      <w:r>
        <w:rPr>
          <w:rFonts w:ascii="Calibri" w:hAnsi="Calibri" w:eastAsia="微软雅黑"/>
          <w:b w:val="0"/>
          <w:sz w:val="22"/>
        </w:rPr>
        <w:t>同池两种VLM分层共用同一随机对照，并复用冻结模型预测，结果之间存在依赖。后续尝试的混合效应模型还存在未收敛或奇异警告，不能作为新增确认性证据。本文应继续以通过核验的既有统计为准。</w:t>
      </w:r>
    </w:p>
    <w:p>
      <w:pPr>
        <w:pStyle w:val="Heading2"/>
        <w:keepNext/>
      </w:pPr>
      <w:r>
        <w:rPr>
          <w:rFonts w:ascii="Calibri" w:hAnsi="Calibri" w:eastAsia="微软雅黑"/>
          <w:b/>
          <w:color w:val="2166AC"/>
          <w:sz w:val="28"/>
        </w:rPr>
        <w:t>八、局限性7：平均模型排名不能推广为普遍优劣</w:t>
      </w:r>
    </w:p>
    <w:p>
      <w:pPr>
        <w:spacing w:line="312" w:lineRule="auto" w:after="80"/>
        <w:ind w:firstLine="0"/>
      </w:pPr>
      <w:r>
        <w:rPr>
          <w:rFonts w:ascii="Calibri" w:hAnsi="Calibri" w:eastAsia="微软雅黑"/>
          <w:b w:val="0"/>
          <w:sz w:val="22"/>
        </w:rPr>
        <w:t>ConvNeXt-Tiny和Swin-T在已测完整Q5及固定预算风险混合设置中保持平均前两位，但这些排名对应的是当前训练配置、权重、目标区域输入与评价条件。</w:t>
      </w:r>
    </w:p>
    <w:p>
      <w:pPr>
        <w:spacing w:line="312" w:lineRule="auto" w:after="80"/>
        <w:ind w:firstLine="0"/>
      </w:pPr>
      <w:r>
        <w:rPr>
          <w:rFonts w:ascii="Calibri" w:hAnsi="Calibri" w:eastAsia="微软雅黑"/>
          <w:b w:val="0"/>
          <w:sz w:val="22"/>
        </w:rPr>
        <w:t>统一训练配置有助于形成一致比较，但每个架构的最佳训练超参数不一定相同。因此结果描述的是这些冻结模型实例，不是充分调优后所有同名架构的性能上限。</w:t>
      </w:r>
    </w:p>
    <w:p>
      <w:pPr>
        <w:spacing w:line="312" w:lineRule="auto" w:after="80"/>
        <w:ind w:firstLine="0"/>
      </w:pPr>
      <w:r>
        <w:rPr>
          <w:rFonts w:ascii="Calibri" w:hAnsi="Calibri" w:eastAsia="微软雅黑"/>
          <w:b w:val="0"/>
          <w:sz w:val="22"/>
        </w:rPr>
        <w:t>平均名次还不等于可靠的两两先后。完整池源图重采样显示，Objects365中Swin-T的平均第二名存在较大抽样不确定性；部分中间模型名次随风险占比变化。对接近的模型，应同时展示真实分差、区间及排名频率。</w:t>
      </w:r>
    </w:p>
    <w:p>
      <w:pPr>
        <w:spacing w:line="312" w:lineRule="auto" w:after="80"/>
        <w:ind w:firstLine="0"/>
      </w:pPr>
      <w:r>
        <w:rPr>
          <w:rFonts w:ascii="Calibri" w:hAnsi="Calibri" w:eastAsia="微软雅黑"/>
          <w:b w:val="0"/>
          <w:sz w:val="22"/>
        </w:rPr>
        <w:t>当前可以报告“在这些配置下，某模型平均高风险F1更高”。不能说“某架构在所有任务中更好”或把进入前两名的重采样频率称为真实世界最优概率。新的可视化应让差异可读，同时保留接近结果的真实距离。</w:t>
      </w:r>
    </w:p>
    <w:p>
      <w:pPr>
        <w:pStyle w:val="Heading2"/>
        <w:keepNext/>
      </w:pPr>
      <w:r>
        <w:rPr>
          <w:rFonts w:ascii="Calibri" w:hAnsi="Calibri" w:eastAsia="微软雅黑"/>
          <w:b/>
          <w:color w:val="2166AC"/>
          <w:sz w:val="28"/>
        </w:rPr>
        <w:t>九、局限性8：类别、数据来源和任务形式仍有范围限制</w:t>
      </w:r>
    </w:p>
    <w:p>
      <w:pPr>
        <w:spacing w:line="312" w:lineRule="auto" w:after="80"/>
        <w:ind w:firstLine="0"/>
      </w:pPr>
      <w:r>
        <w:rPr>
          <w:rFonts w:ascii="Calibri" w:hAnsi="Calibri" w:eastAsia="微软雅黑"/>
          <w:b w:val="0"/>
          <w:sz w:val="22"/>
        </w:rPr>
        <w:t>主实验包括dog、cat、horse、sheep、person和car，并在COCO、VOC2007与Objects365三个确认来源上开展。它已经是多类别研究，但仍不能代表全部对象类别、细粒度属性或所有视觉任务。</w:t>
      </w:r>
    </w:p>
    <w:p>
      <w:pPr>
        <w:spacing w:line="312" w:lineRule="auto" w:after="80"/>
        <w:ind w:firstLine="0"/>
      </w:pPr>
      <w:r>
        <w:rPr>
          <w:rFonts w:ascii="Calibri" w:hAnsi="Calibri" w:eastAsia="微软雅黑"/>
          <w:b w:val="0"/>
          <w:sz w:val="22"/>
        </w:rPr>
        <w:t>研究使用已知目标框裁剪后分类。真实部署还可能包含目标框定位失败、多目标关联、未知类别、背景目标混淆和输入质量变化。当前没有验证检测、分割、开放集识别等任务；person也不等于独立人脸识别实验。</w:t>
      </w:r>
    </w:p>
    <w:p>
      <w:pPr>
        <w:spacing w:line="312" w:lineRule="auto" w:after="80"/>
        <w:ind w:firstLine="0"/>
      </w:pPr>
      <w:r>
        <w:rPr>
          <w:rFonts w:ascii="Calibri" w:hAnsi="Calibri" w:eastAsia="微软雅黑"/>
          <w:b w:val="0"/>
          <w:sz w:val="22"/>
        </w:rPr>
        <w:t>六类平衡配额便于隔离类别比例的影响，但真实部署可能高度不平衡，类别之间的误报流向也会改变Precision和F1。实验池的资格筛选、下载前缀和框级标注规则，使结果不能直接当作自然部署分布或官方检测排行榜成绩。</w:t>
      </w:r>
    </w:p>
    <w:p>
      <w:pPr>
        <w:spacing w:line="312" w:lineRule="auto" w:after="80"/>
        <w:ind w:firstLine="0"/>
      </w:pPr>
      <w:r>
        <w:rPr>
          <w:rFonts w:ascii="Calibri" w:hAnsi="Calibri" w:eastAsia="微软雅黑"/>
          <w:b w:val="0"/>
          <w:sz w:val="22"/>
        </w:rPr>
        <w:t>历史排重与近重复检查降低了已知重叠风险，但无法保证排除全部近重复或与ImageNet等预训练数据的重叠。冻结规则保证当前比较一致，不等于数据与模型从项目最初起都没有历史影响。</w:t>
      </w:r>
    </w:p>
    <w:p>
      <w:pPr>
        <w:pStyle w:val="Heading2"/>
        <w:keepNext/>
      </w:pPr>
      <w:r>
        <w:rPr>
          <w:rFonts w:ascii="Calibri" w:hAnsi="Calibri" w:eastAsia="微软雅黑"/>
          <w:b/>
          <w:color w:val="2166AC"/>
          <w:sz w:val="28"/>
        </w:rPr>
        <w:t>十、局限性9：稀有状态与严格一致子集存在支持不足</w:t>
      </w:r>
    </w:p>
    <w:p>
      <w:pPr>
        <w:spacing w:line="312" w:lineRule="auto" w:after="80"/>
        <w:ind w:firstLine="0"/>
      </w:pPr>
      <w:r>
        <w:rPr>
          <w:rFonts w:ascii="Calibri" w:hAnsi="Calibri" w:eastAsia="微软雅黑"/>
          <w:b w:val="0"/>
          <w:sz w:val="22"/>
        </w:rPr>
        <w:t>细粒度诊断需要相应条件中有足够目标。候选池总体规模达到数千，并不保证每个类别的每种状态或状态组合都有足够样本。</w:t>
      </w:r>
    </w:p>
    <w:p>
      <w:pPr>
        <w:spacing w:line="312" w:lineRule="auto" w:after="80"/>
        <w:ind w:firstLine="0"/>
      </w:pPr>
      <w:r>
        <w:rPr>
          <w:rFonts w:ascii="Calibri" w:hAnsi="Calibri" w:eastAsia="微软雅黑"/>
          <w:b w:val="0"/>
          <w:sz w:val="22"/>
        </w:rPr>
        <w:t>VOC确认池中，部分冻结薄弱状态难以达到原支持门槛。Objects365扩大了可评价范围，但仍不是每条状态都复现。没有足够样本的状态应标为无法评价，不能把它解释为模型没有弱点，也不能把单个失败图当作统计确认。</w:t>
      </w:r>
    </w:p>
    <w:p>
      <w:pPr>
        <w:spacing w:line="312" w:lineRule="auto" w:after="80"/>
        <w:ind w:firstLine="0"/>
      </w:pPr>
      <w:r>
        <w:rPr>
          <w:rFonts w:ascii="Calibri" w:hAnsi="Calibri" w:eastAsia="微软雅黑"/>
          <w:b w:val="0"/>
          <w:sz w:val="22"/>
        </w:rPr>
        <w:t>严格要求多个字段同时在两VLM之间一致，还会大幅缩小可评价集合。这些保留样本可能更典型或更容易描述，与原始总体分布不同，因此“一致子集”不等于无偏的清洁真值集。</w:t>
      </w:r>
    </w:p>
    <w:p>
      <w:pPr>
        <w:spacing w:line="312" w:lineRule="auto" w:after="80"/>
        <w:ind w:firstLine="0"/>
      </w:pPr>
      <w:r>
        <w:rPr>
          <w:rFonts w:ascii="Calibri" w:hAnsi="Calibri" w:eastAsia="微软雅黑"/>
          <w:b w:val="0"/>
          <w:sz w:val="22"/>
        </w:rPr>
        <w:t>此处的局限主要影响所有状态的完整覆盖诊断及对标签分歧的总体稳健性证明。逐字段、支持足够的结果可以报告，但不能代替整个六类高低风险层和排名的验证。</w:t>
      </w:r>
    </w:p>
    <w:p>
      <w:pPr>
        <w:pStyle w:val="Heading2"/>
        <w:keepNext/>
      </w:pPr>
      <w:r>
        <w:rPr>
          <w:rFonts w:ascii="Calibri" w:hAnsi="Calibri" w:eastAsia="微软雅黑"/>
          <w:b/>
          <w:color w:val="2166AC"/>
          <w:sz w:val="28"/>
        </w:rPr>
        <w:t>十一、局限性10：探索历史与离线预标注条件影响适用方式</w:t>
      </w:r>
    </w:p>
    <w:p>
      <w:pPr>
        <w:spacing w:line="312" w:lineRule="auto" w:after="80"/>
        <w:ind w:firstLine="0"/>
      </w:pPr>
      <w:r>
        <w:rPr>
          <w:rFonts w:ascii="Calibri" w:hAnsi="Calibri" w:eastAsia="微软雅黑"/>
          <w:b w:val="0"/>
          <w:sz w:val="22"/>
        </w:rPr>
        <w:t>风险规则来自项目探索，后续确认沿用冻结规则。最新随机分层与删维分析是在已有历史结果后设计、在本轮新统计前固定的补充实验。因此“冻结确认”表示后续规则不随新结果修改，不应写成整个项目从一开始完全预注册。</w:t>
      </w:r>
    </w:p>
    <w:p>
      <w:pPr>
        <w:spacing w:line="312" w:lineRule="auto" w:after="80"/>
        <w:ind w:firstLine="0"/>
      </w:pPr>
      <w:r>
        <w:rPr>
          <w:rFonts w:ascii="Calibri" w:hAnsi="Calibri" w:eastAsia="微软雅黑"/>
          <w:b w:val="0"/>
          <w:sz w:val="22"/>
        </w:rPr>
        <w:t>技术失败替换、候选来源和下载预算调整都有记录。这些调整没有按分类收益挑选样本，但仍可能改变最终候选分布，需要在实验设置中保留说明。</w:t>
      </w:r>
    </w:p>
    <w:p>
      <w:pPr>
        <w:spacing w:line="312" w:lineRule="auto" w:after="80"/>
        <w:ind w:firstLine="0"/>
      </w:pPr>
      <w:r>
        <w:rPr>
          <w:rFonts w:ascii="Calibri" w:hAnsi="Calibri" w:eastAsia="微软雅黑"/>
          <w:b w:val="0"/>
          <w:sz w:val="22"/>
        </w:rPr>
        <w:t>当前策略还假设候选池已经完成状态标注，且真实类别已知，能够按类别配额选样。实际面对未知流式输入时，如何先取得类别、以何种成本完成状态描述、如何处理VLM服务与版本变化，是另一组尚未被本轮静态池实验完全验证的流程问题。</w:t>
      </w:r>
    </w:p>
    <w:p>
      <w:pPr>
        <w:spacing w:line="312" w:lineRule="auto" w:after="80"/>
        <w:ind w:firstLine="0"/>
      </w:pPr>
      <w:r>
        <w:rPr>
          <w:rFonts w:ascii="Calibri" w:hAnsi="Calibri" w:eastAsia="微软雅黑"/>
          <w:b w:val="0"/>
          <w:sz w:val="22"/>
        </w:rPr>
        <w:t>本研究的主要成果是测试与诊断，尚不能声称诊断一定指导了有效模型修复。修复实验不是当前测试主张成立的前提，但若未来声称定向补图或微调能改善被诊断状态，则需要另行比较训练前后及匹配对照。</w:t>
      </w:r>
    </w:p>
    <w:p>
      <w:pPr>
        <w:pStyle w:val="Heading2"/>
        <w:keepNext/>
      </w:pPr>
      <w:r>
        <w:rPr>
          <w:rFonts w:ascii="Calibri" w:hAnsi="Calibri" w:eastAsia="微软雅黑"/>
          <w:b/>
          <w:color w:val="2166AC"/>
          <w:sz w:val="28"/>
        </w:rPr>
        <w:t>十二、论文中最重要的三条收口原则</w:t>
      </w:r>
    </w:p>
    <w:p>
      <w:pPr>
        <w:spacing w:line="312" w:lineRule="auto" w:after="80"/>
        <w:ind w:firstLine="0"/>
      </w:pPr>
      <w:r>
        <w:rPr>
          <w:rFonts w:ascii="Calibri" w:hAnsi="Calibri" w:eastAsia="微软雅黑"/>
          <w:b w:val="0"/>
          <w:sz w:val="22"/>
        </w:rPr>
        <w:t>第一，将主结论写为“预定义视觉风险分层在已评估设置中区分固定分类器的条件表现”，不要写成“覆盖率越高模型必然越差”。</w:t>
      </w:r>
    </w:p>
    <w:p>
      <w:pPr>
        <w:spacing w:line="312" w:lineRule="auto" w:after="80"/>
        <w:ind w:firstLine="0"/>
      </w:pPr>
      <w:r>
        <w:rPr>
          <w:rFonts w:ascii="Calibri" w:hAnsi="Calibri" w:eastAsia="微软雅黑"/>
          <w:b w:val="0"/>
          <w:sz w:val="22"/>
        </w:rPr>
        <w:t>第二，将状态解释写为“自动状态协议下的条件关联与薄弱线索”，不要写成“全字段真值已经验证”或“已证明独立失败原因”。</w:t>
      </w:r>
    </w:p>
    <w:p>
      <w:pPr>
        <w:spacing w:line="312" w:lineRule="auto" w:after="80"/>
        <w:ind w:firstLine="0"/>
      </w:pPr>
      <w:r>
        <w:rPr>
          <w:rFonts w:ascii="Calibri" w:hAnsi="Calibri" w:eastAsia="微软雅黑"/>
          <w:b w:val="0"/>
          <w:sz w:val="22"/>
        </w:rPr>
        <w:t>第三，将Coverage增量结果写为“有条件的诊断收益”，将模型比较写为“冻结配置下的平均表现及排序不确定性”，不宣称全面最优。</w:t>
      </w:r>
    </w:p>
    <w:p>
      <w:pPr>
        <w:spacing w:line="312" w:lineRule="auto" w:after="80"/>
        <w:ind w:firstLine="0"/>
      </w:pPr>
      <w:r>
        <w:rPr>
          <w:rFonts w:ascii="Calibri" w:hAnsi="Calibri" w:eastAsia="微软雅黑"/>
          <w:b w:val="0"/>
          <w:sz w:val="22"/>
        </w:rPr>
        <w:t>这些局限不否定已测风险层差异及随机对照结果；它们决定了论文能把结论解释到哪里。当前研究适合以有明确证据边界的实证测试研究组织全文。</w:t>
      </w:r>
    </w:p>
    <w:p>
      <w:pPr>
        <w:pStyle w:val="Heading2"/>
        <w:keepNext/>
      </w:pPr>
      <w:r>
        <w:rPr>
          <w:rFonts w:ascii="Calibri" w:hAnsi="Calibri" w:eastAsia="微软雅黑"/>
          <w:b/>
          <w:color w:val="2166AC"/>
          <w:sz w:val="28"/>
        </w:rPr>
        <w:t>证据来源</w:t>
      </w:r>
    </w:p>
    <w:p>
      <w:pPr>
        <w:spacing w:line="312" w:lineRule="auto" w:after="80"/>
        <w:ind w:firstLine="0"/>
      </w:pPr>
      <w:r>
        <w:rPr>
          <w:rFonts w:ascii="Calibri" w:hAnsi="Calibri" w:eastAsia="微软雅黑"/>
          <w:b w:val="0"/>
          <w:sz w:val="22"/>
        </w:rPr>
        <w:t>本说明依据完整论文visual_state_testing_paper_controls_20261006.md的第5.3—5.15节、第6章、第7章和附录A，以及random_stratification_ablation_20261006与controlled_risk_distribution_20261005目录中的结果与核验记录。官方二值参考数字对应论文表21；消融家族校正对应ablation_summary.csv；本说明没有引入新的实验或外部文献结论。</w:t>
      </w:r>
    </w:p>
    <w:sectPr w:rsidR="00FC693F" w:rsidRPr="0006063C" w:rsidSect="00034616">
      <w:footerReference w:type="default" r:id="rId9"/>
      <w:headerReference w:type="default" r:id="rId10"/>
      <w:pgSz w:w="11906" w:h="16838"/>
      <w:pgMar w:top="1134" w:right="1191" w:bottom="107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微软雅黑"/>
        <w:sz w:val="18"/>
      </w:rPr>
      <w:t>视觉状态与风险分层测试 / 结论边界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黑体"/>
      <w:b/>
      <w:bCs/>
      <w:i/>
      <w:iCs/>
      <w:color w:val="4F81BD" w:themeColor="accent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黑体"/>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局限性：视觉状态与风险分层测试的结论边界</dc:title>
  <dc:subject/>
  <dc:creator>QE研究项目</dc:creator>
  <cp:keywords/>
  <dc:description>generated by python-docx</dc:description>
  <cp:lastModifiedBy/>
  <cp:revision>1</cp:revision>
  <dcterms:created xsi:type="dcterms:W3CDTF">2013-12-23T23:15:00Z</dcterms:created>
  <dcterms:modified xsi:type="dcterms:W3CDTF">2013-12-23T23:15:00Z</dcterms:modified>
  <cp:category/>
</cp:coreProperties>
</file>