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多类别视觉状态测试研究总结与论文写作口径</w:t>
      </w:r>
    </w:p>
    <w:p>
      <w:pPr>
        <w:spacing w:line="324" w:lineRule="auto" w:after="80"/>
        <w:ind w:firstLine="420"/>
      </w:pPr>
      <w:r>
        <w:rPr>
          <w:rFonts w:ascii="Times New Roman" w:hAnsi="Times New Roman" w:eastAsia="宋体"/>
          <w:b w:val="0"/>
          <w:sz w:val="21"/>
        </w:rPr>
        <w:t>更新日期：2026年10月6日。本文件整合既有论文主线与最新固定预算风险混合实验，供摘要、研究问题、结果讨论和结论写作使用；它是研究总结，不替代带完整相关工作与实验附录的论文。</w:t>
      </w:r>
    </w:p>
    <w:p>
      <w:pPr>
        <w:pStyle w:val="Heading2"/>
      </w:pPr>
      <w:r>
        <w:t>1 论文要回答的问题</w:t>
      </w:r>
    </w:p>
    <w:p>
      <w:pPr>
        <w:spacing w:line="324" w:lineRule="auto" w:after="80"/>
        <w:ind w:firstLine="420"/>
      </w:pPr>
      <w:r>
        <w:rPr>
          <w:rFonts w:ascii="Times New Roman" w:hAnsi="Times New Roman" w:eastAsia="宋体"/>
          <w:b w:val="0"/>
          <w:sz w:val="21"/>
        </w:rPr>
        <w:t>研究的核心问题是：在分类器权重固定时，如何用明确的视觉状态组织测试，观察模型在不同测试条件下的能力差异，并找到总体指标无法直接呈现的薄弱条件？</w:t>
      </w:r>
    </w:p>
    <w:p>
      <w:pPr>
        <w:spacing w:line="324" w:lineRule="auto" w:after="80"/>
        <w:ind w:firstLine="420"/>
      </w:pPr>
      <w:r>
        <w:rPr>
          <w:rFonts w:ascii="Times New Roman" w:hAnsi="Times New Roman" w:eastAsia="宋体"/>
          <w:b w:val="0"/>
          <w:sz w:val="21"/>
        </w:rPr>
        <w:t>本文采用固定目标框、有限枚举视觉状态、类别内风险分层、覆盖选样和独立来源确认。测试对象是六类目标区域分类器；改变的是测试集合及其组织方式，不是训练数据或模型参数。研究目标不要求F1下降，也不要求Coverage全面优于强基线。性能下降、局部回升、类别差异及诊断收益的负结果都作为证据保留。</w:t>
      </w:r>
    </w:p>
    <w:p>
      <w:pPr>
        <w:spacing w:line="324" w:lineRule="auto" w:after="80"/>
        <w:ind w:firstLine="420"/>
      </w:pPr>
      <w:r>
        <w:rPr>
          <w:rFonts w:ascii="Times New Roman" w:hAnsi="Times New Roman" w:eastAsia="宋体"/>
          <w:b w:val="0"/>
          <w:sz w:val="21"/>
        </w:rPr>
        <w:t>目前最有支持的中心论点为：</w:t>
      </w:r>
    </w:p>
    <w:p>
      <w:pPr>
        <w:spacing w:line="324" w:lineRule="auto" w:after="80"/>
        <w:ind w:firstLine="420"/>
      </w:pPr>
      <w:r>
        <w:rPr>
          <w:rFonts w:ascii="Times New Roman" w:hAnsi="Times New Roman" w:eastAsia="宋体"/>
          <w:b w:val="0"/>
          <w:sz w:val="21"/>
        </w:rPr>
        <w:t>&gt; 在所评估的多类别目标区域分类设置中，预定义自动视觉状态能够组织具有不同风险构成的测试集合，揭示固定模型的性能响应、类别差异及部分排名变化，并提供具体薄弱条件的诊断线索；但状态覆盖增长、错误增多和独立失败广度增加不能互相替代。</w:t>
      </w:r>
    </w:p>
    <w:p>
      <w:pPr>
        <w:spacing w:line="324" w:lineRule="auto" w:after="80"/>
        <w:ind w:firstLine="420"/>
      </w:pPr>
      <w:r>
        <w:rPr>
          <w:rFonts w:ascii="Times New Roman" w:hAnsi="Times New Roman" w:eastAsia="宋体"/>
          <w:b w:val="0"/>
          <w:sz w:val="21"/>
        </w:rPr>
        <w:t>这一论点同时包括测试组织的作用和诊断解释的边界，而不是把“难图更难识别”单独当作贡献。</w:t>
      </w:r>
    </w:p>
    <w:p>
      <w:pPr>
        <w:pStyle w:val="Heading2"/>
      </w:pPr>
      <w:r>
        <w:t>2 已完成的研究及最新实验的作用</w:t>
      </w:r>
    </w:p>
    <w:p>
      <w:pPr>
        <w:spacing w:line="324" w:lineRule="auto" w:after="80"/>
        <w:ind w:firstLine="420"/>
      </w:pPr>
      <w:r>
        <w:rPr>
          <w:rFonts w:ascii="Times New Roman" w:hAnsi="Times New Roman" w:eastAsia="宋体"/>
          <w:b w:val="0"/>
          <w:sz w:val="21"/>
        </w:rPr>
        <w:t>六类为dog、cat、horse、sheep、person、car。其中person是人体目标，不是独立的人脸识别任务。八个架构为ResNet-18、ResNet-50、MobileNetV3-Small、MobileNetV3-Large、DenseNet-121、EfficientNet-B0、ConvNeXt-Tiny、Swin-T，每个采用既有三个训练种子，合计24份冻结预测。</w:t>
      </w:r>
    </w:p>
    <w:p>
      <w:pPr>
        <w:spacing w:line="324" w:lineRule="auto" w:after="80"/>
        <w:ind w:firstLine="420"/>
      </w:pPr>
      <w:r>
        <w:rPr>
          <w:rFonts w:ascii="Times New Roman" w:hAnsi="Times New Roman" w:eastAsia="宋体"/>
          <w:b w:val="0"/>
          <w:sz w:val="21"/>
        </w:rPr>
        <w:t>状态分别由本地Qwen3-VL和线上SenseNova标注，跨类别采用14项共享字段，另由程序计算目标尺度。分类真值来自数据集类别标注；自动视觉状态不是分类真值，也不是已经全面验证的人类状态真值。</w:t>
      </w:r>
    </w:p>
    <w:p>
      <w:pPr>
        <w:spacing w:line="324" w:lineRule="auto" w:after="80"/>
        <w:ind w:firstLine="420"/>
      </w:pPr>
      <w:r>
        <w:rPr>
          <w:rFonts w:ascii="Times New Roman" w:hAnsi="Times New Roman" w:eastAsia="宋体"/>
          <w:b w:val="0"/>
          <w:sz w:val="21"/>
        </w:rPr>
        <w:t>现有研究包含三种应分别解释的实验。</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AF7"/>
          </w:tcPr>
          <w:p>
            <w:pPr>
              <w:spacing w:after="0"/>
            </w:pPr>
            <w:r>
              <w:rPr>
                <w:rFonts w:ascii="Times New Roman" w:hAnsi="Times New Roman" w:eastAsia="宋体"/>
                <w:b/>
                <w:sz w:val="17"/>
              </w:rPr>
              <w:t>实验</w:t>
            </w:r>
          </w:p>
        </w:tc>
        <w:tc>
          <w:tcPr>
            <w:tcW w:type="dxa" w:w="2351"/>
            <w:shd w:fill="D9EAF7"/>
          </w:tcPr>
          <w:p>
            <w:pPr>
              <w:spacing w:after="0"/>
            </w:pPr>
            <w:r>
              <w:rPr>
                <w:rFonts w:ascii="Times New Roman" w:hAnsi="Times New Roman" w:eastAsia="宋体"/>
                <w:b/>
                <w:sz w:val="17"/>
              </w:rPr>
              <w:t>改变的因素</w:t>
            </w:r>
          </w:p>
        </w:tc>
        <w:tc>
          <w:tcPr>
            <w:tcW w:type="dxa" w:w="2351"/>
            <w:shd w:fill="D9EAF7"/>
          </w:tcPr>
          <w:p>
            <w:pPr>
              <w:spacing w:after="0"/>
            </w:pPr>
            <w:r>
              <w:rPr>
                <w:rFonts w:ascii="Times New Roman" w:hAnsi="Times New Roman" w:eastAsia="宋体"/>
                <w:b/>
                <w:sz w:val="17"/>
              </w:rPr>
              <w:t>能回答的问题</w:t>
            </w:r>
          </w:p>
        </w:tc>
        <w:tc>
          <w:tcPr>
            <w:tcW w:type="dxa" w:w="2351"/>
            <w:shd w:fill="D9EAF7"/>
          </w:tcPr>
          <w:p>
            <w:pPr>
              <w:spacing w:after="0"/>
            </w:pPr>
            <w:r>
              <w:rPr>
                <w:rFonts w:ascii="Times New Roman" w:hAnsi="Times New Roman" w:eastAsia="宋体"/>
                <w:b/>
                <w:sz w:val="17"/>
              </w:rPr>
              <w:t>不能替代的证据</w:t>
            </w:r>
          </w:p>
        </w:tc>
      </w:tr>
      <w:tr>
        <w:tc>
          <w:tcPr>
            <w:tcW w:type="dxa" w:w="2351"/>
          </w:tcPr>
          <w:p>
            <w:pPr>
              <w:spacing w:after="0"/>
            </w:pPr>
            <w:r>
              <w:rPr>
                <w:rFonts w:ascii="Times New Roman" w:hAnsi="Times New Roman" w:eastAsia="宋体"/>
                <w:b w:val="0"/>
                <w:sz w:val="17"/>
              </w:rPr>
              <w:t>风险层比较与累积测试扩展</w:t>
            </w:r>
          </w:p>
        </w:tc>
        <w:tc>
          <w:tcPr>
            <w:tcW w:type="dxa" w:w="2351"/>
          </w:tcPr>
          <w:p>
            <w:pPr>
              <w:spacing w:after="0"/>
            </w:pPr>
            <w:r>
              <w:rPr>
                <w:rFonts w:ascii="Times New Roman" w:hAnsi="Times New Roman" w:eastAsia="宋体"/>
                <w:b w:val="0"/>
                <w:sz w:val="17"/>
              </w:rPr>
              <w:t>风险层、测试目标及累计数量</w:t>
            </w:r>
          </w:p>
        </w:tc>
        <w:tc>
          <w:tcPr>
            <w:tcW w:type="dxa" w:w="2351"/>
          </w:tcPr>
          <w:p>
            <w:pPr>
              <w:spacing w:after="0"/>
            </w:pPr>
            <w:r>
              <w:rPr>
                <w:rFonts w:ascii="Times New Roman" w:hAnsi="Times New Roman" w:eastAsia="宋体"/>
                <w:b w:val="0"/>
                <w:sz w:val="17"/>
              </w:rPr>
              <w:t>不同风险层的表现及测试扩展过程中的响应</w:t>
            </w:r>
          </w:p>
        </w:tc>
        <w:tc>
          <w:tcPr>
            <w:tcW w:type="dxa" w:w="2351"/>
          </w:tcPr>
          <w:p>
            <w:pPr>
              <w:spacing w:after="0"/>
            </w:pPr>
            <w:r>
              <w:rPr>
                <w:rFonts w:ascii="Times New Roman" w:hAnsi="Times New Roman" w:eastAsia="宋体"/>
                <w:b w:val="0"/>
                <w:sz w:val="17"/>
              </w:rPr>
              <w:t>不能单独排除测试数量变化的影响</w:t>
            </w:r>
          </w:p>
        </w:tc>
      </w:tr>
      <w:tr>
        <w:tc>
          <w:tcPr>
            <w:tcW w:type="dxa" w:w="2351"/>
          </w:tcPr>
          <w:p>
            <w:pPr>
              <w:spacing w:after="0"/>
            </w:pPr>
            <w:r>
              <w:rPr>
                <w:rFonts w:ascii="Times New Roman" w:hAnsi="Times New Roman" w:eastAsia="宋体"/>
                <w:b w:val="0"/>
                <w:sz w:val="17"/>
              </w:rPr>
              <w:t>同预算选样策略对照</w:t>
            </w:r>
          </w:p>
        </w:tc>
        <w:tc>
          <w:tcPr>
            <w:tcW w:type="dxa" w:w="2351"/>
          </w:tcPr>
          <w:p>
            <w:pPr>
              <w:spacing w:after="0"/>
            </w:pPr>
            <w:r>
              <w:rPr>
                <w:rFonts w:ascii="Times New Roman" w:hAnsi="Times New Roman" w:eastAsia="宋体"/>
                <w:b w:val="0"/>
                <w:sz w:val="17"/>
              </w:rPr>
              <w:t>在预算及风险约束下改变选样策略</w:t>
            </w:r>
          </w:p>
        </w:tc>
        <w:tc>
          <w:tcPr>
            <w:tcW w:type="dxa" w:w="2351"/>
          </w:tcPr>
          <w:p>
            <w:pPr>
              <w:spacing w:after="0"/>
            </w:pPr>
            <w:r>
              <w:rPr>
                <w:rFonts w:ascii="Times New Roman" w:hAnsi="Times New Roman" w:eastAsia="宋体"/>
                <w:b w:val="0"/>
                <w:sz w:val="17"/>
              </w:rPr>
              <w:t>Coverage是否提供额外诊断广度，与随机及强基线有什么差异</w:t>
            </w:r>
          </w:p>
        </w:tc>
        <w:tc>
          <w:tcPr>
            <w:tcW w:type="dxa" w:w="2351"/>
          </w:tcPr>
          <w:p>
            <w:pPr>
              <w:spacing w:after="0"/>
            </w:pPr>
            <w:r>
              <w:rPr>
                <w:rFonts w:ascii="Times New Roman" w:hAnsi="Times New Roman" w:eastAsia="宋体"/>
                <w:b w:val="0"/>
                <w:sz w:val="17"/>
              </w:rPr>
              <w:t>不能从覆盖数值直接推断选样优越性</w:t>
            </w:r>
          </w:p>
        </w:tc>
      </w:tr>
      <w:tr>
        <w:tc>
          <w:tcPr>
            <w:tcW w:type="dxa" w:w="2351"/>
          </w:tcPr>
          <w:p>
            <w:pPr>
              <w:spacing w:after="0"/>
            </w:pPr>
            <w:r>
              <w:rPr>
                <w:rFonts w:ascii="Times New Roman" w:hAnsi="Times New Roman" w:eastAsia="宋体"/>
                <w:b w:val="0"/>
                <w:sz w:val="17"/>
              </w:rPr>
              <w:t>最新固定预算风险混合</w:t>
            </w:r>
          </w:p>
        </w:tc>
        <w:tc>
          <w:tcPr>
            <w:tcW w:type="dxa" w:w="2351"/>
          </w:tcPr>
          <w:p>
            <w:pPr>
              <w:spacing w:after="0"/>
            </w:pPr>
            <w:r>
              <w:rPr>
                <w:rFonts w:ascii="Times New Roman" w:hAnsi="Times New Roman" w:eastAsia="宋体"/>
                <w:b w:val="0"/>
                <w:sz w:val="17"/>
              </w:rPr>
              <w:t>同池、同数量、同类别比例，仅改变Q5占比</w:t>
            </w:r>
          </w:p>
        </w:tc>
        <w:tc>
          <w:tcPr>
            <w:tcW w:type="dxa" w:w="2351"/>
          </w:tcPr>
          <w:p>
            <w:pPr>
              <w:spacing w:after="0"/>
            </w:pPr>
            <w:r>
              <w:rPr>
                <w:rFonts w:ascii="Times New Roman" w:hAnsi="Times New Roman" w:eastAsia="宋体"/>
                <w:b w:val="0"/>
                <w:sz w:val="17"/>
              </w:rPr>
              <w:t>控制数量与类别比例后，风险构成如何影响指标及排名</w:t>
            </w:r>
          </w:p>
        </w:tc>
        <w:tc>
          <w:tcPr>
            <w:tcW w:type="dxa" w:w="2351"/>
          </w:tcPr>
          <w:p>
            <w:pPr>
              <w:spacing w:after="0"/>
            </w:pPr>
            <w:r>
              <w:rPr>
                <w:rFonts w:ascii="Times New Roman" w:hAnsi="Times New Roman" w:eastAsia="宋体"/>
                <w:b w:val="0"/>
                <w:sz w:val="17"/>
              </w:rPr>
              <w:t>不是覆盖率本身的因果实验</w:t>
            </w:r>
          </w:p>
        </w:tc>
      </w:tr>
    </w:tbl>
    <w:p/>
    <w:p>
      <w:pPr>
        <w:spacing w:line="324" w:lineRule="auto" w:after="80"/>
        <w:ind w:firstLine="420"/>
      </w:pPr>
      <w:r>
        <w:rPr>
          <w:rFonts w:ascii="Times New Roman" w:hAnsi="Times New Roman" w:eastAsia="宋体"/>
          <w:b w:val="0"/>
          <w:sz w:val="21"/>
        </w:rPr>
        <w:t>COCO确认池B、VOC2007确认池C及Objects365确认池D分别分析，不混合为一个大池。B/D各2400个候选目标，C为600个。最新主实验每个测试集合120目标、每类20目标；B/D另做480目标、每类80目标的规模检查。</w:t>
      </w:r>
    </w:p>
    <w:p>
      <w:pPr>
        <w:spacing w:line="324" w:lineRule="auto" w:after="80"/>
        <w:ind w:firstLine="420"/>
      </w:pPr>
      <w:r>
        <w:rPr>
          <w:rFonts w:ascii="Times New Roman" w:hAnsi="Times New Roman" w:eastAsia="宋体"/>
          <w:b w:val="0"/>
          <w:sz w:val="21"/>
        </w:rPr>
        <w:t>Q5沿用冻结协议：以尺度、可见性、遮挡、截断和朝向的风险评分中点，在每个池、每个类别内排序并等分五层。它是相对风险层，不保证每个Q5目标都比所有低层目标难，也不表示跨池相同绝对难度。</w:t>
      </w:r>
    </w:p>
    <w:p>
      <w:pPr>
        <w:spacing w:line="324" w:lineRule="auto" w:after="80"/>
        <w:ind w:firstLine="420"/>
      </w:pPr>
      <w:r>
        <w:rPr>
          <w:rFonts w:ascii="Times New Roman" w:hAnsi="Times New Roman" w:eastAsia="宋体"/>
          <w:b w:val="0"/>
          <w:sz w:val="21"/>
        </w:rPr>
        <w:t>最新实验将Q5占比从0%变为100%，每5个百分点一个真实统计点，共21点；其余目标从Q1–Q4抽取。每个配置无放回重复抽样1000次，各模型共享所选目标，比例之间使用配对抽样。固定总量下通过替换目标改变构成，不是继续追加测试数量。本轮复用预测和状态标签，未重新训练、推理或调用VLM。</w:t>
      </w:r>
    </w:p>
    <w:p>
      <w:pPr>
        <w:pStyle w:val="Heading2"/>
      </w:pPr>
      <w:r>
        <w:t>3 目前可以写入论文的主要发现</w:t>
      </w:r>
    </w:p>
    <w:p>
      <w:pPr>
        <w:pStyle w:val="Heading3"/>
      </w:pPr>
      <w:r>
        <w:t>3.1 固定数量与类别比例后，风险构成仍明显影响测得性能</w:t>
      </w:r>
    </w:p>
    <w:p>
      <w:pPr>
        <w:spacing w:line="324" w:lineRule="auto" w:after="80"/>
        <w:ind w:firstLine="420"/>
      </w:pPr>
      <w:r>
        <w:rPr>
          <w:rFonts w:ascii="Times New Roman" w:hAnsi="Times New Roman" w:eastAsia="宋体"/>
          <w:b w:val="0"/>
          <w:sz w:val="21"/>
        </w:rPr>
        <w:t>以下为八架构平均Macro-F1，先平均各架构三个种子，再等权平均八架构。单位为百分比；差值及区间单位为百分点。local/online表示用于风险分层的自动标注来源，不是不同的分类器。</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AF7"/>
          </w:tcPr>
          <w:p>
            <w:pPr>
              <w:spacing w:after="0"/>
            </w:pPr>
            <w:r>
              <w:rPr>
                <w:rFonts w:ascii="Times New Roman" w:hAnsi="Times New Roman" w:eastAsia="宋体"/>
                <w:b/>
                <w:sz w:val="17"/>
              </w:rPr>
              <w:t>候选池</w:t>
            </w:r>
          </w:p>
        </w:tc>
        <w:tc>
          <w:tcPr>
            <w:tcW w:type="dxa" w:w="1568"/>
            <w:shd w:fill="D9EAF7"/>
          </w:tcPr>
          <w:p>
            <w:pPr>
              <w:spacing w:after="0"/>
            </w:pPr>
            <w:r>
              <w:rPr>
                <w:rFonts w:ascii="Times New Roman" w:hAnsi="Times New Roman" w:eastAsia="宋体"/>
                <w:b/>
                <w:sz w:val="17"/>
              </w:rPr>
              <w:t>标注来源</w:t>
            </w:r>
          </w:p>
        </w:tc>
        <w:tc>
          <w:tcPr>
            <w:tcW w:type="dxa" w:w="1568"/>
            <w:shd w:fill="D9EAF7"/>
          </w:tcPr>
          <w:p>
            <w:pPr>
              <w:spacing w:after="0"/>
            </w:pPr>
            <w:r>
              <w:rPr>
                <w:rFonts w:ascii="Times New Roman" w:hAnsi="Times New Roman" w:eastAsia="宋体"/>
                <w:b/>
                <w:sz w:val="17"/>
              </w:rPr>
              <w:t>0% Q5 F1</w:t>
            </w:r>
          </w:p>
        </w:tc>
        <w:tc>
          <w:tcPr>
            <w:tcW w:type="dxa" w:w="1568"/>
            <w:shd w:fill="D9EAF7"/>
          </w:tcPr>
          <w:p>
            <w:pPr>
              <w:spacing w:after="0"/>
            </w:pPr>
            <w:r>
              <w:rPr>
                <w:rFonts w:ascii="Times New Roman" w:hAnsi="Times New Roman" w:eastAsia="宋体"/>
                <w:b/>
                <w:sz w:val="17"/>
              </w:rPr>
              <w:t>100% Q5 F1</w:t>
            </w:r>
          </w:p>
        </w:tc>
        <w:tc>
          <w:tcPr>
            <w:tcW w:type="dxa" w:w="1568"/>
            <w:shd w:fill="D9EAF7"/>
          </w:tcPr>
          <w:p>
            <w:pPr>
              <w:spacing w:after="0"/>
            </w:pPr>
            <w:r>
              <w:rPr>
                <w:rFonts w:ascii="Times New Roman" w:hAnsi="Times New Roman" w:eastAsia="宋体"/>
                <w:b/>
                <w:sz w:val="17"/>
              </w:rPr>
              <w:t>配对终点差</w:t>
            </w:r>
          </w:p>
        </w:tc>
        <w:tc>
          <w:tcPr>
            <w:tcW w:type="dxa" w:w="1568"/>
            <w:shd w:fill="D9EAF7"/>
          </w:tcPr>
          <w:p>
            <w:pPr>
              <w:spacing w:after="0"/>
            </w:pPr>
            <w:r>
              <w:rPr>
                <w:rFonts w:ascii="Times New Roman" w:hAnsi="Times New Roman" w:eastAsia="宋体"/>
                <w:b/>
                <w:sz w:val="17"/>
              </w:rPr>
              <w:t>95%重复抽样区间</w:t>
            </w:r>
          </w:p>
        </w:tc>
      </w:tr>
      <w:tr>
        <w:tc>
          <w:tcPr>
            <w:tcW w:type="dxa" w:w="1568"/>
          </w:tcPr>
          <w:p>
            <w:pPr>
              <w:spacing w:after="0"/>
            </w:pPr>
            <w:r>
              <w:rPr>
                <w:rFonts w:ascii="Times New Roman" w:hAnsi="Times New Roman" w:eastAsia="宋体"/>
                <w:b w:val="0"/>
                <w:sz w:val="17"/>
              </w:rPr>
              <w:t>COCO B</w:t>
            </w:r>
          </w:p>
        </w:tc>
        <w:tc>
          <w:tcPr>
            <w:tcW w:type="dxa" w:w="1568"/>
          </w:tcPr>
          <w:p>
            <w:pPr>
              <w:spacing w:after="0"/>
            </w:pPr>
            <w:r>
              <w:rPr>
                <w:rFonts w:ascii="Times New Roman" w:hAnsi="Times New Roman" w:eastAsia="宋体"/>
                <w:b w:val="0"/>
                <w:sz w:val="17"/>
              </w:rPr>
              <w:t>local</w:t>
            </w:r>
          </w:p>
        </w:tc>
        <w:tc>
          <w:tcPr>
            <w:tcW w:type="dxa" w:w="1568"/>
          </w:tcPr>
          <w:p>
            <w:pPr>
              <w:spacing w:after="0"/>
            </w:pPr>
            <w:r>
              <w:rPr>
                <w:rFonts w:ascii="Times New Roman" w:hAnsi="Times New Roman" w:eastAsia="宋体"/>
                <w:b w:val="0"/>
                <w:sz w:val="17"/>
              </w:rPr>
              <w:t>90.18</w:t>
            </w:r>
          </w:p>
        </w:tc>
        <w:tc>
          <w:tcPr>
            <w:tcW w:type="dxa" w:w="1568"/>
          </w:tcPr>
          <w:p>
            <w:pPr>
              <w:spacing w:after="0"/>
            </w:pPr>
            <w:r>
              <w:rPr>
                <w:rFonts w:ascii="Times New Roman" w:hAnsi="Times New Roman" w:eastAsia="宋体"/>
                <w:b w:val="0"/>
                <w:sz w:val="17"/>
              </w:rPr>
              <w:t>69.40</w:t>
            </w:r>
          </w:p>
        </w:tc>
        <w:tc>
          <w:tcPr>
            <w:tcW w:type="dxa" w:w="1568"/>
          </w:tcPr>
          <w:p>
            <w:pPr>
              <w:spacing w:after="0"/>
            </w:pPr>
            <w:r>
              <w:rPr>
                <w:rFonts w:ascii="Times New Roman" w:hAnsi="Times New Roman" w:eastAsia="宋体"/>
                <w:b w:val="0"/>
                <w:sz w:val="17"/>
              </w:rPr>
              <w:t>−20.78</w:t>
            </w:r>
          </w:p>
        </w:tc>
        <w:tc>
          <w:tcPr>
            <w:tcW w:type="dxa" w:w="1568"/>
          </w:tcPr>
          <w:p>
            <w:pPr>
              <w:spacing w:after="0"/>
            </w:pPr>
            <w:r>
              <w:rPr>
                <w:rFonts w:ascii="Times New Roman" w:hAnsi="Times New Roman" w:eastAsia="宋体"/>
                <w:b w:val="0"/>
                <w:sz w:val="17"/>
              </w:rPr>
              <w:t>[−27.06, −14.21]</w:t>
            </w:r>
          </w:p>
        </w:tc>
      </w:tr>
      <w:tr>
        <w:tc>
          <w:tcPr>
            <w:tcW w:type="dxa" w:w="1568"/>
          </w:tcPr>
          <w:p>
            <w:pPr>
              <w:spacing w:after="0"/>
            </w:pPr>
            <w:r>
              <w:rPr>
                <w:rFonts w:ascii="Times New Roman" w:hAnsi="Times New Roman" w:eastAsia="宋体"/>
                <w:b w:val="0"/>
                <w:sz w:val="17"/>
              </w:rPr>
              <w:t>COCO B</w:t>
            </w:r>
          </w:p>
        </w:tc>
        <w:tc>
          <w:tcPr>
            <w:tcW w:type="dxa" w:w="1568"/>
          </w:tcPr>
          <w:p>
            <w:pPr>
              <w:spacing w:after="0"/>
            </w:pPr>
            <w:r>
              <w:rPr>
                <w:rFonts w:ascii="Times New Roman" w:hAnsi="Times New Roman" w:eastAsia="宋体"/>
                <w:b w:val="0"/>
                <w:sz w:val="17"/>
              </w:rPr>
              <w:t>online</w:t>
            </w:r>
          </w:p>
        </w:tc>
        <w:tc>
          <w:tcPr>
            <w:tcW w:type="dxa" w:w="1568"/>
          </w:tcPr>
          <w:p>
            <w:pPr>
              <w:spacing w:after="0"/>
            </w:pPr>
            <w:r>
              <w:rPr>
                <w:rFonts w:ascii="Times New Roman" w:hAnsi="Times New Roman" w:eastAsia="宋体"/>
                <w:b w:val="0"/>
                <w:sz w:val="17"/>
              </w:rPr>
              <w:t>89.34</w:t>
            </w:r>
          </w:p>
        </w:tc>
        <w:tc>
          <w:tcPr>
            <w:tcW w:type="dxa" w:w="1568"/>
          </w:tcPr>
          <w:p>
            <w:pPr>
              <w:spacing w:after="0"/>
            </w:pPr>
            <w:r>
              <w:rPr>
                <w:rFonts w:ascii="Times New Roman" w:hAnsi="Times New Roman" w:eastAsia="宋体"/>
                <w:b w:val="0"/>
                <w:sz w:val="17"/>
              </w:rPr>
              <w:t>72.72</w:t>
            </w:r>
          </w:p>
        </w:tc>
        <w:tc>
          <w:tcPr>
            <w:tcW w:type="dxa" w:w="1568"/>
          </w:tcPr>
          <w:p>
            <w:pPr>
              <w:spacing w:after="0"/>
            </w:pPr>
            <w:r>
              <w:rPr>
                <w:rFonts w:ascii="Times New Roman" w:hAnsi="Times New Roman" w:eastAsia="宋体"/>
                <w:b w:val="0"/>
                <w:sz w:val="17"/>
              </w:rPr>
              <w:t>−16.62</w:t>
            </w:r>
          </w:p>
        </w:tc>
        <w:tc>
          <w:tcPr>
            <w:tcW w:type="dxa" w:w="1568"/>
          </w:tcPr>
          <w:p>
            <w:pPr>
              <w:spacing w:after="0"/>
            </w:pPr>
            <w:r>
              <w:rPr>
                <w:rFonts w:ascii="Times New Roman" w:hAnsi="Times New Roman" w:eastAsia="宋体"/>
                <w:b w:val="0"/>
                <w:sz w:val="17"/>
              </w:rPr>
              <w:t>[−22.82, −10.45]</w:t>
            </w:r>
          </w:p>
        </w:tc>
      </w:tr>
      <w:tr>
        <w:tc>
          <w:tcPr>
            <w:tcW w:type="dxa" w:w="1568"/>
          </w:tcPr>
          <w:p>
            <w:pPr>
              <w:spacing w:after="0"/>
            </w:pPr>
            <w:r>
              <w:rPr>
                <w:rFonts w:ascii="Times New Roman" w:hAnsi="Times New Roman" w:eastAsia="宋体"/>
                <w:b w:val="0"/>
                <w:sz w:val="17"/>
              </w:rPr>
              <w:t>VOC2007 C</w:t>
            </w:r>
          </w:p>
        </w:tc>
        <w:tc>
          <w:tcPr>
            <w:tcW w:type="dxa" w:w="1568"/>
          </w:tcPr>
          <w:p>
            <w:pPr>
              <w:spacing w:after="0"/>
            </w:pPr>
            <w:r>
              <w:rPr>
                <w:rFonts w:ascii="Times New Roman" w:hAnsi="Times New Roman" w:eastAsia="宋体"/>
                <w:b w:val="0"/>
                <w:sz w:val="17"/>
              </w:rPr>
              <w:t>local</w:t>
            </w:r>
          </w:p>
        </w:tc>
        <w:tc>
          <w:tcPr>
            <w:tcW w:type="dxa" w:w="1568"/>
          </w:tcPr>
          <w:p>
            <w:pPr>
              <w:spacing w:after="0"/>
            </w:pPr>
            <w:r>
              <w:rPr>
                <w:rFonts w:ascii="Times New Roman" w:hAnsi="Times New Roman" w:eastAsia="宋体"/>
                <w:b w:val="0"/>
                <w:sz w:val="17"/>
              </w:rPr>
              <w:t>91.80</w:t>
            </w:r>
          </w:p>
        </w:tc>
        <w:tc>
          <w:tcPr>
            <w:tcW w:type="dxa" w:w="1568"/>
          </w:tcPr>
          <w:p>
            <w:pPr>
              <w:spacing w:after="0"/>
            </w:pPr>
            <w:r>
              <w:rPr>
                <w:rFonts w:ascii="Times New Roman" w:hAnsi="Times New Roman" w:eastAsia="宋体"/>
                <w:b w:val="0"/>
                <w:sz w:val="17"/>
              </w:rPr>
              <w:t>75.88</w:t>
            </w:r>
          </w:p>
        </w:tc>
        <w:tc>
          <w:tcPr>
            <w:tcW w:type="dxa" w:w="1568"/>
          </w:tcPr>
          <w:p>
            <w:pPr>
              <w:spacing w:after="0"/>
            </w:pPr>
            <w:r>
              <w:rPr>
                <w:rFonts w:ascii="Times New Roman" w:hAnsi="Times New Roman" w:eastAsia="宋体"/>
                <w:b w:val="0"/>
                <w:sz w:val="17"/>
              </w:rPr>
              <w:t>−15.92</w:t>
            </w:r>
          </w:p>
        </w:tc>
        <w:tc>
          <w:tcPr>
            <w:tcW w:type="dxa" w:w="1568"/>
          </w:tcPr>
          <w:p>
            <w:pPr>
              <w:spacing w:after="0"/>
            </w:pPr>
            <w:r>
              <w:rPr>
                <w:rFonts w:ascii="Times New Roman" w:hAnsi="Times New Roman" w:eastAsia="宋体"/>
                <w:b w:val="0"/>
                <w:sz w:val="17"/>
              </w:rPr>
              <w:t>[−18.76, −13.05]</w:t>
            </w:r>
          </w:p>
        </w:tc>
      </w:tr>
      <w:tr>
        <w:tc>
          <w:tcPr>
            <w:tcW w:type="dxa" w:w="1568"/>
          </w:tcPr>
          <w:p>
            <w:pPr>
              <w:spacing w:after="0"/>
            </w:pPr>
            <w:r>
              <w:rPr>
                <w:rFonts w:ascii="Times New Roman" w:hAnsi="Times New Roman" w:eastAsia="宋体"/>
                <w:b w:val="0"/>
                <w:sz w:val="17"/>
              </w:rPr>
              <w:t>VOC2007 C</w:t>
            </w:r>
          </w:p>
        </w:tc>
        <w:tc>
          <w:tcPr>
            <w:tcW w:type="dxa" w:w="1568"/>
          </w:tcPr>
          <w:p>
            <w:pPr>
              <w:spacing w:after="0"/>
            </w:pPr>
            <w:r>
              <w:rPr>
                <w:rFonts w:ascii="Times New Roman" w:hAnsi="Times New Roman" w:eastAsia="宋体"/>
                <w:b w:val="0"/>
                <w:sz w:val="17"/>
              </w:rPr>
              <w:t>online</w:t>
            </w:r>
          </w:p>
        </w:tc>
        <w:tc>
          <w:tcPr>
            <w:tcW w:type="dxa" w:w="1568"/>
          </w:tcPr>
          <w:p>
            <w:pPr>
              <w:spacing w:after="0"/>
            </w:pPr>
            <w:r>
              <w:rPr>
                <w:rFonts w:ascii="Times New Roman" w:hAnsi="Times New Roman" w:eastAsia="宋体"/>
                <w:b w:val="0"/>
                <w:sz w:val="17"/>
              </w:rPr>
              <w:t>91.07</w:t>
            </w:r>
          </w:p>
        </w:tc>
        <w:tc>
          <w:tcPr>
            <w:tcW w:type="dxa" w:w="1568"/>
          </w:tcPr>
          <w:p>
            <w:pPr>
              <w:spacing w:after="0"/>
            </w:pPr>
            <w:r>
              <w:rPr>
                <w:rFonts w:ascii="Times New Roman" w:hAnsi="Times New Roman" w:eastAsia="宋体"/>
                <w:b w:val="0"/>
                <w:sz w:val="17"/>
              </w:rPr>
              <w:t>78.78</w:t>
            </w:r>
          </w:p>
        </w:tc>
        <w:tc>
          <w:tcPr>
            <w:tcW w:type="dxa" w:w="1568"/>
          </w:tcPr>
          <w:p>
            <w:pPr>
              <w:spacing w:after="0"/>
            </w:pPr>
            <w:r>
              <w:rPr>
                <w:rFonts w:ascii="Times New Roman" w:hAnsi="Times New Roman" w:eastAsia="宋体"/>
                <w:b w:val="0"/>
                <w:sz w:val="17"/>
              </w:rPr>
              <w:t>−12.29</w:t>
            </w:r>
          </w:p>
        </w:tc>
        <w:tc>
          <w:tcPr>
            <w:tcW w:type="dxa" w:w="1568"/>
          </w:tcPr>
          <w:p>
            <w:pPr>
              <w:spacing w:after="0"/>
            </w:pPr>
            <w:r>
              <w:rPr>
                <w:rFonts w:ascii="Times New Roman" w:hAnsi="Times New Roman" w:eastAsia="宋体"/>
                <w:b w:val="0"/>
                <w:sz w:val="17"/>
              </w:rPr>
              <w:t>[−15.23, −8.98]</w:t>
            </w:r>
          </w:p>
        </w:tc>
      </w:tr>
      <w:tr>
        <w:tc>
          <w:tcPr>
            <w:tcW w:type="dxa" w:w="1568"/>
          </w:tcPr>
          <w:p>
            <w:pPr>
              <w:spacing w:after="0"/>
            </w:pPr>
            <w:r>
              <w:rPr>
                <w:rFonts w:ascii="Times New Roman" w:hAnsi="Times New Roman" w:eastAsia="宋体"/>
                <w:b w:val="0"/>
                <w:sz w:val="17"/>
              </w:rPr>
              <w:t>Objects365 D</w:t>
            </w:r>
          </w:p>
        </w:tc>
        <w:tc>
          <w:tcPr>
            <w:tcW w:type="dxa" w:w="1568"/>
          </w:tcPr>
          <w:p>
            <w:pPr>
              <w:spacing w:after="0"/>
            </w:pPr>
            <w:r>
              <w:rPr>
                <w:rFonts w:ascii="Times New Roman" w:hAnsi="Times New Roman" w:eastAsia="宋体"/>
                <w:b w:val="0"/>
                <w:sz w:val="17"/>
              </w:rPr>
              <w:t>local</w:t>
            </w:r>
          </w:p>
        </w:tc>
        <w:tc>
          <w:tcPr>
            <w:tcW w:type="dxa" w:w="1568"/>
          </w:tcPr>
          <w:p>
            <w:pPr>
              <w:spacing w:after="0"/>
            </w:pPr>
            <w:r>
              <w:rPr>
                <w:rFonts w:ascii="Times New Roman" w:hAnsi="Times New Roman" w:eastAsia="宋体"/>
                <w:b w:val="0"/>
                <w:sz w:val="17"/>
              </w:rPr>
              <w:t>79.81</w:t>
            </w:r>
          </w:p>
        </w:tc>
        <w:tc>
          <w:tcPr>
            <w:tcW w:type="dxa" w:w="1568"/>
          </w:tcPr>
          <w:p>
            <w:pPr>
              <w:spacing w:after="0"/>
            </w:pPr>
            <w:r>
              <w:rPr>
                <w:rFonts w:ascii="Times New Roman" w:hAnsi="Times New Roman" w:eastAsia="宋体"/>
                <w:b w:val="0"/>
                <w:sz w:val="17"/>
              </w:rPr>
              <w:t>45.04</w:t>
            </w:r>
          </w:p>
        </w:tc>
        <w:tc>
          <w:tcPr>
            <w:tcW w:type="dxa" w:w="1568"/>
          </w:tcPr>
          <w:p>
            <w:pPr>
              <w:spacing w:after="0"/>
            </w:pPr>
            <w:r>
              <w:rPr>
                <w:rFonts w:ascii="Times New Roman" w:hAnsi="Times New Roman" w:eastAsia="宋体"/>
                <w:b w:val="0"/>
                <w:sz w:val="17"/>
              </w:rPr>
              <w:t>−34.77</w:t>
            </w:r>
          </w:p>
        </w:tc>
        <w:tc>
          <w:tcPr>
            <w:tcW w:type="dxa" w:w="1568"/>
          </w:tcPr>
          <w:p>
            <w:pPr>
              <w:spacing w:after="0"/>
            </w:pPr>
            <w:r>
              <w:rPr>
                <w:rFonts w:ascii="Times New Roman" w:hAnsi="Times New Roman" w:eastAsia="宋体"/>
                <w:b w:val="0"/>
                <w:sz w:val="17"/>
              </w:rPr>
              <w:t>[−42.12, −27.58]</w:t>
            </w:r>
          </w:p>
        </w:tc>
      </w:tr>
      <w:tr>
        <w:tc>
          <w:tcPr>
            <w:tcW w:type="dxa" w:w="1568"/>
          </w:tcPr>
          <w:p>
            <w:pPr>
              <w:spacing w:after="0"/>
            </w:pPr>
            <w:r>
              <w:rPr>
                <w:rFonts w:ascii="Times New Roman" w:hAnsi="Times New Roman" w:eastAsia="宋体"/>
                <w:b w:val="0"/>
                <w:sz w:val="17"/>
              </w:rPr>
              <w:t>Objects365 D</w:t>
            </w:r>
          </w:p>
        </w:tc>
        <w:tc>
          <w:tcPr>
            <w:tcW w:type="dxa" w:w="1568"/>
          </w:tcPr>
          <w:p>
            <w:pPr>
              <w:spacing w:after="0"/>
            </w:pPr>
            <w:r>
              <w:rPr>
                <w:rFonts w:ascii="Times New Roman" w:hAnsi="Times New Roman" w:eastAsia="宋体"/>
                <w:b w:val="0"/>
                <w:sz w:val="17"/>
              </w:rPr>
              <w:t>online</w:t>
            </w:r>
          </w:p>
        </w:tc>
        <w:tc>
          <w:tcPr>
            <w:tcW w:type="dxa" w:w="1568"/>
          </w:tcPr>
          <w:p>
            <w:pPr>
              <w:spacing w:after="0"/>
            </w:pPr>
            <w:r>
              <w:rPr>
                <w:rFonts w:ascii="Times New Roman" w:hAnsi="Times New Roman" w:eastAsia="宋体"/>
                <w:b w:val="0"/>
                <w:sz w:val="17"/>
              </w:rPr>
              <w:t>79.33</w:t>
            </w:r>
          </w:p>
        </w:tc>
        <w:tc>
          <w:tcPr>
            <w:tcW w:type="dxa" w:w="1568"/>
          </w:tcPr>
          <w:p>
            <w:pPr>
              <w:spacing w:after="0"/>
            </w:pPr>
            <w:r>
              <w:rPr>
                <w:rFonts w:ascii="Times New Roman" w:hAnsi="Times New Roman" w:eastAsia="宋体"/>
                <w:b w:val="0"/>
                <w:sz w:val="17"/>
              </w:rPr>
              <w:t>47.49</w:t>
            </w:r>
          </w:p>
        </w:tc>
        <w:tc>
          <w:tcPr>
            <w:tcW w:type="dxa" w:w="1568"/>
          </w:tcPr>
          <w:p>
            <w:pPr>
              <w:spacing w:after="0"/>
            </w:pPr>
            <w:r>
              <w:rPr>
                <w:rFonts w:ascii="Times New Roman" w:hAnsi="Times New Roman" w:eastAsia="宋体"/>
                <w:b w:val="0"/>
                <w:sz w:val="17"/>
              </w:rPr>
              <w:t>−31.84</w:t>
            </w:r>
          </w:p>
        </w:tc>
        <w:tc>
          <w:tcPr>
            <w:tcW w:type="dxa" w:w="1568"/>
          </w:tcPr>
          <w:p>
            <w:pPr>
              <w:spacing w:after="0"/>
            </w:pPr>
            <w:r>
              <w:rPr>
                <w:rFonts w:ascii="Times New Roman" w:hAnsi="Times New Roman" w:eastAsia="宋体"/>
                <w:b w:val="0"/>
                <w:sz w:val="17"/>
              </w:rPr>
              <w:t>[−39.65, −24.08]</w:t>
            </w:r>
          </w:p>
        </w:tc>
      </w:tr>
    </w:tbl>
    <w:p/>
    <w:p>
      <w:pPr>
        <w:spacing w:line="324" w:lineRule="auto" w:after="80"/>
        <w:ind w:firstLine="420"/>
      </w:pPr>
      <w:r>
        <w:rPr>
          <w:rFonts w:ascii="Times New Roman" w:hAnsi="Times New Roman" w:eastAsia="宋体"/>
          <w:b w:val="0"/>
          <w:sz w:val="21"/>
        </w:rPr>
        <w:t>六组主实验的面板终点差均为负，重复抽样区间均低于零；48个“架构—池—标注来源”配置的种子平均F1终点差也均为负。480目标的补充实验保留相同方向。这排除了“仅因测试数量增加或类别比例改变才出现总体下降”这一解释，但没有隔离每个视觉字段的因果作用。</w:t>
      </w:r>
    </w:p>
    <w:p>
      <w:pPr>
        <w:spacing w:line="324" w:lineRule="auto" w:after="80"/>
        <w:ind w:firstLine="420"/>
      </w:pPr>
      <w:r>
        <w:rPr>
          <w:rFonts w:ascii="Times New Roman" w:hAnsi="Times New Roman" w:eastAsia="宋体"/>
          <w:b w:val="0"/>
          <w:sz w:val="21"/>
        </w:rPr>
        <w:t>区间是当前有限候选池内1000次配对选样差值的2.5/97.5百分位，描述选样波动。它不是均值置信区间，不是架构总体或自然部署总体的区间，也不把1000次抽样当成1000个独立数据集。本轮属于在历史研究结果已存在后的补充实验，规则在本轮执行前冻结。</w:t>
      </w:r>
    </w:p>
    <w:p>
      <w:pPr>
        <w:pStyle w:val="Heading3"/>
      </w:pPr>
      <w:r>
        <w:t>3.2 风险响应具有类别差异，不能用总体下降概括所有类别</w:t>
      </w:r>
    </w:p>
    <w:p>
      <w:pPr>
        <w:spacing w:line="324" w:lineRule="auto" w:after="80"/>
        <w:ind w:firstLine="420"/>
      </w:pPr>
      <w:r>
        <w:rPr>
          <w:rFonts w:ascii="Times New Roman" w:hAnsi="Times New Roman" w:eastAsia="宋体"/>
          <w:b w:val="0"/>
          <w:sz w:val="21"/>
        </w:rPr>
        <w:t>不同类别的Recall响应幅度不同，部分类别点估计还会上升。例如COCO B/local的car Recall由95.18%变为97.20%，终点差为+2.02个百分点，重复抽样区间为[−4.38,+10.42]；VOC2007 C/online的cat也出现正向点估计，其区间跨零。</w:t>
      </w:r>
    </w:p>
    <w:p>
      <w:pPr>
        <w:spacing w:line="324" w:lineRule="auto" w:after="80"/>
        <w:ind w:firstLine="420"/>
      </w:pPr>
      <w:r>
        <w:rPr>
          <w:rFonts w:ascii="Times New Roman" w:hAnsi="Times New Roman" w:eastAsia="宋体"/>
          <w:b w:val="0"/>
          <w:sz w:val="21"/>
        </w:rPr>
        <w:t>这不支持“每个类别都变差”，也不证明这些类别得到了可靠改善。它说明预定义视觉风险与某一类别、模型的实际识别难度不能等同。正文应同时展示每类Recall与总体Macro-F1。</w:t>
      </w:r>
    </w:p>
    <w:p>
      <w:pPr>
        <w:pStyle w:val="Heading3"/>
      </w:pPr>
      <w:r>
        <w:t>3.3 前列平均排名较稳定，部分中间排名受测试构成影响</w:t>
      </w:r>
    </w:p>
    <w:p>
      <w:pPr>
        <w:spacing w:line="324" w:lineRule="auto" w:after="80"/>
        <w:ind w:firstLine="420"/>
      </w:pPr>
      <w:r>
        <w:rPr>
          <w:rFonts w:ascii="Times New Roman" w:hAnsi="Times New Roman" w:eastAsia="宋体"/>
          <w:b w:val="0"/>
          <w:sz w:val="21"/>
        </w:rPr>
        <w:t>六组主实验、每组21个比例点中，ConvNeXt-Tiny与Swin-T始终占据平均前两名。但中间模型排名发生变化，最大名次跨度为4；相对20%Q5参考构成的最小Kendall tau为0.714。</w:t>
      </w:r>
    </w:p>
    <w:p>
      <w:pPr>
        <w:spacing w:line="324" w:lineRule="auto" w:after="80"/>
        <w:ind w:firstLine="420"/>
      </w:pPr>
      <w:r>
        <w:rPr>
          <w:rFonts w:ascii="Times New Roman" w:hAnsi="Times New Roman" w:eastAsia="宋体"/>
          <w:b w:val="0"/>
          <w:sz w:val="21"/>
        </w:rPr>
        <w:t>因此，论文可写“前列平均排序在已测构成中较稳定，但部分相对比较依赖测试构成”。不能写“所有排名都不稳定”，也不能把平均第二名理解为每次抽样都第二。抽样名次区间与前两名频率应与点估计共同报告。</w:t>
      </w:r>
    </w:p>
    <w:p>
      <w:pPr>
        <w:pStyle w:val="Heading3"/>
      </w:pPr>
      <w:r>
        <w:t>3.4 暴露更多错误与覆盖更多失败类型是不同结果</w:t>
      </w:r>
    </w:p>
    <w:p>
      <w:pPr>
        <w:spacing w:line="324" w:lineRule="auto" w:after="80"/>
        <w:ind w:firstLine="420"/>
      </w:pPr>
      <w:r>
        <w:rPr>
          <w:rFonts w:ascii="Times New Roman" w:hAnsi="Times New Roman" w:eastAsia="宋体"/>
          <w:b w:val="0"/>
          <w:sz w:val="21"/>
        </w:rPr>
        <w:t>最新实验六组的原始失败状态广度终点均增加。但以同一重复中的20%Q5集合为参考、逐真实类别匹配错误数量后，混淆类型与ViT错误簇的期望广度差没有一致为正，多数面板均值为负。</w:t>
      </w:r>
    </w:p>
    <w:p>
      <w:pPr>
        <w:spacing w:line="324" w:lineRule="auto" w:after="80"/>
        <w:ind w:firstLine="420"/>
      </w:pPr>
      <w:r>
        <w:rPr>
          <w:rFonts w:ascii="Times New Roman" w:hAnsi="Times New Roman" w:eastAsia="宋体"/>
          <w:b w:val="0"/>
          <w:sz w:val="21"/>
        </w:rPr>
        <w:t>这支持区分三件事：被测性能降低、出现错误的状态更多、在相同错误数量下发现更多失败类型。它们不等价。结果与“新增错误可能集中于已有混淆或表征簇”的解释相容，但错误簇不是已确认的缺陷根因，不据此作因果判断。</w:t>
      </w:r>
    </w:p>
    <w:p>
      <w:pPr>
        <w:spacing w:line="324" w:lineRule="auto" w:after="80"/>
        <w:ind w:firstLine="420"/>
      </w:pPr>
      <w:r>
        <w:rPr>
          <w:rFonts w:ascii="Times New Roman" w:hAnsi="Times New Roman" w:eastAsia="宋体"/>
          <w:b w:val="0"/>
          <w:sz w:val="21"/>
        </w:rPr>
        <w:t>该结果也不否定此前Coverage与Random的同预算对照：最新实验比较的是不同风险混合，相同错误数参考为20%Q5集合；此前实验比较的是不同选样策略。两类实验的对照对象不同，应分别报告。</w:t>
      </w:r>
    </w:p>
    <w:p>
      <w:pPr>
        <w:pStyle w:val="Heading3"/>
      </w:pPr>
      <w:r>
        <w:t>3.5 状态诊断的价值来自具体条件与新池确认</w:t>
      </w:r>
    </w:p>
    <w:p>
      <w:pPr>
        <w:spacing w:line="324" w:lineRule="auto" w:after="80"/>
        <w:ind w:firstLine="420"/>
      </w:pPr>
      <w:r>
        <w:rPr>
          <w:rFonts w:ascii="Times New Roman" w:hAnsi="Times New Roman" w:eastAsia="宋体"/>
          <w:b w:val="0"/>
          <w:sz w:val="21"/>
        </w:rPr>
        <w:t>既有论文中的冻结薄弱状态确认和正确/错误案例，为“诊断能提供具体测试条件”提供了另一条证据。总体类别Recall不能直接呈现某些状态的Recall落差，状态分析可以指出需要进一步测试的背向、模糊或小尺度等条件。新池验证采用既有状态清单和支持量门槛，不重新挑选有利条件。</w:t>
      </w:r>
    </w:p>
    <w:p>
      <w:pPr>
        <w:spacing w:line="324" w:lineRule="auto" w:after="80"/>
        <w:ind w:firstLine="420"/>
      </w:pPr>
      <w:r>
        <w:rPr>
          <w:rFonts w:ascii="Times New Roman" w:hAnsi="Times New Roman" w:eastAsia="宋体"/>
          <w:b w:val="0"/>
          <w:sz w:val="21"/>
        </w:rPr>
        <w:t>但并非所有状态都复现，VOC2007还存在支持不足。Coverage对随机及强基线的比较也呈现来源、约束与表征依赖。这些边界应留在正文，不能只展示有利结果。最新风险混合实验补充的是测试构成敏感性，不替代原有具体状态确认实验。</w:t>
      </w:r>
    </w:p>
    <w:p>
      <w:pPr>
        <w:pStyle w:val="Heading2"/>
      </w:pPr>
      <w:r>
        <w:t>4 贡献如何写，研究问题如何组织</w:t>
      </w:r>
    </w:p>
    <w:p>
      <w:pPr>
        <w:spacing w:line="324" w:lineRule="auto" w:after="80"/>
        <w:ind w:firstLine="420"/>
      </w:pPr>
      <w:r>
        <w:rPr>
          <w:rFonts w:ascii="Times New Roman" w:hAnsi="Times New Roman" w:eastAsia="宋体"/>
          <w:b w:val="0"/>
          <w:sz w:val="21"/>
        </w:rPr>
        <w:t>论文贡献可以归为三项。以下是本文所提供的内容，不等于已经证明相对所有文献的首创性。</w:t>
      </w:r>
    </w:p>
    <w:p>
      <w:pPr>
        <w:pStyle w:val="ListNumber"/>
      </w:pPr>
      <w:r>
        <w:rPr>
          <w:rFonts w:ascii="Times New Roman" w:hAnsi="Times New Roman" w:eastAsia="宋体"/>
          <w:b/>
          <w:sz w:val="21"/>
        </w:rPr>
        <w:t>可解释的测试组织协议。</w:t>
      </w:r>
      <w:r>
        <w:rPr>
          <w:rFonts w:ascii="Times New Roman" w:hAnsi="Times New Roman" w:eastAsia="宋体"/>
          <w:b w:val="0"/>
          <w:sz w:val="21"/>
        </w:rPr>
        <w:t xml:space="preserve"> 以固定目标、有限视觉状态、覆盖支持量及类别内风险分层组织多类别测试，并区分覆盖、风险和分类性能。</w:t>
      </w:r>
    </w:p>
    <w:p>
      <w:pPr>
        <w:pStyle w:val="ListNumber"/>
      </w:pPr>
      <w:r>
        <w:rPr>
          <w:rFonts w:ascii="Times New Roman" w:hAnsi="Times New Roman" w:eastAsia="宋体"/>
          <w:b/>
          <w:sz w:val="21"/>
        </w:rPr>
        <w:t>受控的模型能力响应证据。</w:t>
      </w:r>
      <w:r>
        <w:rPr>
          <w:rFonts w:ascii="Times New Roman" w:hAnsi="Times New Roman" w:eastAsia="宋体"/>
          <w:b w:val="0"/>
          <w:sz w:val="21"/>
        </w:rPr>
        <w:t xml:space="preserve"> 在固定权重、预算与类别比例下，报告风险构成响应曲线、类别差异和模型排序变化，并通过两个自动标注来源及多个候选池限定结论范围。</w:t>
      </w:r>
    </w:p>
    <w:p>
      <w:pPr>
        <w:pStyle w:val="ListNumber"/>
      </w:pPr>
      <w:r>
        <w:rPr>
          <w:rFonts w:ascii="Times New Roman" w:hAnsi="Times New Roman" w:eastAsia="宋体"/>
          <w:b/>
          <w:sz w:val="21"/>
        </w:rPr>
        <w:t>诊断价值及其边界的实证分析。</w:t>
      </w:r>
      <w:r>
        <w:rPr>
          <w:rFonts w:ascii="Times New Roman" w:hAnsi="Times New Roman" w:eastAsia="宋体"/>
          <w:b w:val="0"/>
          <w:sz w:val="21"/>
        </w:rPr>
        <w:t xml:space="preserve"> 结合冻结薄弱状态确认、等错误数广度控制和强基线比较，区分具体条件诊断、错误数量增长与额外失败多样性。</w:t>
      </w:r>
    </w:p>
    <w:p>
      <w:pPr>
        <w:spacing w:line="324" w:lineRule="auto" w:after="80"/>
        <w:ind w:firstLine="420"/>
      </w:pPr>
      <w:r>
        <w:rPr>
          <w:rFonts w:ascii="Times New Roman" w:hAnsi="Times New Roman" w:eastAsia="宋体"/>
          <w:b w:val="0"/>
          <w:sz w:val="21"/>
        </w:rPr>
        <w:t>沿用既有四个RQ，建议这样纳入新结果，而不把论文变成模型排名报告：</w:t>
      </w:r>
    </w:p>
    <w:tbl>
      <w:tblPr>
        <w:tblStyle w:val="TableGrid"/>
        <w:tblW w:type="auto" w:w="0"/>
        <w:tblLook w:firstColumn="1" w:firstRow="1" w:lastColumn="0" w:lastRow="0" w:noHBand="0" w:noVBand="1" w:val="04A0"/>
      </w:tblPr>
      <w:tblGrid>
        <w:gridCol w:w="3135"/>
        <w:gridCol w:w="3135"/>
        <w:gridCol w:w="3135"/>
      </w:tblGrid>
      <w:tr>
        <w:tc>
          <w:tcPr>
            <w:tcW w:type="dxa" w:w="3135"/>
            <w:shd w:fill="D9EAF7"/>
          </w:tcPr>
          <w:p>
            <w:pPr>
              <w:spacing w:after="0"/>
            </w:pPr>
            <w:r>
              <w:rPr>
                <w:rFonts w:ascii="Times New Roman" w:hAnsi="Times New Roman" w:eastAsia="宋体"/>
                <w:b/>
                <w:sz w:val="17"/>
              </w:rPr>
              <w:t>研究问题</w:t>
            </w:r>
          </w:p>
        </w:tc>
        <w:tc>
          <w:tcPr>
            <w:tcW w:type="dxa" w:w="3135"/>
            <w:shd w:fill="D9EAF7"/>
          </w:tcPr>
          <w:p>
            <w:pPr>
              <w:spacing w:after="0"/>
            </w:pPr>
            <w:r>
              <w:rPr>
                <w:rFonts w:ascii="Times New Roman" w:hAnsi="Times New Roman" w:eastAsia="宋体"/>
                <w:b/>
                <w:sz w:val="17"/>
              </w:rPr>
              <w:t>正文重点</w:t>
            </w:r>
          </w:p>
        </w:tc>
        <w:tc>
          <w:tcPr>
            <w:tcW w:type="dxa" w:w="3135"/>
            <w:shd w:fill="D9EAF7"/>
          </w:tcPr>
          <w:p>
            <w:pPr>
              <w:spacing w:after="0"/>
            </w:pPr>
            <w:r>
              <w:rPr>
                <w:rFonts w:ascii="Times New Roman" w:hAnsi="Times New Roman" w:eastAsia="宋体"/>
                <w:b/>
                <w:sz w:val="17"/>
              </w:rPr>
              <w:t>最新实验的放置位置</w:t>
            </w:r>
          </w:p>
        </w:tc>
      </w:tr>
      <w:tr>
        <w:tc>
          <w:tcPr>
            <w:tcW w:type="dxa" w:w="3135"/>
          </w:tcPr>
          <w:p>
            <w:pPr>
              <w:spacing w:after="0"/>
            </w:pPr>
            <w:r>
              <w:rPr>
                <w:rFonts w:ascii="Times New Roman" w:hAnsi="Times New Roman" w:eastAsia="宋体"/>
                <w:b w:val="0"/>
                <w:sz w:val="17"/>
              </w:rPr>
              <w:t>RQ1：视觉风险层能否区分性能，并在新来源复现？</w:t>
            </w:r>
          </w:p>
        </w:tc>
        <w:tc>
          <w:tcPr>
            <w:tcW w:type="dxa" w:w="3135"/>
          </w:tcPr>
          <w:p>
            <w:pPr>
              <w:spacing w:after="0"/>
            </w:pPr>
            <w:r>
              <w:rPr>
                <w:rFonts w:ascii="Times New Roman" w:hAnsi="Times New Roman" w:eastAsia="宋体"/>
                <w:b w:val="0"/>
                <w:sz w:val="17"/>
              </w:rPr>
              <w:t>完整Q1–Q5性能和独立确认</w:t>
            </w:r>
          </w:p>
        </w:tc>
        <w:tc>
          <w:tcPr>
            <w:tcW w:type="dxa" w:w="3135"/>
          </w:tcPr>
          <w:p>
            <w:pPr>
              <w:spacing w:after="0"/>
            </w:pPr>
            <w:r>
              <w:rPr>
                <w:rFonts w:ascii="Times New Roman" w:hAnsi="Times New Roman" w:eastAsia="宋体"/>
                <w:b w:val="0"/>
                <w:sz w:val="17"/>
              </w:rPr>
              <w:t>作为固定预算构成控制的补充证据</w:t>
            </w:r>
          </w:p>
        </w:tc>
      </w:tr>
      <w:tr>
        <w:tc>
          <w:tcPr>
            <w:tcW w:type="dxa" w:w="3135"/>
          </w:tcPr>
          <w:p>
            <w:pPr>
              <w:spacing w:after="0"/>
            </w:pPr>
            <w:r>
              <w:rPr>
                <w:rFonts w:ascii="Times New Roman" w:hAnsi="Times New Roman" w:eastAsia="宋体"/>
                <w:b w:val="0"/>
                <w:sz w:val="17"/>
              </w:rPr>
              <w:t>RQ2：覆盖、测试构成与测得性能呈何种关系？</w:t>
            </w:r>
          </w:p>
        </w:tc>
        <w:tc>
          <w:tcPr>
            <w:tcW w:type="dxa" w:w="3135"/>
          </w:tcPr>
          <w:p>
            <w:pPr>
              <w:spacing w:after="0"/>
            </w:pPr>
            <w:r>
              <w:rPr>
                <w:rFonts w:ascii="Times New Roman" w:hAnsi="Times New Roman" w:eastAsia="宋体"/>
                <w:b w:val="0"/>
                <w:sz w:val="17"/>
              </w:rPr>
              <w:t>区分累积扩展与固定数量混合</w:t>
            </w:r>
          </w:p>
        </w:tc>
        <w:tc>
          <w:tcPr>
            <w:tcW w:type="dxa" w:w="3135"/>
          </w:tcPr>
          <w:p>
            <w:pPr>
              <w:spacing w:after="0"/>
            </w:pPr>
            <w:r>
              <w:rPr>
                <w:rFonts w:ascii="Times New Roman" w:hAnsi="Times New Roman" w:eastAsia="宋体"/>
                <w:b w:val="0"/>
                <w:sz w:val="17"/>
              </w:rPr>
              <w:t>增设“固定预算风险混合”，与累积曲线并列</w:t>
            </w:r>
          </w:p>
        </w:tc>
      </w:tr>
      <w:tr>
        <w:tc>
          <w:tcPr>
            <w:tcW w:type="dxa" w:w="3135"/>
          </w:tcPr>
          <w:p>
            <w:pPr>
              <w:spacing w:after="0"/>
            </w:pPr>
            <w:r>
              <w:rPr>
                <w:rFonts w:ascii="Times New Roman" w:hAnsi="Times New Roman" w:eastAsia="宋体"/>
                <w:b w:val="0"/>
                <w:sz w:val="17"/>
              </w:rPr>
              <w:t>RQ3：覆盖选样是否提供额外失败诊断广度？</w:t>
            </w:r>
          </w:p>
        </w:tc>
        <w:tc>
          <w:tcPr>
            <w:tcW w:type="dxa" w:w="3135"/>
          </w:tcPr>
          <w:p>
            <w:pPr>
              <w:spacing w:after="0"/>
            </w:pPr>
            <w:r>
              <w:rPr>
                <w:rFonts w:ascii="Times New Roman" w:hAnsi="Times New Roman" w:eastAsia="宋体"/>
                <w:b w:val="0"/>
                <w:sz w:val="17"/>
              </w:rPr>
              <w:t>同预算Random/DeepGini/DSA/k-center、等错误数及表征敏感性</w:t>
            </w:r>
          </w:p>
        </w:tc>
        <w:tc>
          <w:tcPr>
            <w:tcW w:type="dxa" w:w="3135"/>
          </w:tcPr>
          <w:p>
            <w:pPr>
              <w:spacing w:after="0"/>
            </w:pPr>
            <w:r>
              <w:rPr>
                <w:rFonts w:ascii="Times New Roman" w:hAnsi="Times New Roman" w:eastAsia="宋体"/>
                <w:b w:val="0"/>
                <w:sz w:val="17"/>
              </w:rPr>
              <w:t>将混合实验的原始/等错误数广度作为辅助解释，不替代策略比较</w:t>
            </w:r>
          </w:p>
        </w:tc>
      </w:tr>
      <w:tr>
        <w:tc>
          <w:tcPr>
            <w:tcW w:type="dxa" w:w="3135"/>
          </w:tcPr>
          <w:p>
            <w:pPr>
              <w:spacing w:after="0"/>
            </w:pPr>
            <w:r>
              <w:rPr>
                <w:rFonts w:ascii="Times New Roman" w:hAnsi="Times New Roman" w:eastAsia="宋体"/>
                <w:b w:val="0"/>
                <w:sz w:val="17"/>
              </w:rPr>
              <w:t>RQ4：模型能力与具体薄弱状态有何差异？</w:t>
            </w:r>
          </w:p>
        </w:tc>
        <w:tc>
          <w:tcPr>
            <w:tcW w:type="dxa" w:w="3135"/>
          </w:tcPr>
          <w:p>
            <w:pPr>
              <w:spacing w:after="0"/>
            </w:pPr>
            <w:r>
              <w:rPr>
                <w:rFonts w:ascii="Times New Roman" w:hAnsi="Times New Roman" w:eastAsia="宋体"/>
                <w:b w:val="0"/>
                <w:sz w:val="17"/>
              </w:rPr>
              <w:t>高风险性能、排名不确定性、冻结状态复现</w:t>
            </w:r>
          </w:p>
        </w:tc>
        <w:tc>
          <w:tcPr>
            <w:tcW w:type="dxa" w:w="3135"/>
          </w:tcPr>
          <w:p>
            <w:pPr>
              <w:spacing w:after="0"/>
            </w:pPr>
            <w:r>
              <w:rPr>
                <w:rFonts w:ascii="Times New Roman" w:hAnsi="Times New Roman" w:eastAsia="宋体"/>
                <w:b w:val="0"/>
                <w:sz w:val="17"/>
              </w:rPr>
              <w:t>增加模型排名对风险占比的敏感性</w:t>
            </w:r>
          </w:p>
        </w:tc>
      </w:tr>
    </w:tbl>
    <w:p/>
    <w:p>
      <w:pPr>
        <w:spacing w:line="324" w:lineRule="auto" w:after="80"/>
        <w:ind w:firstLine="420"/>
      </w:pPr>
      <w:r>
        <w:rPr>
          <w:rFonts w:ascii="Times New Roman" w:hAnsi="Times New Roman" w:eastAsia="宋体"/>
          <w:b w:val="0"/>
          <w:sz w:val="21"/>
        </w:rPr>
        <w:t>正文以研究问题组织，实验执行顺序放入附录或复现材料。新曲线不应与旧覆盖曲线共用“覆盖率”横轴：新实验横轴是Q5占比；覆盖率另作辅助指标。相邻点均来自真实统计，不为了形状强制拟合。</w:t>
      </w:r>
    </w:p>
    <w:p>
      <w:pPr>
        <w:pStyle w:val="Heading2"/>
      </w:pPr>
      <w:r>
        <w:t>5 可直接使用的摘要草稿</w:t>
      </w:r>
    </w:p>
    <w:p>
      <w:pPr>
        <w:spacing w:line="324" w:lineRule="auto" w:after="80"/>
        <w:ind w:firstLine="420"/>
      </w:pPr>
      <w:r>
        <w:rPr>
          <w:rFonts w:ascii="Times New Roman" w:hAnsi="Times New Roman" w:eastAsia="宋体"/>
          <w:b w:val="0"/>
          <w:sz w:val="21"/>
        </w:rPr>
        <w:t>总体分类指标描述模型在给定测试构成下的平均表现，但不能直接说明不同视觉条件下的能力差异。本文研究基于有限视觉状态、类别内风险分层与覆盖选样的多类别目标区域测试协议，并将状态覆盖、风险构成和失败诊断广度分别评价。我们冻结八种分类架构、每种三个种子的预测，在dog、cat、horse、sheep、person和car六类任务上，使用本地与线上视觉语言模型的状态标注，分别分析COCO、VOC2007及Objects365候选池。固定测试总量及类别比例后，将最高风险层占比从0%逐步变为100%，按21个比例点重复抽样1000次。六组主实验的平均Macro-F1终点下降12.29—34.77个百分点，但类别Recall存在不同响应；前两名平均排序保持一致，部分中间模型名次随测试构成变化。原始失败状态广度增加，而逐类别等错误数后的混淆类型及表征簇广度未出现一致增益。结合既有薄弱状态新池确认与选样对照，结果支持自动视觉状态用于所评估任务的条件诊断，同时要求报告状态支持量、标注分歧和测试构成，避免以覆盖增长或错误增加替代测试有效性评价。</w:t>
      </w:r>
    </w:p>
    <w:p>
      <w:pPr>
        <w:spacing w:line="324" w:lineRule="auto" w:after="80"/>
        <w:ind w:firstLine="420"/>
      </w:pPr>
      <w:r>
        <w:rPr>
          <w:rFonts w:ascii="Times New Roman" w:hAnsi="Times New Roman" w:eastAsia="宋体"/>
          <w:b w:val="0"/>
          <w:sz w:val="21"/>
        </w:rPr>
        <w:t>该摘要需与最终正文保持一致。1000次抽样范围、具体风险定义和未取得全字段状态真值的说明应保留在方法及威胁章节，不把自动格式校验写成语义准确率。</w:t>
      </w:r>
    </w:p>
    <w:p>
      <w:pPr>
        <w:pStyle w:val="Heading2"/>
      </w:pPr>
      <w:r>
        <w:t>6 可直接使用的结论草稿</w:t>
      </w:r>
    </w:p>
    <w:p>
      <w:pPr>
        <w:spacing w:line="324" w:lineRule="auto" w:after="80"/>
        <w:ind w:firstLine="420"/>
      </w:pPr>
      <w:r>
        <w:rPr>
          <w:rFonts w:ascii="Times New Roman" w:hAnsi="Times New Roman" w:eastAsia="宋体"/>
          <w:b w:val="0"/>
          <w:sz w:val="21"/>
        </w:rPr>
        <w:t>本文研究了基于可解释视觉状态与风险分层的多类别图像分类模型测试。实验区分了测试状态覆盖、风险构成、分类性能和失败诊断广度，并在固定模型条件下使用双自动标注与新来源确认。固定预算风险混合实验显示，即使测试总量和类别比例不变，提高类别内相对高风险目标的占比，仍对应明显的总体性能下降；这种响应的幅度因来源与类别而异。模型前列平均排序在已测构成中较稳定，部分中间排序则随构成改变。</w:t>
      </w:r>
    </w:p>
    <w:p>
      <w:pPr>
        <w:spacing w:line="324" w:lineRule="auto" w:after="80"/>
        <w:ind w:firstLine="420"/>
      </w:pPr>
      <w:r>
        <w:rPr>
          <w:rFonts w:ascii="Times New Roman" w:hAnsi="Times New Roman" w:eastAsia="宋体"/>
          <w:b w:val="0"/>
          <w:sz w:val="21"/>
        </w:rPr>
        <w:t>研究同时表明，更多分类错误或更高原始失败状态广度，并不自动带来等错误数下更丰富的失败类型。自动视觉状态的价值在于明确测试条件、呈现条件性能并提供待进一步验证的薄弱线索，而不是保证覆盖数值越大就越有效。本文的证据适用于已评估的六类固定目标分类器、有限候选池和自动状态协议；不证明单个视觉条件的失败因果关系、全部状态标签准确或自然部署分布的普遍规律。对模型测试而言，应在总体指标之外同时报告视觉状态构成、条件性能及排名不确定性。</w:t>
      </w:r>
    </w:p>
    <w:p>
      <w:pPr>
        <w:pStyle w:val="Heading2"/>
      </w:pPr>
      <w:r>
        <w:t>7 适用边界与论文整合顺序</w:t>
      </w:r>
    </w:p>
    <w:p>
      <w:pPr>
        <w:spacing w:line="324" w:lineRule="auto" w:after="80"/>
        <w:ind w:firstLine="420"/>
      </w:pPr>
      <w:r>
        <w:rPr>
          <w:rFonts w:ascii="Times New Roman" w:hAnsi="Times New Roman" w:eastAsia="宋体"/>
          <w:b w:val="0"/>
          <w:sz w:val="21"/>
        </w:rPr>
        <w:t>需要明确保留的边界包括：当前任务为固定框目标区域分类，不是目标检测、人脸身份识别或任意多类别任务；六类不代表全部对象类型；Q5为池内相对风险；两套VLM可能存在相关系统性误差，来源一致不等于真值；有限枚举主要是边际状态覆盖，不表示全部状态组合充分；不同候选池的状态宇宙和风险分母不同，不合并解释其绝对覆盖率。</w:t>
      </w:r>
    </w:p>
    <w:p>
      <w:pPr>
        <w:spacing w:line="324" w:lineRule="auto" w:after="80"/>
        <w:ind w:firstLine="420"/>
      </w:pPr>
      <w:r>
        <w:rPr>
          <w:rFonts w:ascii="Times New Roman" w:hAnsi="Times New Roman" w:eastAsia="宋体"/>
          <w:b w:val="0"/>
          <w:sz w:val="21"/>
        </w:rPr>
        <w:t>“高风险比例影响测得性能”已受到本轮实验支持；“覆盖越高F1必然越低”“Coverage全面优于强基线”“全部标签准确”“排名对任何分歧均稳健”均不作为本文结论。两个标注来源下的平均前列一致，也不能替代严格分歧子集证据；既有严格一致筛选的支持不足须继续报告。</w:t>
      </w:r>
    </w:p>
    <w:p>
      <w:pPr>
        <w:spacing w:line="324" w:lineRule="auto" w:after="80"/>
        <w:ind w:firstLine="420"/>
      </w:pPr>
      <w:r>
        <w:rPr>
          <w:rFonts w:ascii="Times New Roman" w:hAnsi="Times New Roman" w:eastAsia="宋体"/>
          <w:b w:val="0"/>
          <w:sz w:val="21"/>
        </w:rPr>
        <w:t>建议整合顺序是：先更新RQ2及方法中的固定预算混合协议，再加入上述主表和风险响应图，接着补充类别例外、排名与广度控制；最后统一摘要、贡献、讨论和结论。新结果不能与旧Q5−Q1差值混写：新0%集合来自Q1–Q4，不是Q1。未经重新核验的统计检验结果和发表概率不添加到总结中。</w:t>
      </w:r>
    </w:p>
    <w:p>
      <w:pPr>
        <w:spacing w:line="324" w:lineRule="auto" w:after="80"/>
        <w:ind w:firstLine="420"/>
      </w:pPr>
      <w:r>
        <w:rPr>
          <w:rFonts w:ascii="Times New Roman" w:hAnsi="Times New Roman" w:eastAsia="宋体"/>
          <w:b w:val="0"/>
          <w:sz w:val="21"/>
        </w:rPr>
        <w:t>目前最值得正文强调的是受控风险响应、具体条件诊断及解释边界，模型排名作为能力比较证据。仅凭排名或F1下降不能独立支撑方法新颖性；相关工作仍须逐项说明与已有输入分布测试及诊断方法的区别。本文件没有新增文献优越性或首创性断言。</w:t>
      </w:r>
    </w:p>
    <w:p>
      <w:pPr>
        <w:pStyle w:val="Heading2"/>
      </w:pPr>
      <w:r>
        <w:t>8 证据与复算入口</w:t>
      </w:r>
    </w:p>
    <w:p>
      <w:pPr>
        <w:pStyle w:val="ListBullet"/>
      </w:pPr>
      <w:r>
        <w:rPr>
          <w:rFonts w:ascii="Times New Roman" w:hAnsi="Times New Roman" w:eastAsia="宋体"/>
          <w:b w:val="0"/>
          <w:sz w:val="21"/>
        </w:rPr>
        <w:t>既有完整论文及状态诊断证据（/home/hcf/.codex/worktrees/2fec/QE/docs/visual_state_testing_empirical_paper_rank_validated_20261005.md）</w:t>
      </w:r>
    </w:p>
    <w:p>
      <w:pPr>
        <w:pStyle w:val="ListBullet"/>
      </w:pPr>
      <w:r>
        <w:rPr>
          <w:rFonts w:ascii="Times New Roman" w:hAnsi="Times New Roman" w:eastAsia="宋体"/>
          <w:b w:val="0"/>
          <w:sz w:val="21"/>
        </w:rPr>
        <w:t>最新实验完整报告及七组图（/home/hcf/.codex/worktrees/2fec/QE/artifacts/controlled_risk_distribution_20261005/report_zh.md）</w:t>
      </w:r>
    </w:p>
    <w:p>
      <w:pPr>
        <w:pStyle w:val="ListBullet"/>
      </w:pPr>
      <w:r>
        <w:rPr>
          <w:rFonts w:ascii="Times New Roman" w:hAnsi="Times New Roman" w:eastAsia="宋体"/>
          <w:b w:val="0"/>
          <w:sz w:val="21"/>
        </w:rPr>
        <w:t>固定预算混合实验协议（/home/hcf/.codex/worktrees/2fec/QE/docs/controlled_risk_distribution_protocol_20261005.md）</w:t>
      </w:r>
    </w:p>
    <w:p>
      <w:pPr>
        <w:pStyle w:val="ListBullet"/>
      </w:pPr>
      <w:r>
        <w:rPr>
          <w:rFonts w:ascii="Times New Roman" w:hAnsi="Times New Roman" w:eastAsia="宋体"/>
          <w:b w:val="0"/>
          <w:sz w:val="21"/>
        </w:rPr>
        <w:t>结论—证据映射（/home/hcf/.codex/worktrees/2fec/QE/artifacts/controlled_risk_distribution_20261005/claim_evidence.md）</w:t>
      </w:r>
    </w:p>
    <w:p>
      <w:pPr>
        <w:pStyle w:val="ListBullet"/>
      </w:pPr>
      <w:r>
        <w:rPr>
          <w:rFonts w:ascii="Times New Roman" w:hAnsi="Times New Roman" w:eastAsia="宋体"/>
          <w:b w:val="0"/>
          <w:sz w:val="21"/>
        </w:rPr>
        <w:t>面板分类指标与抽样区间（/home/hcf/.codex/worktrees/2fec/QE/artifacts/controlled_risk_distribution_20261005/tables/panel_summary.csv）</w:t>
      </w:r>
    </w:p>
    <w:p>
      <w:pPr>
        <w:pStyle w:val="ListBullet"/>
      </w:pPr>
      <w:r>
        <w:rPr>
          <w:rFonts w:ascii="Times New Roman" w:hAnsi="Times New Roman" w:eastAsia="宋体"/>
          <w:b w:val="0"/>
          <w:sz w:val="21"/>
        </w:rPr>
        <w:t>配对终点差（/home/hcf/.codex/worktrees/2fec/QE/artifacts/controlled_risk_distribution_20261005/tables/distribution_contrasts.csv）</w:t>
      </w:r>
    </w:p>
    <w:p>
      <w:pPr>
        <w:pStyle w:val="ListBullet"/>
      </w:pPr>
      <w:r>
        <w:rPr>
          <w:rFonts w:ascii="Times New Roman" w:hAnsi="Times New Roman" w:eastAsia="宋体"/>
          <w:b w:val="0"/>
          <w:sz w:val="21"/>
        </w:rPr>
        <w:t>逐类Recall配对终点差（/home/hcf/.codex/worktrees/2fec/QE/artifacts/controlled_risk_distribution_20261005/tables/class_panel_contrasts.csv）</w:t>
      </w:r>
    </w:p>
    <w:p>
      <w:pPr>
        <w:pStyle w:val="ListBullet"/>
      </w:pPr>
      <w:r>
        <w:rPr>
          <w:rFonts w:ascii="Times New Roman" w:hAnsi="Times New Roman" w:eastAsia="宋体"/>
          <w:b w:val="0"/>
          <w:sz w:val="21"/>
        </w:rPr>
        <w:t>模型指标、名次范围与前两名频率（/home/hcf/.codex/worktrees/2fec/QE/artifacts/controlled_risk_distribution_20261005/tables/model_summary.csv）</w:t>
      </w:r>
    </w:p>
    <w:p>
      <w:pPr>
        <w:pStyle w:val="ListBullet"/>
      </w:pPr>
      <w:r>
        <w:rPr>
          <w:rFonts w:ascii="Times New Roman" w:hAnsi="Times New Roman" w:eastAsia="宋体"/>
          <w:b w:val="0"/>
          <w:sz w:val="21"/>
        </w:rPr>
        <w:t>原始预测重建及最终审计（/home/hcf/.codex/worktrees/2fec/QE/artifacts/controlled_risk_distribution_20261005/final_audit.json）</w:t>
      </w:r>
    </w:p>
    <w:p>
      <w:pPr>
        <w:spacing w:line="324" w:lineRule="auto" w:after="80"/>
        <w:ind w:firstLine="420"/>
      </w:pPr>
      <w:r>
        <w:rPr>
          <w:rFonts w:ascii="Times New Roman" w:hAnsi="Times New Roman" w:eastAsia="宋体"/>
          <w:b w:val="0"/>
          <w:sz w:val="21"/>
        </w:rPr>
        <w:t>本文档中的六组F1主表、car Recall例外、排名变化及广度结论来自上述已通过审计的输出。数据统计和既有全文均保留，本轮只形成论文总结及写作整合口径，不覆盖原稿。</w:t>
      </w:r>
    </w:p>
    <w:sectPr w:rsidR="00FC693F" w:rsidRPr="0006063C" w:rsidSect="00034616">
      <w:footerReference w:type="default" r:id="rId9"/>
      <w:pgSz w:w="12240" w:h="15840"/>
      <w:pgMar w:top="1361"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黑体"/>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