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可解释视觉状态与风险分层的图像分类测试诊断：六类实证研究</w:t>
      </w:r>
    </w:p>
    <w:p>
      <w:pPr>
        <w:spacing w:line="324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本稿更新主次结果与适用范围。旧20261004论文保留；新增来源只有执行完成后才报告。研究不要求覆盖—F1曲线单调，不提出训练增强或全面优势。</w:t>
      </w:r>
    </w:p>
    <w:p>
      <w:pPr>
        <w:pStyle w:val="Heading2"/>
      </w:pPr>
      <w:r>
        <w:t>摘要</w:t>
      </w:r>
    </w:p>
    <w:p>
      <w:pPr>
        <w:spacing w:line="324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本研究在固定六类分类任务、1800训练目标、八架构及三个训练种子下，用线上/本地VLM描述可见状态并构造类别内视觉风险层。COCO新池的24次运行均出现高风险层F1低于低风险层；在共同风险配额和逐类别等错误数控制下，Coverage相对Random提供混淆类型诊断收益。统一表征错误簇和强基线比较呈现条件性结果，不能概括为普遍优势。自动标签不是人工真值，风险评分不代表所有困难因素。</w:t>
      </w:r>
    </w:p>
    <w:p>
      <w:pPr>
        <w:pStyle w:val="Heading2"/>
      </w:pPr>
      <w:r>
        <w:t>问题与贡献</w:t>
      </w:r>
    </w:p>
    <w:p>
      <w:pPr>
        <w:spacing w:line="324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RQ1：预定义风险层能否区分固定模型的测得性能？RQ2：旧池冻结薄弱状态是否在新池/新来源复现？RQ3：控制预定义风险、预算及错误数后，Coverage是否增加独立混淆类型/错误簇广度？ 贡献是可复算的可解释状态测试组织协议、同风险等错误数诊断对照，以及跨池复现和条件性负结果的证据。没有文献核验支持“首创”；不把显著性当新颖性。</w:t>
      </w:r>
    </w:p>
    <w:p>
      <w:pPr>
        <w:pStyle w:val="Heading2"/>
      </w:pPr>
      <w:r>
        <w:t>数据、协议与统计</w:t>
      </w:r>
    </w:p>
    <w:p>
      <w:pPr>
        <w:spacing w:line="324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原COCO A为发现池、COCO B为2400独立样本确认池，各类400；B的弱状态清单在预测前由A冻结，外部来源沿用清单不重选。分类权重、预处理、五维H、unknown规则和支持阈值固定。状态标注三视图且类别可见，分类器只用固定目标框裁剪。 VOC2012因完整历史候选排除后dog仅47张停止，未开展新标注/分类预测。改用VOC2007 trainval+test合并，六类100/class，预算10–50/class，各层20候选选10。COCO B选样比例25%、VOC50%；各来源内部方法预算相同，不能把不同池原始覆盖分母直接合并。 全部24运行来自8架构×3种子。主要风险6项Holm、主要随机诊断4项Holm、冻结状态迁移2项Holm；强基线12项、删字段4项及统一ViT和全20敏感性不省略。12/20族存在精确架构检验分辨率限制，未通过不能当零效应；固定面板图像bootstrap不能代表新增架构或重新选样。</w:t>
      </w:r>
    </w:p>
    <w:p>
      <w:pPr>
        <w:pStyle w:val="Heading2"/>
      </w:pPr>
      <w:r>
        <w:t>主要风险确认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数据池</w:t>
            </w:r>
          </w:p>
        </w:tc>
        <w:tc>
          <w:tcPr>
            <w:tcW w:type="dxa" w:w="1881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1881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Q5−Q1 Macro-F1 (pp)</w:t>
            </w:r>
          </w:p>
        </w:tc>
        <w:tc>
          <w:tcPr>
            <w:tcW w:type="dxa" w:w="1881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95%区间(pp)</w:t>
            </w:r>
          </w:p>
        </w:tc>
        <w:tc>
          <w:tcPr>
            <w:tcW w:type="dxa" w:w="1881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六项Holm p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-25.50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[-27.17,-23.94]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0.04688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-21.30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[-22.59,-19.86]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0.04688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-16.57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[-19.47,-13.52]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0.04688</w:t>
            </w:r>
          </w:p>
        </w:tc>
      </w:tr>
      <w:tr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-14.44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[-16.65,-11.97]</w:t>
            </w:r>
          </w:p>
        </w:tc>
        <w:tc>
          <w:tcPr>
            <w:tcW w:type="dxa" w:w="188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0.04688</w:t>
            </w:r>
          </w:p>
        </w:tc>
      </w:tr>
    </w:tbl>
    <w:p/>
    <w:p>
      <w:pPr>
        <w:pStyle w:val="Heading2"/>
      </w:pPr>
      <w:r>
        <w:t>外部来源确认状态</w:t>
      </w:r>
    </w:p>
    <w:p>
      <w:pPr>
        <w:spacing w:line="324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VOC2007已完成；以下与COCO B分开报告。</w:t>
      </w:r>
    </w:p>
    <w:p>
      <w:pPr>
        <w:pStyle w:val="Heading2"/>
      </w:pPr>
      <w:r>
        <w:t>全部方法结果与负结果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176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表征</w:t>
            </w:r>
          </w:p>
        </w:tc>
        <w:tc>
          <w:tcPr>
            <w:tcW w:type="dxa" w:w="1176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1176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对照</w:t>
            </w:r>
          </w:p>
        </w:tc>
        <w:tc>
          <w:tcPr>
            <w:tcW w:type="dxa" w:w="1176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指标</w:t>
            </w:r>
          </w:p>
        </w:tc>
        <w:tc>
          <w:tcPr>
            <w:tcW w:type="dxa" w:w="1176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AUC差</w:t>
            </w:r>
          </w:p>
        </w:tc>
        <w:tc>
          <w:tcPr>
            <w:tcW w:type="dxa" w:w="1176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家族Holm p</w:t>
            </w:r>
          </w:p>
        </w:tc>
        <w:tc>
          <w:tcPr>
            <w:tcW w:type="dxa" w:w="1176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全20 p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+0.0158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+0.0103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0.23438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+0.0197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0.14062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0.23438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+0.0159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0.14062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0.23438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+0.0122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0.16406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0.28125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+0.0071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0.84375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-0.0060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0.86719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+0.0037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0.86719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+0.0224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+0.0070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0.04688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0.51562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+0.0250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+0.0060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0.84375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+0.0249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+0.0041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+0.0064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-0.0043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0.96875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+0.0086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0.28125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0.70312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-0.0033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0.86719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+0.0158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+0.0038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0.25781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+0.0197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0.25000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+0.0063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0.25000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+0.0047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-0.0084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0.82031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-0.0060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0.86719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0.87500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+0.0224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+0.0078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0.10938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0.60156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+0.0250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+0.0194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0.28125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+0.0249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+0.0172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0.25000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+0.0064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+0.0127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0.25000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+0.0086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0.28125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0.70312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-0.0041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0.86719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+0.0018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0.98438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+0.0010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0.98438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+0.0039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0.78125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+0.0069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0.76562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+0.0043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0.78125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+0.0061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0.78125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-0.0072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0.76562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-0.0089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0.78125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-0.0015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0.73438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+0.0023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0.63281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+0.0185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+0.0164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+0.0238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+0.0195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+0.0197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+0.0178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+0.0191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+0.0119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0.78125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+0.0127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0.06250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0.20312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classifier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+0.0088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0.63281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+0.0018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0.98438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-0.0003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0.98438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+0.0039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0.65625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+0.0073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0.65625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+0.0043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0.65625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+0.0067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0.65625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-0.0072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0.65625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-0.0153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-0.0015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0.89062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+0.0040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0.82031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+0.0185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random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+0.0072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0.43750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+0.0238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deepgini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0.25000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0.43750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+0.0197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dsa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+0.0088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0.43750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0.75000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+0.0191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0.15625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kcenter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-0.0080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0.65625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confusion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+0.0127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0.06250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0.23438</w:t>
            </w:r>
          </w:p>
        </w:tc>
      </w:tr>
      <w:tr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vit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coverage_without_H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clusters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+0.0027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0.89062</w:t>
            </w:r>
          </w:p>
        </w:tc>
        <w:tc>
          <w:tcPr>
            <w:tcW w:type="dxa" w:w="1176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</w:tbl>
    <w:p/>
    <w:p>
      <w:pPr>
        <w:spacing w:line="324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COCO B分类器表征下Random主四项支持，统一ViT错误簇收益未通过主家族校正。强基线与删字段优势没有稳定确认；不能只展示正向平均值。全部区间和逐预算/运行结果见full_outcome_index.csv及原始表。</w:t>
      </w:r>
    </w:p>
    <w:p>
      <w:pPr>
        <w:pStyle w:val="Heading2"/>
      </w:pPr>
      <w:r>
        <w:t>冻结状态迁移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2351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2351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状态减类别Recall(pp)</w:t>
            </w:r>
          </w:p>
        </w:tc>
        <w:tc>
          <w:tcPr>
            <w:tcW w:type="dxa" w:w="2351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17"/>
              </w:rPr>
              <w:t>两项Holm p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-21.73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0.01562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sixclass_independent_confirmation_20261004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-20.77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0.01562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online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+1.62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sixclass_voc_external_confirmation_20261005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local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-23.83</w:t>
            </w:r>
          </w:p>
        </w:tc>
        <w:tc>
          <w:tcPr>
            <w:tcW w:type="dxa" w:w="2351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</w:tbl>
    <w:p/>
    <w:p>
      <w:pPr>
        <w:pStyle w:val="Heading2"/>
      </w:pPr>
      <w:r>
        <w:t>成本与实际案例</w:t>
      </w:r>
    </w:p>
    <w:p>
      <w:pPr>
        <w:spacing w:line="324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成本明细见cost_summary.csv、cost_raw_response_ledger.csv与stage_durations.csv；未提供实际账单或历史费率，金额未知。已知token包括有usage的失败/重试响应；缺失usage不能当0。局部服务器时长、成功请求时长、并行墙钟与GPU活跃时间不能混用。cached_policy_costs.csv为ResNet18首种子的两次代表性CPU缓存选样实测，不是全部模型均值；Random1000次与单次固定策略分别标明，不直接作速度排名。 diagnostic_cases.html同时展示原A冻结状态在新池的复现/未复现、同状态正确样本、高风险成功和VLM分歧。全状态支持、三种子差异和风险匹配差见state_case_metrics.csv。案例经结果筛选用于解释，不是独立假设检验或失败根因证明。</w:t>
      </w:r>
    </w:p>
    <w:p>
      <w:pPr>
        <w:pStyle w:val="Heading2"/>
      </w:pPr>
      <w:r>
        <w:t>有效性边界与结论</w:t>
      </w:r>
    </w:p>
    <w:p>
      <w:pPr>
        <w:spacing w:line="324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相对于当前五维风险评分的额外信息不等于控制全部难度；自动状态的可解释性不等于语义准确率。有限类别、8架构、数据来源与单目标分类限制泛化；旧VOC发现过程、预训练数据可能重叠均说明。 研究支持在所测固定模型与候选池中用视觉风险组织能力测试，并用状态诊断定位可复现的薄弱条件。Coverage相对风险匹配Random的混淆类型广度提供条件性证据；对强基线、统一表征错误簇的普遍优势仍未确立。</w:t>
      </w:r>
    </w:p>
    <w:p>
      <w:pPr>
        <w:pStyle w:val="Heading2"/>
      </w:pPr>
      <w:r>
        <w:t>与旧完整论文的关系</w:t>
      </w:r>
    </w:p>
    <w:p>
      <w:pPr>
        <w:spacing w:line="324" w:lineRule="auto" w:after="80"/>
        <w:ind w:firstLine="420"/>
      </w:pPr>
      <w:r>
        <w:rPr>
          <w:rFonts w:ascii="Times New Roman" w:hAnsi="Times New Roman" w:eastAsia="宋体"/>
          <w:b w:val="0"/>
          <w:sz w:val="21"/>
        </w:rPr>
        <w:t>本稿为增补后的证据与口径稿，旧完整论文保留文献和详细方法：/home/hcf/.codex/worktrees/2fec/QE/docs/visual_state_coverage_difficulty_stratified_paper_20261004.md 未增加未经核验的新文献、作者、资助或发表承诺。投稿前仍需把两稿合并、验证引用、补作者信息及目标期刊模板。</w:t>
      </w:r>
    </w:p>
    <w:sectPr w:rsidR="00FC693F" w:rsidRPr="0006063C" w:rsidSect="00034616">
      <w:footerReference w:type="default" r:id="rId9"/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