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基于视觉状态覆盖与风险分层的多类别图像分类模型测试：一项实证研究</w:t>
      </w:r>
    </w:p>
    <w:p>
      <w:pPr>
        <w:spacing w:line="324" w:lineRule="auto" w:after="80"/>
        <w:ind w:firstLine="420"/>
      </w:pPr>
      <w:r>
        <w:rPr>
          <w:rFonts w:ascii="Times New Roman" w:hAnsi="Times New Roman" w:eastAsia="宋体"/>
          <w:b w:val="0"/>
          <w:sz w:val="21"/>
        </w:rPr>
        <w:t>Visual-State Coverage and Risk-Stratified Testing of Multiclass Image Classifiers: An Empirical Study</w:t>
      </w:r>
    </w:p>
    <w:p>
      <w:pPr>
        <w:spacing w:line="324" w:lineRule="auto" w:after="80"/>
        <w:ind w:firstLine="420"/>
      </w:pPr>
      <w:r>
        <w:rPr>
          <w:rFonts w:ascii="Times New Roman" w:hAnsi="Times New Roman" w:eastAsia="宋体"/>
          <w:b w:val="0"/>
          <w:sz w:val="21"/>
        </w:rPr>
        <w:t>中文论文补强稿，2026年10月5日。纳入COCO、VOC2007、Objects365三池确认、标签分歧敏感性、完整池模型排名敏感性与官方属性参考核验；作者、单位及资助信息由作者后续填写。上一版整合稿保留，不覆盖原实验材料。</w:t>
      </w:r>
    </w:p>
    <w:p>
      <w:pPr>
        <w:pStyle w:val="Heading2"/>
      </w:pPr>
      <w:r>
        <w:t>摘要</w:t>
      </w:r>
    </w:p>
    <w:p>
      <w:pPr>
        <w:spacing w:line="324" w:lineRule="auto" w:after="80"/>
        <w:ind w:firstLine="420"/>
      </w:pPr>
      <w:r>
        <w:rPr>
          <w:rFonts w:ascii="Times New Roman" w:hAnsi="Times New Roman" w:eastAsia="宋体"/>
          <w:b w:val="0"/>
          <w:sz w:val="21"/>
        </w:rPr>
        <w:t>总体分类指标难以定位模型在特定视觉条件下的能力差异。本文研究有限枚举的视觉状态协议、类别内风险分层与覆盖驱动测试选样。我们使用本地与线上视觉语言模型分别描述固定目标，以目标尺度、可见性、遮挡、截断和朝向构造不读取分类器输出的风险层，并将风险与状态覆盖分开评价。六类分类任务采用1800个固定训练目标、八种ImageNet预训练架构和三个训练种子，冻结24份分类器权重，在COCO、VOC2007和Objects365的5400个确认目标上评测。</w:t>
      </w:r>
    </w:p>
    <w:p>
      <w:pPr>
        <w:spacing w:line="324" w:lineRule="auto" w:after="80"/>
        <w:ind w:firstLine="420"/>
      </w:pPr>
      <w:r>
        <w:rPr>
          <w:rFonts w:ascii="Times New Roman" w:hAnsi="Times New Roman" w:eastAsia="宋体"/>
          <w:b w:val="0"/>
          <w:sz w:val="21"/>
        </w:rPr>
        <w:t>三个确认池、两种自动标注下，全部24次运行的最高风险层Macro-F1均低于最低层，各池通过原定风险检验族校正；Objects365的两种平均降幅分别为41.80和41.25个百分点。此前冻结的薄弱状态在Objects365上多数保留低于类别平均的Recall方向。Coverage相对随机选样的诊断收益具有条件性。完整池的来源与unknown配置下，平均排名前两名保持一致，但源图重采样显示第二名仍有不确定性。严格风险字段一致筛选仅保留6.92%–9.33%的目标，无法完整评价六类高低层差异；逐字段一致子集中的多数可评价薄弱组合仍保持负向。官方二值属性参考进一步显示字段可靠性存在差异。结果支持在所评估的固定框六分类任务中使用自动视觉状态补充条件诊断，同时要求报告样本支持量、标注分歧和排名不确定性。</w:t>
      </w:r>
    </w:p>
    <w:p>
      <w:pPr>
        <w:spacing w:line="324" w:lineRule="auto" w:after="80"/>
        <w:ind w:firstLine="420"/>
      </w:pPr>
      <w:r>
        <w:rPr>
          <w:rFonts w:ascii="Times New Roman" w:hAnsi="Times New Roman" w:eastAsia="宋体"/>
          <w:b/>
          <w:sz w:val="21"/>
        </w:rPr>
        <w:t>关键词：</w:t>
      </w:r>
      <w:r>
        <w:rPr>
          <w:rFonts w:ascii="Times New Roman" w:hAnsi="Times New Roman" w:eastAsia="宋体"/>
          <w:b w:val="0"/>
          <w:sz w:val="21"/>
        </w:rPr>
        <w:t xml:space="preserve"> 深度学习测试；视觉状态覆盖；风险分层；多类别图像分类；模型能力诊断；视觉语言模型；实证研究</w:t>
      </w:r>
    </w:p>
    <w:p>
      <w:pPr>
        <w:pStyle w:val="Heading2"/>
      </w:pPr>
      <w:r>
        <w:t>Abstract</w:t>
      </w:r>
    </w:p>
    <w:p>
      <w:pPr>
        <w:spacing w:line="324" w:lineRule="auto" w:after="80"/>
        <w:ind w:firstLine="420"/>
      </w:pPr>
      <w:r>
        <w:rPr>
          <w:rFonts w:ascii="Times New Roman" w:hAnsi="Times New Roman" w:eastAsia="宋体"/>
          <w:b w:val="0"/>
          <w:sz w:val="21"/>
        </w:rPr>
        <w:t>Aggregate classification scores do not locate condition-specific model weaknesses. We study visual-state coverage and risk-stratified testing with a finite state protocol and two automatic vision-language annotators. Twenty-four classifiers, comprising eight ImageNet-pretrained architectures and three seeds, are trained on a fixed six-class dataset of 1,800 targets and remain frozen. Confirmation uses 5,400 targets from COCO, VOC2007, and Objects365. A predefined score uses scale, visibility, occlusion, truncation, and orientation without classifier outputs. In all three pools and under both annotators, every run has lower Macro-F1 in the highest-risk stratum than in the lowest; the original within-pool risk-test families retain significance. Mean decreases on Objects365 are 41.80 and 41.25 percentage points, and most evaluable frozen weak-state/model combinations retain negative Recall gaps. Coverage selection offers conditional diagnostic gains over random selection. Full-pool rankings retain the same top two under annotation-source and unknown-handling changes, while image resampling exposes uncertainty in second place. Strict risk-field agreement retains only 6.92%–9.33% of targets, preventing a complete six-class extreme-stratum comparison. Most evaluable weak conditions retain negative directions under field-specific agreement filtering; binary official-reference checks show field-dependent reliability. These findings support automatic visual states as condition-diagnostic evidence in the evaluated fixed-box classification setting, with explicit reporting of support, annotation disagreement, and ranking uncertainty.</w:t>
      </w:r>
    </w:p>
    <w:p>
      <w:pPr>
        <w:pStyle w:val="Heading2"/>
      </w:pPr>
      <w:r>
        <w:t>1 引言</w:t>
      </w:r>
    </w:p>
    <w:p>
      <w:pPr>
        <w:spacing w:line="324" w:lineRule="auto" w:after="80"/>
        <w:ind w:firstLine="420"/>
      </w:pPr>
      <w:r>
        <w:rPr>
          <w:rFonts w:ascii="Times New Roman" w:hAnsi="Times New Roman" w:eastAsia="宋体"/>
          <w:b w:val="0"/>
          <w:sz w:val="21"/>
        </w:rPr>
        <w:t>一个分类器在测试集上取得较高F1，说明它在该测试集合的样本构成下具有较好的平均表现，却不直接回答它是否见过背向目标、严重模糊、局部可见或小尺度目标。当这些条件在测试集中比例很低时，总体指标可能同时混合典型条件下的成功与少数条件下的失败。模型测试因此需要进一步回答：已经测试了哪些视觉条件，不同条件下的性能差异有多大，以及哪些薄弱条件能够在新样本上复现。</w:t>
      </w:r>
    </w:p>
    <w:p>
      <w:pPr>
        <w:spacing w:line="324" w:lineRule="auto" w:after="80"/>
        <w:ind w:firstLine="420"/>
      </w:pPr>
      <w:r>
        <w:rPr>
          <w:rFonts w:ascii="Times New Roman" w:hAnsi="Times New Roman" w:eastAsia="宋体"/>
          <w:b w:val="0"/>
          <w:sz w:val="21"/>
        </w:rPr>
        <w:t>深度学习测试已提出网络内部覆盖、基于训练行为差异的充分性度量，以及输入多样性选样等方法。DeepXplore和DeepGauge从内部活动描述测试覆盖，Surprise Adequacy从测试输入与训练行为的差异构造充分性依据。相关实证研究也表明，覆盖指标的增长不能自动等价为更有效的错误揭示。因此，覆盖指标需要与实际测试结果分别评价。</w:t>
      </w:r>
      <w:r>
        <w:rPr>
          <w:rFonts w:ascii="Times New Roman" w:hAnsi="Times New Roman" w:eastAsia="宋体"/>
          <w:b w:val="0"/>
          <w:sz w:val="21"/>
        </w:rPr>
        <w:t>DeepXplore（https://arxiv.org/abs/1705.06640）</w:t>
      </w:r>
      <w:r>
        <w:rPr>
          <w:rFonts w:ascii="Times New Roman" w:hAnsi="Times New Roman" w:eastAsia="宋体"/>
          <w:b w:val="0"/>
          <w:sz w:val="21"/>
        </w:rPr>
        <w:t>、</w:t>
      </w:r>
      <w:r>
        <w:rPr>
          <w:rFonts w:ascii="Times New Roman" w:hAnsi="Times New Roman" w:eastAsia="宋体"/>
          <w:b w:val="0"/>
          <w:sz w:val="21"/>
        </w:rPr>
        <w:t>DeepGauge（https://arxiv.org/abs/1803.07519）</w:t>
      </w:r>
      <w:r>
        <w:rPr>
          <w:rFonts w:ascii="Times New Roman" w:hAnsi="Times New Roman" w:eastAsia="宋体"/>
          <w:b w:val="0"/>
          <w:sz w:val="21"/>
        </w:rPr>
        <w:t>、</w:t>
      </w:r>
      <w:r>
        <w:rPr>
          <w:rFonts w:ascii="Times New Roman" w:hAnsi="Times New Roman" w:eastAsia="宋体"/>
          <w:b w:val="0"/>
          <w:sz w:val="21"/>
        </w:rPr>
        <w:t>Surprise Adequacy（https://arxiv.org/abs/1808.08444）</w:t>
      </w:r>
      <w:r>
        <w:rPr>
          <w:rFonts w:ascii="Times New Roman" w:hAnsi="Times New Roman" w:eastAsia="宋体"/>
          <w:b w:val="0"/>
          <w:sz w:val="21"/>
        </w:rPr>
        <w:t>、</w:t>
      </w:r>
      <w:r>
        <w:rPr>
          <w:rFonts w:ascii="Times New Roman" w:hAnsi="Times New Roman" w:eastAsia="宋体"/>
          <w:b w:val="0"/>
          <w:sz w:val="21"/>
        </w:rPr>
        <w:t>神经元覆盖实证研究（https://fabrice.harel-canada.com/publication/neuron-coverage-eval/neuron-coverage-eval.pdf）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本文关注能够通过图片直接描述的类别内部状态。我们将“测试条件是否充分出现”与“测试条件是否困难”分开：视觉状态覆盖记录状态出现及证据数量；视觉风险评分用于组织相对困难的测试层。较高覆盖可以来自新增常见条件，也可以来自新增困难条件，因而不能要求覆盖提高时F1必然降低。另一方面，测试集改变后测得F1的下降也不意味着模型本身退化，因为被测权重始终保持不变。</w:t>
      </w:r>
    </w:p>
    <w:p>
      <w:pPr>
        <w:spacing w:line="324" w:lineRule="auto" w:after="80"/>
        <w:ind w:firstLine="420"/>
      </w:pPr>
      <w:r>
        <w:rPr>
          <w:rFonts w:ascii="Times New Roman" w:hAnsi="Times New Roman" w:eastAsia="宋体"/>
          <w:b w:val="0"/>
          <w:sz w:val="21"/>
        </w:rPr>
        <w:t>据此，本文的核心论点是：基于预定义可见视觉状态的风险分层测试，可以揭示固定分类器在不同视觉条件下的能力差异，并为总体性能指标提供更细致的诊断信息。我们进一步检验覆盖选样能否在控制样本预算、风险构成与错误数量后提供额外诊断收益，而不将全面优越性作为研究成立的前提。</w:t>
      </w:r>
    </w:p>
    <w:p>
      <w:pPr>
        <w:spacing w:line="324" w:lineRule="auto" w:after="80"/>
        <w:ind w:firstLine="420"/>
      </w:pPr>
      <w:r>
        <w:rPr>
          <w:rFonts w:ascii="Times New Roman" w:hAnsi="Times New Roman" w:eastAsia="宋体"/>
          <w:b w:val="0"/>
          <w:sz w:val="21"/>
        </w:rPr>
        <w:t>对照实验用于界定这种诊断收益的条件范围。本文不要求Coverage全面优于其他选样策略；研究主线是测试条件组织、模型能力差异及其对自动标注定义的敏感性。</w:t>
      </w:r>
    </w:p>
    <w:p>
      <w:pPr>
        <w:spacing w:line="324" w:lineRule="auto" w:after="80"/>
        <w:ind w:firstLine="420"/>
      </w:pPr>
      <w:r>
        <w:rPr>
          <w:rFonts w:ascii="Times New Roman" w:hAnsi="Times New Roman" w:eastAsia="宋体"/>
          <w:b w:val="0"/>
          <w:sz w:val="21"/>
        </w:rPr>
        <w:t>本文围绕四个研究问题展开。</w:t>
      </w:r>
    </w:p>
    <w:p>
      <w:pPr>
        <w:pStyle w:val="ListNumber"/>
      </w:pPr>
      <w:r>
        <w:rPr>
          <w:rFonts w:ascii="Times New Roman" w:hAnsi="Times New Roman" w:eastAsia="宋体"/>
          <w:b/>
          <w:sz w:val="21"/>
        </w:rPr>
        <w:t>RQ1：预定义视觉风险分层能否区分固定分类器的测得性能，并在新样本及独立数据来源上复现？</w:t>
      </w:r>
    </w:p>
    <w:p>
      <w:pPr>
        <w:pStyle w:val="ListNumber"/>
      </w:pPr>
      <w:r>
        <w:rPr>
          <w:rFonts w:ascii="Times New Roman" w:hAnsi="Times New Roman" w:eastAsia="宋体"/>
          <w:b/>
          <w:sz w:val="21"/>
        </w:rPr>
        <w:t>RQ2：逐步扩展测试集时，状态覆盖、独立新增批次性能和累计性能呈现何种关系？</w:t>
      </w:r>
    </w:p>
    <w:p>
      <w:pPr>
        <w:pStyle w:val="ListNumber"/>
      </w:pPr>
      <w:r>
        <w:rPr>
          <w:rFonts w:ascii="Times New Roman" w:hAnsi="Times New Roman" w:eastAsia="宋体"/>
          <w:b/>
          <w:sz w:val="21"/>
        </w:rPr>
        <w:t>RQ3：覆盖驱动选样在共同风险配额、等错误数及精确风险匹配控制下，是否增加失败类型的诊断广度？</w:t>
      </w:r>
    </w:p>
    <w:p>
      <w:pPr>
        <w:pStyle w:val="ListNumber"/>
      </w:pPr>
      <w:r>
        <w:rPr>
          <w:rFonts w:ascii="Times New Roman" w:hAnsi="Times New Roman" w:eastAsia="宋体"/>
          <w:b/>
          <w:sz w:val="21"/>
        </w:rPr>
        <w:t>RQ4：模型在高风险条件下的能力和具体薄弱状态有何差异，状态诊断能否在新样本上复现？</w:t>
      </w:r>
    </w:p>
    <w:p>
      <w:pPr>
        <w:spacing w:line="324" w:lineRule="auto" w:after="80"/>
        <w:ind w:firstLine="420"/>
      </w:pPr>
      <w:r>
        <w:rPr>
          <w:rFonts w:ascii="Times New Roman" w:hAnsi="Times New Roman" w:eastAsia="宋体"/>
          <w:b w:val="0"/>
          <w:sz w:val="21"/>
        </w:rPr>
        <w:t>本文的贡献包括三个方面。首先，给出固定目标、共享视觉状态、频次覆盖和类别内风险分层组成的测试组织协议，使测试条件可以明确记录和复算。其次，在固定模型、类别平衡和双自动标注器条件下，提供风险层性能差异及跨来源确认的实证证据。最后，通过共同风险配额、逐类别等错误数和状态迁移分析，区分覆盖选样的条件性诊断收益与尚未获得支持的泛化结论。本文的贡献定位于测试协议与实证诊断，不提出新的分类器或训练增强算法。</w:t>
      </w:r>
    </w:p>
    <w:p>
      <w:pPr>
        <w:pStyle w:val="Heading2"/>
      </w:pPr>
      <w:r>
        <w:t>2 相关工作</w:t>
      </w:r>
    </w:p>
    <w:p>
      <w:pPr>
        <w:pStyle w:val="Heading3"/>
      </w:pPr>
      <w:r>
        <w:t>2.1 覆盖指标与测试充分性</w:t>
      </w:r>
    </w:p>
    <w:p>
      <w:pPr>
        <w:spacing w:line="324" w:lineRule="auto" w:after="80"/>
        <w:ind w:firstLine="420"/>
      </w:pPr>
      <w:r>
        <w:rPr>
          <w:rFonts w:ascii="Times New Roman" w:hAnsi="Times New Roman" w:eastAsia="宋体"/>
          <w:b w:val="0"/>
          <w:sz w:val="21"/>
        </w:rPr>
        <w:t>DeepXplore将神经元覆盖与模型差分行为结合用于测试生成；DeepGauge提出多个粒度的测试覆盖标准。两者主要从网络内部活动描述测试执行情况。本文采用外部可见状态，关注测试者能够理解的遮挡、可见性、朝向与场景等条件，而不将外部状态覆盖解释为网络内部逻辑覆盖。</w:t>
      </w:r>
      <w:r>
        <w:rPr>
          <w:rFonts w:ascii="Times New Roman" w:hAnsi="Times New Roman" w:eastAsia="宋体"/>
          <w:b w:val="0"/>
          <w:sz w:val="21"/>
        </w:rPr>
        <w:t>DeepXplore（https://arxiv.org/abs/1705.06640）</w:t>
      </w:r>
      <w:r>
        <w:rPr>
          <w:rFonts w:ascii="Times New Roman" w:hAnsi="Times New Roman" w:eastAsia="宋体"/>
          <w:b w:val="0"/>
          <w:sz w:val="21"/>
        </w:rPr>
        <w:t>、</w:t>
      </w:r>
      <w:r>
        <w:rPr>
          <w:rFonts w:ascii="Times New Roman" w:hAnsi="Times New Roman" w:eastAsia="宋体"/>
          <w:b w:val="0"/>
          <w:sz w:val="21"/>
        </w:rPr>
        <w:t>DeepGauge（https://arxiv.org/abs/1803.07519）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Harel-Canada等在其研究设置下发现，提高神经元覆盖并没有带来更有效的测试集，且可能伴随更少的缺陷揭示和更强的预测偏向。该结果不能直接外推到本文的视觉状态指标，但说明“覆盖提高即测试更好”需要独立验证。本文分别报告状态证据、分类性能和诊断广度，而不以覆盖数值代替有效性评价。</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Input Distribution Coverage使用输入分布的潜在表征与特征交互衡量充分性。本文与其共享输入条件覆盖这一问题方向，但当前只统计明确枚举的单字段状态边际覆盖，不计算完整的组合交互覆盖。因此，本文没有证明全部状态组合已经被充分测试。</w:t>
      </w:r>
      <w:r>
        <w:rPr>
          <w:rFonts w:ascii="Times New Roman" w:hAnsi="Times New Roman" w:eastAsia="宋体"/>
          <w:b w:val="0"/>
          <w:sz w:val="21"/>
        </w:rPr>
        <w:t>论文DOI（https://doi.org/10.1145/3576040）</w:t>
      </w:r>
      <w:r>
        <w:rPr>
          <w:rFonts w:ascii="Times New Roman" w:hAnsi="Times New Roman" w:eastAsia="宋体"/>
          <w:b w:val="0"/>
          <w:sz w:val="21"/>
        </w:rPr>
        <w:t>、</w:t>
      </w:r>
      <w:r>
        <w:rPr>
          <w:rFonts w:ascii="Times New Roman" w:hAnsi="Times New Roman" w:eastAsia="宋体"/>
          <w:b w:val="0"/>
          <w:sz w:val="21"/>
        </w:rPr>
        <w:t>作者学位论文第5章中的方法说明（https://www.cs.virginia.edu/~soffa/research/dissertations/swaroopa_thesis.pdf）</w:t>
      </w:r>
      <w:r>
        <w:rPr>
          <w:rFonts w:ascii="Times New Roman" w:hAnsi="Times New Roman" w:eastAsia="宋体"/>
          <w:b w:val="0"/>
          <w:sz w:val="21"/>
        </w:rPr>
        <w:t>。</w:t>
      </w:r>
    </w:p>
    <w:p>
      <w:pPr>
        <w:pStyle w:val="Heading3"/>
      </w:pPr>
      <w:r>
        <w:t>2.2 测试优先级与输入多样性</w:t>
      </w:r>
    </w:p>
    <w:p>
      <w:pPr>
        <w:spacing w:line="324" w:lineRule="auto" w:after="80"/>
        <w:ind w:firstLine="420"/>
      </w:pPr>
      <w:r>
        <w:rPr>
          <w:rFonts w:ascii="Times New Roman" w:hAnsi="Times New Roman" w:eastAsia="宋体"/>
          <w:b w:val="0"/>
          <w:sz w:val="21"/>
        </w:rPr>
        <w:t>Surprise Adequacy依据测试输入相对训练行为的差异组织测试；DeepGini通过分类输出概率的不纯度优先选择可能误分类的样本。Core-set研究从表征几何角度选择数据子集。本文分别使用距离型Surprise Adequacy、DeepGini和冻结ViT表征上的贪心k-center作为对照，比较它们与可解释状态选样的诊断表现。</w:t>
      </w:r>
      <w:r>
        <w:rPr>
          <w:rFonts w:ascii="Times New Roman" w:hAnsi="Times New Roman" w:eastAsia="宋体"/>
          <w:b w:val="0"/>
          <w:sz w:val="21"/>
        </w:rPr>
        <w:t>Surprise Adequacy（https://arxiv.org/abs/1808.08444）</w:t>
      </w:r>
      <w:r>
        <w:rPr>
          <w:rFonts w:ascii="Times New Roman" w:hAnsi="Times New Roman" w:eastAsia="宋体"/>
          <w:b w:val="0"/>
          <w:sz w:val="21"/>
        </w:rPr>
        <w:t>、</w:t>
      </w:r>
      <w:r>
        <w:rPr>
          <w:rFonts w:ascii="Times New Roman" w:hAnsi="Times New Roman" w:eastAsia="宋体"/>
          <w:b w:val="0"/>
          <w:sz w:val="21"/>
        </w:rPr>
        <w:t>DeepGini（https://arxiv.org/abs/1903.00661）</w:t>
      </w:r>
      <w:r>
        <w:rPr>
          <w:rFonts w:ascii="Times New Roman" w:hAnsi="Times New Roman" w:eastAsia="宋体"/>
          <w:b w:val="0"/>
          <w:sz w:val="21"/>
        </w:rPr>
        <w:t>、</w:t>
      </w:r>
      <w:r>
        <w:rPr>
          <w:rFonts w:ascii="Times New Roman" w:hAnsi="Times New Roman" w:eastAsia="宋体"/>
          <w:b w:val="0"/>
          <w:sz w:val="21"/>
        </w:rPr>
        <w:t>Core-set（https://arxiv.org/abs/1708.00489）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黑盒输入多样性研究已经评价输入表征多样性与错误揭示的关系。DeepGD进一步同时考虑预测不确定性与不同失败的多样性。因此，发现不同失败类型并非本文首次提出的目标。本文的具体研究边界在于可解释视觉状态、类别内风险组织、双标注来源，以及逐真实类别等错误数的诊断控制。DeepGD尚未纳入本文的直接实验，本文不对其作性能比较。</w:t>
      </w:r>
      <w:r>
        <w:rPr>
          <w:rFonts w:ascii="Times New Roman" w:hAnsi="Times New Roman" w:eastAsia="宋体"/>
          <w:b w:val="0"/>
          <w:sz w:val="21"/>
        </w:rPr>
        <w:t>黑盒多样性研究（https://arxiv.org/abs/2112.12591）</w:t>
      </w:r>
      <w:r>
        <w:rPr>
          <w:rFonts w:ascii="Times New Roman" w:hAnsi="Times New Roman" w:eastAsia="宋体"/>
          <w:b w:val="0"/>
          <w:sz w:val="21"/>
        </w:rPr>
        <w:t>、</w:t>
      </w:r>
      <w:r>
        <w:rPr>
          <w:rFonts w:ascii="Times New Roman" w:hAnsi="Times New Roman" w:eastAsia="宋体"/>
          <w:b w:val="0"/>
          <w:sz w:val="21"/>
        </w:rPr>
        <w:t>DeepGD（https://arxiv.org/abs/2303.04878）</w:t>
      </w:r>
      <w:r>
        <w:rPr>
          <w:rFonts w:ascii="Times New Roman" w:hAnsi="Times New Roman" w:eastAsia="宋体"/>
          <w:b w:val="0"/>
          <w:sz w:val="21"/>
        </w:rPr>
        <w:t>。</w:t>
      </w:r>
    </w:p>
    <w:p>
      <w:pPr>
        <w:pStyle w:val="Heading3"/>
      </w:pPr>
      <w:r>
        <w:t>2.3 本文的实证定位</w:t>
      </w:r>
    </w:p>
    <w:p>
      <w:pPr>
        <w:spacing w:line="324" w:lineRule="auto" w:after="80"/>
        <w:ind w:firstLine="420"/>
      </w:pPr>
      <w:r>
        <w:rPr>
          <w:rFonts w:ascii="Times New Roman" w:hAnsi="Times New Roman" w:eastAsia="宋体"/>
          <w:b w:val="0"/>
          <w:sz w:val="21"/>
        </w:rPr>
        <w:t>本文不以“高风险条件更难”这一预期现象单独作为算法创新。我们检验的是：一组无需分类器输出定义的可见风险条件，是否在多个被测模型和另一数据来源上形成一致的性能差异；在这种风险组织已经存在时，状态覆盖选样还能增加多少诊断信息。通过同时保留正结果、负结果和支持不足的状态，本文提供的是方法适用性的经验依据，而不是通用最优选样结论。</w:t>
      </w:r>
    </w:p>
    <w:p>
      <w:pPr>
        <w:pStyle w:val="Heading2"/>
      </w:pPr>
      <w:r>
        <w:t>3 方法</w:t>
      </w:r>
    </w:p>
    <w:p>
      <w:pPr>
        <w:pStyle w:val="Heading3"/>
      </w:pPr>
      <w:r>
        <w:t>3.1 问题定义与信息边界</w:t>
      </w:r>
    </w:p>
    <w:p>
      <w:pPr>
        <w:spacing w:line="324" w:lineRule="auto" w:after="80"/>
        <w:ind w:firstLine="420"/>
      </w:pPr>
      <w:r>
        <w:rPr>
          <w:rFonts w:ascii="Times New Roman" w:hAnsi="Times New Roman" w:eastAsia="宋体"/>
          <w:b w:val="0"/>
          <w:sz w:val="21"/>
        </w:rPr>
        <w:t>被测任务为固定目标区域的六类别分类。类别集合为dog、cat、horse、sheep、person和car。一个样本由源图、预先确定的目标框及官方目标类别构成；分类器输入为目标框裁剪图，输出六类之一。对于新候选图像，目标框由标注程序确定，不由VLM或分类器自行选择。</w:t>
      </w:r>
    </w:p>
    <w:p>
      <w:pPr>
        <w:spacing w:line="324" w:lineRule="auto" w:after="80"/>
        <w:ind w:firstLine="420"/>
      </w:pPr>
      <w:r>
        <w:rPr>
          <w:rFonts w:ascii="Times New Roman" w:hAnsi="Times New Roman" w:eastAsia="宋体"/>
          <w:b w:val="0"/>
          <w:sz w:val="21"/>
        </w:rPr>
        <w:t>训练完成后冻结分类器参数。测试阶段改变的是测试目标及其组织方式，不增加训练样本，也不重新训练分类器。对同一图片，线上与本地状态标签改变的是风险层和选样结果，分类器预测保持相同。</w:t>
      </w:r>
    </w:p>
    <w:p>
      <w:pPr>
        <w:spacing w:line="324" w:lineRule="auto" w:after="80"/>
        <w:ind w:firstLine="420"/>
      </w:pPr>
      <w:r>
        <w:rPr>
          <w:rFonts w:ascii="Times New Roman" w:hAnsi="Times New Roman" w:eastAsia="宋体"/>
          <w:b w:val="0"/>
          <w:sz w:val="21"/>
        </w:rPr>
        <w:t>流程可概括为：固定目标与模型 → 双VLM状态标注 → 建立状态宇宙与风险层 → 按预算选样 → 分类器评测 → 状态诊断与新池确认。分类真值来自数据集类别标注；VLM生成的是视觉状态描述，不作为分类真值。</w:t>
      </w:r>
    </w:p>
    <w:p>
      <w:pPr>
        <w:pStyle w:val="Heading3"/>
      </w:pPr>
      <w:r>
        <w:t>3.2 双VLM视觉状态标注</w:t>
      </w:r>
    </w:p>
    <w:p>
      <w:pPr>
        <w:spacing w:line="324" w:lineRule="auto" w:after="80"/>
        <w:ind w:firstLine="420"/>
      </w:pPr>
      <w:r>
        <w:rPr>
          <w:rFonts w:ascii="Times New Roman" w:hAnsi="Times New Roman" w:eastAsia="宋体"/>
          <w:b w:val="0"/>
          <w:sz w:val="21"/>
        </w:rPr>
        <w:t>本地标注器为</w:t>
      </w:r>
      <w:r>
        <w:rPr>
          <w:rFonts w:ascii="Consolas" w:hAnsi="Consolas" w:eastAsia="宋体"/>
          <w:b w:val="0"/>
          <w:sz w:val="21"/>
        </w:rPr>
        <w:t>qwen3-vl:30b-a3b-instruct</w:t>
      </w:r>
      <w:r>
        <w:rPr>
          <w:rFonts w:ascii="Times New Roman" w:hAnsi="Times New Roman" w:eastAsia="宋体"/>
          <w:b w:val="0"/>
          <w:sz w:val="21"/>
        </w:rPr>
        <w:t>，线上标注器为</w:t>
      </w:r>
      <w:r>
        <w:rPr>
          <w:rFonts w:ascii="Consolas" w:hAnsi="Consolas" w:eastAsia="宋体"/>
          <w:b w:val="0"/>
          <w:sz w:val="21"/>
        </w:rPr>
        <w:t>sensenova-6.8-flash-lite</w:t>
      </w:r>
      <w:r>
        <w:rPr>
          <w:rFonts w:ascii="Times New Roman" w:hAnsi="Times New Roman" w:eastAsia="宋体"/>
          <w:b w:val="0"/>
          <w:sz w:val="21"/>
        </w:rPr>
        <w:t>。每个标注请求提供原图、A框标记图及A框放大裁剪图。状态标注提示中包含目标类别，因而属于类别条件下的状态描述，并非隐藏类别的识别实验。</w:t>
      </w:r>
    </w:p>
    <w:p>
      <w:pPr>
        <w:spacing w:line="324" w:lineRule="auto" w:after="80"/>
        <w:ind w:firstLine="420"/>
      </w:pPr>
      <w:r>
        <w:rPr>
          <w:rFonts w:ascii="Times New Roman" w:hAnsi="Times New Roman" w:eastAsia="宋体"/>
          <w:b w:val="0"/>
          <w:sz w:val="21"/>
        </w:rPr>
        <w:t>类别原生协议分别保留19项通用对象字段和18项car字段；跨类别主分析映射到14项共享字段，另由程序计算目标尺度。共享字段如下。</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状态组</w:t>
            </w:r>
          </w:p>
        </w:tc>
        <w:tc>
          <w:tcPr>
            <w:tcW w:type="dxa" w:w="4703"/>
            <w:shd w:fill="D9EAF7"/>
          </w:tcPr>
          <w:p>
            <w:pPr>
              <w:spacing w:after="0"/>
            </w:pPr>
            <w:r>
              <w:rPr>
                <w:rFonts w:ascii="Times New Roman" w:hAnsi="Times New Roman" w:eastAsia="宋体"/>
                <w:b/>
                <w:sz w:val="17"/>
              </w:rPr>
              <w:t>主分析字段</w:t>
            </w:r>
          </w:p>
        </w:tc>
      </w:tr>
      <w:tr>
        <w:tc>
          <w:tcPr>
            <w:tcW w:type="dxa" w:w="4703"/>
          </w:tcPr>
          <w:p>
            <w:pPr>
              <w:spacing w:after="0"/>
            </w:pPr>
            <w:r>
              <w:rPr>
                <w:rFonts w:ascii="Times New Roman" w:hAnsi="Times New Roman" w:eastAsia="宋体"/>
                <w:b w:val="0"/>
                <w:sz w:val="17"/>
              </w:rPr>
              <w:t>可见性与方向</w:t>
            </w:r>
          </w:p>
        </w:tc>
        <w:tc>
          <w:tcPr>
            <w:tcW w:type="dxa" w:w="4703"/>
          </w:tcPr>
          <w:p>
            <w:pPr>
              <w:spacing w:after="0"/>
            </w:pPr>
            <w:r>
              <w:rPr>
                <w:rFonts w:ascii="Times New Roman" w:hAnsi="Times New Roman" w:eastAsia="宋体"/>
                <w:b w:val="0"/>
                <w:sz w:val="17"/>
              </w:rPr>
              <w:t>身体可见性、身体朝向</w:t>
            </w:r>
          </w:p>
        </w:tc>
      </w:tr>
      <w:tr>
        <w:tc>
          <w:tcPr>
            <w:tcW w:type="dxa" w:w="4703"/>
          </w:tcPr>
          <w:p>
            <w:pPr>
              <w:spacing w:after="0"/>
            </w:pPr>
            <w:r>
              <w:rPr>
                <w:rFonts w:ascii="Times New Roman" w:hAnsi="Times New Roman" w:eastAsia="宋体"/>
                <w:b w:val="0"/>
                <w:sz w:val="17"/>
              </w:rPr>
              <w:t>遮挡与截断</w:t>
            </w:r>
          </w:p>
        </w:tc>
        <w:tc>
          <w:tcPr>
            <w:tcW w:type="dxa" w:w="4703"/>
          </w:tcPr>
          <w:p>
            <w:pPr>
              <w:spacing w:after="0"/>
            </w:pPr>
            <w:r>
              <w:rPr>
                <w:rFonts w:ascii="Times New Roman" w:hAnsi="Times New Roman" w:eastAsia="宋体"/>
                <w:b w:val="0"/>
                <w:sz w:val="17"/>
              </w:rPr>
              <w:t>遮挡程度、遮挡物类型、截断程度</w:t>
            </w:r>
          </w:p>
        </w:tc>
      </w:tr>
      <w:tr>
        <w:tc>
          <w:tcPr>
            <w:tcW w:type="dxa" w:w="4703"/>
          </w:tcPr>
          <w:p>
            <w:pPr>
              <w:spacing w:after="0"/>
            </w:pPr>
            <w:r>
              <w:rPr>
                <w:rFonts w:ascii="Times New Roman" w:hAnsi="Times New Roman" w:eastAsia="宋体"/>
                <w:b w:val="0"/>
                <w:sz w:val="17"/>
              </w:rPr>
              <w:t>群体与交互</w:t>
            </w:r>
          </w:p>
        </w:tc>
        <w:tc>
          <w:tcPr>
            <w:tcW w:type="dxa" w:w="4703"/>
          </w:tcPr>
          <w:p>
            <w:pPr>
              <w:spacing w:after="0"/>
            </w:pPr>
            <w:r>
              <w:rPr>
                <w:rFonts w:ascii="Times New Roman" w:hAnsi="Times New Roman" w:eastAsia="宋体"/>
                <w:b w:val="0"/>
                <w:sz w:val="17"/>
              </w:rPr>
              <w:t>群体关系、交互关系</w:t>
            </w:r>
          </w:p>
        </w:tc>
      </w:tr>
      <w:tr>
        <w:tc>
          <w:tcPr>
            <w:tcW w:type="dxa" w:w="4703"/>
          </w:tcPr>
          <w:p>
            <w:pPr>
              <w:spacing w:after="0"/>
            </w:pPr>
            <w:r>
              <w:rPr>
                <w:rFonts w:ascii="Times New Roman" w:hAnsi="Times New Roman" w:eastAsia="宋体"/>
                <w:b w:val="0"/>
                <w:sz w:val="17"/>
              </w:rPr>
              <w:t>场景与成像</w:t>
            </w:r>
          </w:p>
        </w:tc>
        <w:tc>
          <w:tcPr>
            <w:tcW w:type="dxa" w:w="4703"/>
          </w:tcPr>
          <w:p>
            <w:pPr>
              <w:spacing w:after="0"/>
            </w:pPr>
            <w:r>
              <w:rPr>
                <w:rFonts w:ascii="Times New Roman" w:hAnsi="Times New Roman" w:eastAsia="宋体"/>
                <w:b w:val="0"/>
                <w:sz w:val="17"/>
              </w:rPr>
              <w:t>场景、背景复杂度、模糊程度、照明、目标背景对比</w:t>
            </w:r>
          </w:p>
        </w:tc>
      </w:tr>
      <w:tr>
        <w:tc>
          <w:tcPr>
            <w:tcW w:type="dxa" w:w="4703"/>
          </w:tcPr>
          <w:p>
            <w:pPr>
              <w:spacing w:after="0"/>
            </w:pPr>
            <w:r>
              <w:rPr>
                <w:rFonts w:ascii="Times New Roman" w:hAnsi="Times New Roman" w:eastAsia="宋体"/>
                <w:b w:val="0"/>
                <w:sz w:val="17"/>
              </w:rPr>
              <w:t>目标呈现</w:t>
            </w:r>
          </w:p>
        </w:tc>
        <w:tc>
          <w:tcPr>
            <w:tcW w:type="dxa" w:w="4703"/>
          </w:tcPr>
          <w:p>
            <w:pPr>
              <w:spacing w:after="0"/>
            </w:pPr>
            <w:r>
              <w:rPr>
                <w:rFonts w:ascii="Times New Roman" w:hAnsi="Times New Roman" w:eastAsia="宋体"/>
                <w:b w:val="0"/>
                <w:sz w:val="17"/>
              </w:rPr>
              <w:t>可识别性、视觉呈现形式</w:t>
            </w:r>
          </w:p>
        </w:tc>
      </w:tr>
      <w:tr>
        <w:tc>
          <w:tcPr>
            <w:tcW w:type="dxa" w:w="4703"/>
          </w:tcPr>
          <w:p>
            <w:pPr>
              <w:spacing w:after="0"/>
            </w:pPr>
            <w:r>
              <w:rPr>
                <w:rFonts w:ascii="Times New Roman" w:hAnsi="Times New Roman" w:eastAsia="宋体"/>
                <w:b w:val="0"/>
                <w:sz w:val="17"/>
              </w:rPr>
              <w:t>程序字段</w:t>
            </w:r>
          </w:p>
        </w:tc>
        <w:tc>
          <w:tcPr>
            <w:tcW w:type="dxa" w:w="4703"/>
          </w:tcPr>
          <w:p>
            <w:pPr>
              <w:spacing w:after="0"/>
            </w:pPr>
            <w:r>
              <w:rPr>
                <w:rFonts w:ascii="Times New Roman" w:hAnsi="Times New Roman" w:eastAsia="宋体"/>
                <w:b w:val="0"/>
                <w:sz w:val="17"/>
              </w:rPr>
              <w:t>目标框面积占原图比例对应的尺度状态</w:t>
            </w:r>
          </w:p>
        </w:tc>
      </w:tr>
    </w:tbl>
    <w:p/>
    <w:p>
      <w:pPr>
        <w:spacing w:line="324" w:lineRule="auto" w:after="80"/>
        <w:ind w:firstLine="420"/>
      </w:pPr>
      <w:r>
        <w:rPr>
          <w:rFonts w:ascii="Times New Roman" w:hAnsi="Times New Roman" w:eastAsia="宋体"/>
          <w:b w:val="0"/>
          <w:sz w:val="21"/>
        </w:rPr>
        <w:t>状态采用有限枚举；不可判断时保留</w:t>
      </w:r>
      <w:r>
        <w:rPr>
          <w:rFonts w:ascii="Consolas" w:hAnsi="Consolas" w:eastAsia="宋体"/>
          <w:b w:val="0"/>
          <w:sz w:val="21"/>
        </w:rPr>
        <w:t>unknown</w:t>
      </w:r>
      <w:r>
        <w:rPr>
          <w:rFonts w:ascii="Times New Roman" w:hAnsi="Times New Roman" w:eastAsia="宋体"/>
          <w:b w:val="0"/>
          <w:sz w:val="21"/>
        </w:rPr>
        <w:t>。字段、枚举与值类型通过结构校验后进入分析。严格有效响应只证明格式符合协议，不证明语义标签完全正确。本文未取得人工状态真值，两种自动标注结果分别分析，用于检查来源敏感性。</w:t>
      </w:r>
    </w:p>
    <w:p>
      <w:pPr>
        <w:spacing w:line="324" w:lineRule="auto" w:after="80"/>
        <w:ind w:firstLine="420"/>
      </w:pPr>
      <w:r>
        <w:rPr>
          <w:rFonts w:ascii="Times New Roman" w:hAnsi="Times New Roman" w:eastAsia="宋体"/>
          <w:b w:val="0"/>
          <w:sz w:val="21"/>
        </w:rPr>
        <w:t>后续自动核对将历史A的2289个Open Images目标与框级遮挡/截断属性作预定二值归并对照。本地/线上的遮挡参考一致率为61.16%/66.07%，截断为67.50%/79.62%；unknown单独排除并报告。官方0/1属性与枚举严重度的语义不同，这些是部分字段参考一致性，不是所有状态准确率。遮挡分歧尤其明显，不能将严格结构校验称为高语义准确率。</w:t>
      </w:r>
      <w:r>
        <w:rPr>
          <w:rFonts w:ascii="Times New Roman" w:hAnsi="Times New Roman" w:eastAsia="宋体"/>
          <w:b w:val="0"/>
          <w:sz w:val="21"/>
        </w:rPr>
        <w:t>自动核对结果（/home/hcf/.codex/worktrees/2fec/QE/docs/visual_state_automatic_evidence_update_20261005.md）</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目标尺度来自原始图像中的目标框面积比，不来自放大后的裁剪尺寸。它描述原图的目标尺度条件，不能独立代表裁剪中保留的纹理信息或分类器实际输入的信息量。</w:t>
      </w:r>
    </w:p>
    <w:p>
      <w:pPr>
        <w:pStyle w:val="Heading3"/>
      </w:pPr>
      <w:r>
        <w:t>3.3 视觉状态频次覆盖</w:t>
      </w:r>
    </w:p>
    <w:p>
      <w:pPr>
        <w:spacing w:line="324" w:lineRule="auto" w:after="80"/>
        <w:ind w:firstLine="420"/>
      </w:pPr>
      <w:r>
        <w:rPr>
          <w:rFonts w:ascii="Times New Roman" w:hAnsi="Times New Roman" w:eastAsia="宋体"/>
          <w:b w:val="0"/>
          <w:sz w:val="21"/>
        </w:rPr>
        <w:t>一个状态记为“字段—枚举值”对；多值字段允许一个目标激活多个状态。对于类别$c$，以该候选池两种标注来源观测到的非</w:t>
      </w:r>
      <w:r>
        <w:rPr>
          <w:rFonts w:ascii="Consolas" w:hAnsi="Consolas" w:eastAsia="宋体"/>
          <w:b w:val="0"/>
          <w:sz w:val="21"/>
        </w:rPr>
        <w:t>unknown</w:t>
      </w:r>
      <w:r>
        <w:rPr>
          <w:rFonts w:ascii="Times New Roman" w:hAnsi="Times New Roman" w:eastAsia="宋体"/>
          <w:b w:val="0"/>
          <w:sz w:val="21"/>
        </w:rPr>
        <w:t>状态并集构成状态宇宙$U_c$。在整个预算序列内保持$U_c$不变。</w:t>
      </w:r>
    </w:p>
    <w:p>
      <w:pPr>
        <w:spacing w:line="324" w:lineRule="auto" w:after="80"/>
        <w:ind w:firstLine="420"/>
      </w:pPr>
      <w:r>
        <w:rPr>
          <w:rFonts w:ascii="Times New Roman" w:hAnsi="Times New Roman" w:eastAsia="宋体"/>
          <w:b w:val="0"/>
          <w:sz w:val="21"/>
        </w:rPr>
        <w:t>记所选集合$S$中状态$s$的支持数为$n_s(S)$，本文的频次覆盖定义为</w:t>
      </w:r>
    </w:p>
    <w:p>
      <w:pPr>
        <w:spacing w:line="324" w:lineRule="auto" w:after="80"/>
        <w:ind w:firstLine="0"/>
        <w:jc w:val="center"/>
      </w:pPr>
      <m:oMathPara>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m:oMathPara>
    </w:p>
    <w:p>
      <w:pPr>
        <w:spacing w:line="324" w:lineRule="auto" w:after="80"/>
        <w:ind w:firstLine="420"/>
      </w:pPr>
      <w:r>
        <w:rPr>
          <w:rFonts w:ascii="Times New Roman" w:hAnsi="Times New Roman" w:eastAsia="宋体"/>
          <w:b w:val="0"/>
          <w:sz w:val="21"/>
        </w:rPr>
        <w:t>一个状态达到20个目标的支持后，对该状态继续增加样本不再提高其分数。频次覆盖不同于“出现至少一次”的存在覆盖，后者另作为辅助指标。</w:t>
      </w:r>
      <w:r>
        <w:rPr>
          <w:rFonts w:ascii="Consolas" w:hAnsi="Consolas" w:eastAsia="宋体"/>
          <w:b w:val="0"/>
          <w:sz w:val="21"/>
        </w:rPr>
        <w:t>unknown</w:t>
      </w:r>
      <w:r>
        <w:rPr>
          <w:rFonts w:ascii="Times New Roman" w:hAnsi="Times New Roman" w:eastAsia="宋体"/>
          <w:b w:val="0"/>
          <w:sz w:val="21"/>
        </w:rPr>
        <w:t>不计为已覆盖的状态证据。</w:t>
      </w:r>
    </w:p>
    <w:p>
      <w:pPr>
        <w:spacing w:line="324" w:lineRule="auto" w:after="80"/>
        <w:ind w:firstLine="420"/>
      </w:pPr>
      <w:r>
        <w:rPr>
          <w:rFonts w:ascii="Times New Roman" w:hAnsi="Times New Roman" w:eastAsia="宋体"/>
          <w:b w:val="0"/>
          <w:sz w:val="21"/>
        </w:rPr>
        <w:t>该指标相对于当前有限候选池定义，不是现实视觉世界的绝对覆盖率。状态宇宙由全池自动标签确定，属于候选池条件下的测试组织；不代表在完全未知数据流中无需预标注即可选样。不同候选池的可行状态分母不同，本文不把它们的绝对覆盖百分比直接合并比较。</w:t>
      </w:r>
    </w:p>
    <w:p>
      <w:pPr>
        <w:spacing w:line="324" w:lineRule="auto" w:after="80"/>
        <w:ind w:firstLine="420"/>
      </w:pPr>
      <w:r>
        <w:rPr>
          <w:rFonts w:ascii="Times New Roman" w:hAnsi="Times New Roman" w:eastAsia="宋体"/>
          <w:b w:val="0"/>
          <w:sz w:val="21"/>
        </w:rPr>
        <w:t>在同一状态宇宙、同一标注来源及累积不删除样本的条件下，该覆盖按定义不会下降。这个性质说明状态证据增加，不足以单独证明新增目标更困难或测试策略更有效。</w:t>
      </w:r>
    </w:p>
    <w:p>
      <w:pPr>
        <w:pStyle w:val="Heading3"/>
      </w:pPr>
      <w:r>
        <w:t>3.4 类别内视觉风险评分与五层划分</w:t>
      </w:r>
    </w:p>
    <w:p>
      <w:pPr>
        <w:spacing w:line="324" w:lineRule="auto" w:after="80"/>
        <w:ind w:firstLine="420"/>
      </w:pPr>
      <w:r>
        <w:rPr>
          <w:rFonts w:ascii="Times New Roman" w:hAnsi="Times New Roman" w:eastAsia="宋体"/>
          <w:b w:val="0"/>
          <w:sz w:val="21"/>
        </w:rPr>
        <w:t>风险评分$H$由五个可见维度相加，范围为0–13。评分不读取被测分类器的预测类别、置信度、错误标签或中间表征，也不使用VLM的“可识别性”字段。固定映射如下。</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风险维度</w:t>
            </w:r>
          </w:p>
        </w:tc>
        <w:tc>
          <w:tcPr>
            <w:tcW w:type="dxa" w:w="4703"/>
            <w:shd w:fill="D9EAF7"/>
          </w:tcPr>
          <w:p>
            <w:pPr>
              <w:spacing w:after="0"/>
            </w:pPr>
            <w:r>
              <w:rPr>
                <w:rFonts w:ascii="Times New Roman" w:hAnsi="Times New Roman" w:eastAsia="宋体"/>
                <w:b/>
                <w:sz w:val="17"/>
              </w:rPr>
              <w:t>状态到分数的映射</w:t>
            </w:r>
          </w:p>
        </w:tc>
      </w:tr>
      <w:tr>
        <w:tc>
          <w:tcPr>
            <w:tcW w:type="dxa" w:w="4703"/>
          </w:tcPr>
          <w:p>
            <w:pPr>
              <w:spacing w:after="0"/>
            </w:pPr>
            <w:r>
              <w:rPr>
                <w:rFonts w:ascii="Times New Roman" w:hAnsi="Times New Roman" w:eastAsia="宋体"/>
                <w:b w:val="0"/>
                <w:sz w:val="17"/>
              </w:rPr>
              <w:t>目标框面积比$a$</w:t>
            </w:r>
          </w:p>
        </w:tc>
        <w:tc>
          <w:tcPr>
            <w:tcW w:type="dxa" w:w="4703"/>
          </w:tcPr>
          <w:p>
            <w:pPr>
              <w:spacing w:after="0"/>
            </w:pPr>
            <w:r>
              <w:rPr>
                <w:rFonts w:ascii="Times New Roman" w:hAnsi="Times New Roman" w:eastAsia="宋体"/>
                <w:b w:val="0"/>
                <w:sz w:val="17"/>
              </w:rPr>
              <w:t>$a\geq0.10$：0；$0.03\leq a&lt;0.10$：1；$0.01\leq a&lt;0.03$：2；$a&lt;0.01$：3</w:t>
            </w:r>
          </w:p>
        </w:tc>
      </w:tr>
      <w:tr>
        <w:tc>
          <w:tcPr>
            <w:tcW w:type="dxa" w:w="4703"/>
          </w:tcPr>
          <w:p>
            <w:pPr>
              <w:spacing w:after="0"/>
            </w:pPr>
            <w:r>
              <w:rPr>
                <w:rFonts w:ascii="Times New Roman" w:hAnsi="Times New Roman" w:eastAsia="宋体"/>
                <w:b w:val="0"/>
                <w:sz w:val="17"/>
              </w:rPr>
              <w:t>身体可见性</w:t>
            </w:r>
          </w:p>
        </w:tc>
        <w:tc>
          <w:tcPr>
            <w:tcW w:type="dxa" w:w="4703"/>
          </w:tcPr>
          <w:p>
            <w:pPr>
              <w:spacing w:after="0"/>
            </w:pPr>
            <w:r>
              <w:rPr>
                <w:rFonts w:ascii="Times New Roman" w:hAnsi="Times New Roman" w:eastAsia="宋体"/>
                <w:b w:val="0"/>
                <w:sz w:val="17"/>
              </w:rPr>
              <w:t>full/most：0；partial：2；minimal：3</w:t>
            </w:r>
          </w:p>
        </w:tc>
      </w:tr>
      <w:tr>
        <w:tc>
          <w:tcPr>
            <w:tcW w:type="dxa" w:w="4703"/>
          </w:tcPr>
          <w:p>
            <w:pPr>
              <w:spacing w:after="0"/>
            </w:pPr>
            <w:r>
              <w:rPr>
                <w:rFonts w:ascii="Times New Roman" w:hAnsi="Times New Roman" w:eastAsia="宋体"/>
                <w:b w:val="0"/>
                <w:sz w:val="17"/>
              </w:rPr>
              <w:t>遮挡程度</w:t>
            </w:r>
          </w:p>
        </w:tc>
        <w:tc>
          <w:tcPr>
            <w:tcW w:type="dxa" w:w="4703"/>
          </w:tcPr>
          <w:p>
            <w:pPr>
              <w:spacing w:after="0"/>
            </w:pPr>
            <w:r>
              <w:rPr>
                <w:rFonts w:ascii="Times New Roman" w:hAnsi="Times New Roman" w:eastAsia="宋体"/>
                <w:b w:val="0"/>
                <w:sz w:val="17"/>
              </w:rPr>
              <w:t>none：0；light：1；moderate：2；heavy：3</w:t>
            </w:r>
          </w:p>
        </w:tc>
      </w:tr>
      <w:tr>
        <w:tc>
          <w:tcPr>
            <w:tcW w:type="dxa" w:w="4703"/>
          </w:tcPr>
          <w:p>
            <w:pPr>
              <w:spacing w:after="0"/>
            </w:pPr>
            <w:r>
              <w:rPr>
                <w:rFonts w:ascii="Times New Roman" w:hAnsi="Times New Roman" w:eastAsia="宋体"/>
                <w:b w:val="0"/>
                <w:sz w:val="17"/>
              </w:rPr>
              <w:t>截断程度</w:t>
            </w:r>
          </w:p>
        </w:tc>
        <w:tc>
          <w:tcPr>
            <w:tcW w:type="dxa" w:w="4703"/>
          </w:tcPr>
          <w:p>
            <w:pPr>
              <w:spacing w:after="0"/>
            </w:pPr>
            <w:r>
              <w:rPr>
                <w:rFonts w:ascii="Times New Roman" w:hAnsi="Times New Roman" w:eastAsia="宋体"/>
                <w:b w:val="0"/>
                <w:sz w:val="17"/>
              </w:rPr>
              <w:t>none：0；light：0.5；moderate：1；heavy：2</w:t>
            </w:r>
          </w:p>
        </w:tc>
      </w:tr>
      <w:tr>
        <w:tc>
          <w:tcPr>
            <w:tcW w:type="dxa" w:w="4703"/>
          </w:tcPr>
          <w:p>
            <w:pPr>
              <w:spacing w:after="0"/>
            </w:pPr>
            <w:r>
              <w:rPr>
                <w:rFonts w:ascii="Times New Roman" w:hAnsi="Times New Roman" w:eastAsia="宋体"/>
                <w:b w:val="0"/>
                <w:sz w:val="17"/>
              </w:rPr>
              <w:t>身体朝向</w:t>
            </w:r>
          </w:p>
        </w:tc>
        <w:tc>
          <w:tcPr>
            <w:tcW w:type="dxa" w:w="4703"/>
          </w:tcPr>
          <w:p>
            <w:pPr>
              <w:spacing w:after="0"/>
            </w:pPr>
            <w:r>
              <w:rPr>
                <w:rFonts w:ascii="Times New Roman" w:hAnsi="Times New Roman" w:eastAsia="宋体"/>
                <w:b w:val="0"/>
                <w:sz w:val="17"/>
              </w:rPr>
              <w:t>front/left_side/right_side/three_quarter：0；back：1；overhead_or_unusual：2</w:t>
            </w:r>
          </w:p>
        </w:tc>
      </w:tr>
    </w:tbl>
    <w:p/>
    <w:p>
      <w:pPr>
        <w:spacing w:line="324" w:lineRule="auto" w:after="80"/>
        <w:ind w:firstLine="420"/>
      </w:pPr>
      <w:r>
        <w:rPr>
          <w:rFonts w:ascii="Times New Roman" w:hAnsi="Times New Roman" w:eastAsia="宋体"/>
          <w:b w:val="0"/>
          <w:sz w:val="21"/>
        </w:rPr>
        <w:t>对于未知维度，将其分数保留为$[0,h_{max}]$区间；主分析采用总风险中点，敏感性分析分别按总风险下界和上界重新划层。每种标注来源在每个类别内按风险分数排序，同分时按样本ID排序，划分为五个等数量层Q1–Q5。</w:t>
      </w:r>
    </w:p>
    <w:p>
      <w:pPr>
        <w:spacing w:line="324" w:lineRule="auto" w:after="80"/>
        <w:ind w:firstLine="420"/>
      </w:pPr>
      <w:r>
        <w:rPr>
          <w:rFonts w:ascii="Times New Roman" w:hAnsi="Times New Roman" w:eastAsia="宋体"/>
          <w:b w:val="0"/>
          <w:sz w:val="21"/>
        </w:rPr>
        <w:t>Q5代表当前类别内相对高风险，不是跨类别统一的绝对难度阈值。同分目标可能跨越层边界；某些风险维度也存在相关性。因此，五层用于组织可比较的测试条件，不保证每个更高层目标都比每个较低层目标困难。</w:t>
      </w:r>
    </w:p>
    <w:p>
      <w:pPr>
        <w:pStyle w:val="Heading3"/>
      </w:pPr>
      <w:r>
        <w:t>3.5 覆盖驱动选样与两类风险控制</w:t>
      </w:r>
    </w:p>
    <w:p>
      <w:pPr>
        <w:spacing w:line="324" w:lineRule="auto" w:after="80"/>
        <w:ind w:firstLine="420"/>
      </w:pPr>
      <w:r>
        <w:rPr>
          <w:rFonts w:ascii="Times New Roman" w:hAnsi="Times New Roman" w:eastAsia="宋体"/>
          <w:b w:val="0"/>
          <w:sz w:val="21"/>
        </w:rPr>
        <w:t>Coverage在当前可选目标中贪心增加稀缺状态证据。设目标$x$激活的状态集合为$A(x)$，其选样增益为</w:t>
      </w:r>
    </w:p>
    <w:p>
      <w:pPr>
        <w:spacing w:line="324" w:lineRule="auto" w:after="80"/>
        <w:ind w:firstLine="0"/>
        <w:jc w:val="center"/>
      </w:pPr>
      <m:oMathPara>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m:oMathPara>
    </w:p>
    <w:p>
      <w:pPr>
        <w:spacing w:line="324" w:lineRule="auto" w:after="80"/>
        <w:ind w:firstLine="420"/>
      </w:pPr>
      <w:r>
        <w:rPr>
          <w:rFonts w:ascii="Times New Roman" w:hAnsi="Times New Roman" w:eastAsia="宋体"/>
          <w:b w:val="0"/>
          <w:sz w:val="21"/>
        </w:rPr>
        <w:t>每次选择满足约束且增益最大的目标，随后更新计数；计数跨风险层累计。该策略直接优化凹状态证据增益，不等同于直接最大化错误率，也不是上述线性截断覆盖公式的严格最优化。</w:t>
      </w:r>
    </w:p>
    <w:p>
      <w:pPr>
        <w:spacing w:line="324" w:lineRule="auto" w:after="80"/>
        <w:ind w:firstLine="420"/>
      </w:pPr>
      <w:r>
        <w:rPr>
          <w:rFonts w:ascii="Times New Roman" w:hAnsi="Times New Roman" w:eastAsia="宋体"/>
          <w:b w:val="0"/>
          <w:sz w:val="21"/>
        </w:rPr>
        <w:t>本文采用两个不同的控制协议，两者的结果分别报告。</w:t>
      </w:r>
    </w:p>
    <w:p>
      <w:pPr>
        <w:spacing w:line="324" w:lineRule="auto" w:after="80"/>
        <w:ind w:firstLine="420"/>
      </w:pPr>
      <w:r>
        <w:rPr>
          <w:rFonts w:ascii="Times New Roman" w:hAnsi="Times New Roman" w:eastAsia="宋体"/>
          <w:b/>
          <w:sz w:val="21"/>
        </w:rPr>
        <w:t>共同风险配额协议。</w:t>
      </w:r>
      <w:r>
        <w:rPr>
          <w:rFonts w:ascii="Times New Roman" w:hAnsi="Times New Roman" w:eastAsia="宋体"/>
          <w:b w:val="0"/>
          <w:sz w:val="21"/>
        </w:rPr>
        <w:t xml:space="preserve"> 在每个“标注来源—类别—风险层”内部，以$(H中点,未知维数)$组成风险格，按完整层中各格的频数比例通过最大余数法分配选样名额。Coverage、Random、DeepGini、DSA、k-center和删字段Coverage共享相同配额。这是主要方法比较；风险格配额及模型无关排序在确认池分类预测前冻结。</w:t>
      </w:r>
    </w:p>
    <w:p>
      <w:pPr>
        <w:spacing w:line="324" w:lineRule="auto" w:after="80"/>
        <w:ind w:firstLine="420"/>
      </w:pPr>
      <w:r>
        <w:rPr>
          <w:rFonts w:ascii="Times New Roman" w:hAnsi="Times New Roman" w:eastAsia="宋体"/>
          <w:b/>
          <w:sz w:val="21"/>
        </w:rPr>
        <w:t>Coverage所选风险直方图的精确匹配协议。</w:t>
      </w:r>
      <w:r>
        <w:rPr>
          <w:rFonts w:ascii="Times New Roman" w:hAnsi="Times New Roman" w:eastAsia="宋体"/>
          <w:b w:val="0"/>
          <w:sz w:val="21"/>
        </w:rPr>
        <w:t xml:space="preserve"> 先在每层进行不受共同配额限制的Coverage选样，再让随机组精确匹配该选择的$(H中点,未知维数)$联合频数。该协议检验特定Coverage序列相对其自身风险匹配随机组的收益，属于补充分析。它和共同配额协议同时改变了Coverage允许选中的集合，不能把两者差异简单解释为增加控制后的单一因果效应。</w:t>
      </w:r>
    </w:p>
    <w:p>
      <w:pPr>
        <w:spacing w:line="324" w:lineRule="auto" w:after="80"/>
        <w:ind w:firstLine="420"/>
      </w:pPr>
      <w:r>
        <w:rPr>
          <w:rFonts w:ascii="Times New Roman" w:hAnsi="Times New Roman" w:eastAsia="宋体"/>
          <w:b w:val="0"/>
          <w:sz w:val="21"/>
        </w:rPr>
        <w:t>随机组均在满足约束的格内无放回抽样，重复1000次。所有协议保持真实类别预算一致。匹配风险分数与未知维数不能控制全部视觉难度，亦不能替代对所有状态组合的匹配。</w:t>
      </w:r>
    </w:p>
    <w:p>
      <w:pPr>
        <w:pStyle w:val="Heading3"/>
      </w:pPr>
      <w:r>
        <w:t>3.6 对照方法</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方法</w:t>
            </w:r>
          </w:p>
        </w:tc>
        <w:tc>
          <w:tcPr>
            <w:tcW w:type="dxa" w:w="3135"/>
            <w:shd w:fill="D9EAF7"/>
          </w:tcPr>
          <w:p>
            <w:pPr>
              <w:spacing w:after="0"/>
            </w:pPr>
            <w:r>
              <w:rPr>
                <w:rFonts w:ascii="Times New Roman" w:hAnsi="Times New Roman" w:eastAsia="宋体"/>
                <w:b/>
                <w:sz w:val="17"/>
              </w:rPr>
              <w:t>排序依据</w:t>
            </w:r>
          </w:p>
        </w:tc>
        <w:tc>
          <w:tcPr>
            <w:tcW w:type="dxa" w:w="3135"/>
            <w:shd w:fill="D9EAF7"/>
          </w:tcPr>
          <w:p>
            <w:pPr>
              <w:spacing w:after="0"/>
            </w:pPr>
            <w:r>
              <w:rPr>
                <w:rFonts w:ascii="Times New Roman" w:hAnsi="Times New Roman" w:eastAsia="宋体"/>
                <w:b/>
                <w:sz w:val="17"/>
              </w:rPr>
              <w:t>所需信息</w:t>
            </w:r>
          </w:p>
        </w:tc>
      </w:tr>
      <w:tr>
        <w:tc>
          <w:tcPr>
            <w:tcW w:type="dxa" w:w="3135"/>
          </w:tcPr>
          <w:p>
            <w:pPr>
              <w:spacing w:after="0"/>
            </w:pPr>
            <w:r>
              <w:rPr>
                <w:rFonts w:ascii="Times New Roman" w:hAnsi="Times New Roman" w:eastAsia="宋体"/>
                <w:b w:val="0"/>
                <w:sz w:val="17"/>
              </w:rPr>
              <w:t>Coverage</w:t>
            </w:r>
          </w:p>
        </w:tc>
        <w:tc>
          <w:tcPr>
            <w:tcW w:type="dxa" w:w="3135"/>
          </w:tcPr>
          <w:p>
            <w:pPr>
              <w:spacing w:after="0"/>
            </w:pPr>
            <w:r>
              <w:rPr>
                <w:rFonts w:ascii="Times New Roman" w:hAnsi="Times New Roman" w:eastAsia="宋体"/>
                <w:b w:val="0"/>
                <w:sz w:val="17"/>
              </w:rPr>
              <w:t>稀缺可见状态的凹增益</w:t>
            </w:r>
          </w:p>
        </w:tc>
        <w:tc>
          <w:tcPr>
            <w:tcW w:type="dxa" w:w="3135"/>
          </w:tcPr>
          <w:p>
            <w:pPr>
              <w:spacing w:after="0"/>
            </w:pPr>
            <w:r>
              <w:rPr>
                <w:rFonts w:ascii="Times New Roman" w:hAnsi="Times New Roman" w:eastAsia="宋体"/>
                <w:b w:val="0"/>
                <w:sz w:val="17"/>
              </w:rPr>
              <w:t>自动视觉状态</w:t>
            </w:r>
          </w:p>
        </w:tc>
      </w:tr>
      <w:tr>
        <w:tc>
          <w:tcPr>
            <w:tcW w:type="dxa" w:w="3135"/>
          </w:tcPr>
          <w:p>
            <w:pPr>
              <w:spacing w:after="0"/>
            </w:pPr>
            <w:r>
              <w:rPr>
                <w:rFonts w:ascii="Times New Roman" w:hAnsi="Times New Roman" w:eastAsia="宋体"/>
                <w:b w:val="0"/>
                <w:sz w:val="17"/>
              </w:rPr>
              <w:t>Random</w:t>
            </w:r>
          </w:p>
        </w:tc>
        <w:tc>
          <w:tcPr>
            <w:tcW w:type="dxa" w:w="3135"/>
          </w:tcPr>
          <w:p>
            <w:pPr>
              <w:spacing w:after="0"/>
            </w:pPr>
            <w:r>
              <w:rPr>
                <w:rFonts w:ascii="Times New Roman" w:hAnsi="Times New Roman" w:eastAsia="宋体"/>
                <w:b w:val="0"/>
                <w:sz w:val="17"/>
              </w:rPr>
              <w:t>约束内无放回随机抽样，1000次</w:t>
            </w:r>
          </w:p>
        </w:tc>
        <w:tc>
          <w:tcPr>
            <w:tcW w:type="dxa" w:w="3135"/>
          </w:tcPr>
          <w:p>
            <w:pPr>
              <w:spacing w:after="0"/>
            </w:pPr>
            <w:r>
              <w:rPr>
                <w:rFonts w:ascii="Times New Roman" w:hAnsi="Times New Roman" w:eastAsia="宋体"/>
                <w:b w:val="0"/>
                <w:sz w:val="17"/>
              </w:rPr>
              <w:t>类别及配额</w:t>
            </w:r>
          </w:p>
        </w:tc>
      </w:tr>
      <w:tr>
        <w:tc>
          <w:tcPr>
            <w:tcW w:type="dxa" w:w="3135"/>
          </w:tcPr>
          <w:p>
            <w:pPr>
              <w:spacing w:after="0"/>
            </w:pPr>
            <w:r>
              <w:rPr>
                <w:rFonts w:ascii="Times New Roman" w:hAnsi="Times New Roman" w:eastAsia="宋体"/>
                <w:b w:val="0"/>
                <w:sz w:val="17"/>
              </w:rPr>
              <w:t>DeepGini</w:t>
            </w:r>
          </w:p>
        </w:tc>
        <w:tc>
          <w:tcPr>
            <w:tcW w:type="dxa" w:w="3135"/>
          </w:tcPr>
          <w:p>
            <w:pPr>
              <w:spacing w:after="0"/>
            </w:pPr>
            <w:r>
              <w:rPr>
                <w:rFonts w:ascii="Times New Roman" w:hAnsi="Times New Roman" w:eastAsia="宋体"/>
                <w:b w:val="0"/>
                <w:sz w:val="17"/>
              </w:rPr>
              <w:t>$1-\sum_k p_k(x)^2$，降序</w:t>
            </w:r>
          </w:p>
        </w:tc>
        <w:tc>
          <w:tcPr>
            <w:tcW w:type="dxa" w:w="3135"/>
          </w:tcPr>
          <w:p>
            <w:pPr>
              <w:spacing w:after="0"/>
            </w:pPr>
            <w:r>
              <w:rPr>
                <w:rFonts w:ascii="Times New Roman" w:hAnsi="Times New Roman" w:eastAsia="宋体"/>
                <w:b w:val="0"/>
                <w:sz w:val="17"/>
              </w:rPr>
              <w:t>被测分类器输出概率</w:t>
            </w:r>
          </w:p>
        </w:tc>
      </w:tr>
      <w:tr>
        <w:tc>
          <w:tcPr>
            <w:tcW w:type="dxa" w:w="3135"/>
          </w:tcPr>
          <w:p>
            <w:pPr>
              <w:spacing w:after="0"/>
            </w:pPr>
            <w:r>
              <w:rPr>
                <w:rFonts w:ascii="Times New Roman" w:hAnsi="Times New Roman" w:eastAsia="宋体"/>
                <w:b w:val="0"/>
                <w:sz w:val="17"/>
              </w:rPr>
              <w:t>DSA</w:t>
            </w:r>
          </w:p>
        </w:tc>
        <w:tc>
          <w:tcPr>
            <w:tcW w:type="dxa" w:w="3135"/>
          </w:tcPr>
          <w:p>
            <w:pPr>
              <w:spacing w:after="0"/>
            </w:pPr>
            <w:r>
              <w:rPr>
                <w:rFonts w:ascii="Times New Roman" w:hAnsi="Times New Roman" w:eastAsia="宋体"/>
                <w:b w:val="0"/>
                <w:sz w:val="17"/>
              </w:rPr>
              <w:t>测试表征到预测类别最近训练目标的距离，相对该训练目标到其他类别最近训练目标距离的比值</w:t>
            </w:r>
          </w:p>
        </w:tc>
        <w:tc>
          <w:tcPr>
            <w:tcW w:type="dxa" w:w="3135"/>
          </w:tcPr>
          <w:p>
            <w:pPr>
              <w:spacing w:after="0"/>
            </w:pPr>
            <w:r>
              <w:rPr>
                <w:rFonts w:ascii="Times New Roman" w:hAnsi="Times New Roman" w:eastAsia="宋体"/>
                <w:b w:val="0"/>
                <w:sz w:val="17"/>
              </w:rPr>
              <w:t>被测分类器表征、训练目标及类别</w:t>
            </w:r>
          </w:p>
        </w:tc>
      </w:tr>
      <w:tr>
        <w:tc>
          <w:tcPr>
            <w:tcW w:type="dxa" w:w="3135"/>
          </w:tcPr>
          <w:p>
            <w:pPr>
              <w:spacing w:after="0"/>
            </w:pPr>
            <w:r>
              <w:rPr>
                <w:rFonts w:ascii="Times New Roman" w:hAnsi="Times New Roman" w:eastAsia="宋体"/>
                <w:b w:val="0"/>
                <w:sz w:val="17"/>
              </w:rPr>
              <w:t>ViT k-center</w:t>
            </w:r>
          </w:p>
        </w:tc>
        <w:tc>
          <w:tcPr>
            <w:tcW w:type="dxa" w:w="3135"/>
          </w:tcPr>
          <w:p>
            <w:pPr>
              <w:spacing w:after="0"/>
            </w:pPr>
            <w:r>
              <w:rPr>
                <w:rFonts w:ascii="Times New Roman" w:hAnsi="Times New Roman" w:eastAsia="宋体"/>
                <w:b w:val="0"/>
                <w:sz w:val="17"/>
              </w:rPr>
              <w:t>归一化冻结ViT-B/16表征中的贪心最远点</w:t>
            </w:r>
          </w:p>
        </w:tc>
        <w:tc>
          <w:tcPr>
            <w:tcW w:type="dxa" w:w="3135"/>
          </w:tcPr>
          <w:p>
            <w:pPr>
              <w:spacing w:after="0"/>
            </w:pPr>
            <w:r>
              <w:rPr>
                <w:rFonts w:ascii="Times New Roman" w:hAnsi="Times New Roman" w:eastAsia="宋体"/>
                <w:b w:val="0"/>
                <w:sz w:val="17"/>
              </w:rPr>
              <w:t>独立固定嵌入</w:t>
            </w:r>
          </w:p>
        </w:tc>
      </w:tr>
      <w:tr>
        <w:tc>
          <w:tcPr>
            <w:tcW w:type="dxa" w:w="3135"/>
          </w:tcPr>
          <w:p>
            <w:pPr>
              <w:spacing w:after="0"/>
            </w:pPr>
            <w:r>
              <w:rPr>
                <w:rFonts w:ascii="Times New Roman" w:hAnsi="Times New Roman" w:eastAsia="宋体"/>
                <w:b w:val="0"/>
                <w:sz w:val="17"/>
              </w:rPr>
              <w:t>Coverage_without_H</w:t>
            </w:r>
          </w:p>
        </w:tc>
        <w:tc>
          <w:tcPr>
            <w:tcW w:type="dxa" w:w="3135"/>
          </w:tcPr>
          <w:p>
            <w:pPr>
              <w:spacing w:after="0"/>
            </w:pPr>
            <w:r>
              <w:rPr>
                <w:rFonts w:ascii="Times New Roman" w:hAnsi="Times New Roman" w:eastAsia="宋体"/>
                <w:b w:val="0"/>
                <w:sz w:val="17"/>
              </w:rPr>
              <w:t>删除五个风险字段及可识别性字段后的Coverage</w:t>
            </w:r>
          </w:p>
        </w:tc>
        <w:tc>
          <w:tcPr>
            <w:tcW w:type="dxa" w:w="3135"/>
          </w:tcPr>
          <w:p>
            <w:pPr>
              <w:spacing w:after="0"/>
            </w:pPr>
            <w:r>
              <w:rPr>
                <w:rFonts w:ascii="Times New Roman" w:hAnsi="Times New Roman" w:eastAsia="宋体"/>
                <w:b w:val="0"/>
                <w:sz w:val="17"/>
              </w:rPr>
              <w:t>剩余九项共享字段</w:t>
            </w:r>
          </w:p>
        </w:tc>
      </w:tr>
    </w:tbl>
    <w:p/>
    <w:p>
      <w:pPr>
        <w:spacing w:line="324" w:lineRule="auto" w:after="80"/>
        <w:ind w:firstLine="420"/>
      </w:pPr>
      <w:r>
        <w:rPr>
          <w:rFonts w:ascii="Times New Roman" w:hAnsi="Times New Roman" w:eastAsia="宋体"/>
          <w:b w:val="0"/>
          <w:sz w:val="21"/>
        </w:rPr>
        <w:t>k-center跨层保留已有目标距离信息，首点从当前层中心附近的可行目标选取。该实现是几何多样性基线，并非完整重现Core-set主动学习的再训练流程。删字段组用于检查直接风险字段的影响，但剩余字段仍可能关联困难程度，不能称为完全去除难度。</w:t>
      </w:r>
    </w:p>
    <w:p>
      <w:pPr>
        <w:pStyle w:val="Heading3"/>
      </w:pPr>
      <w:r>
        <w:t>3.7 性能与诊断指标</w:t>
      </w:r>
    </w:p>
    <w:p>
      <w:pPr>
        <w:spacing w:line="324" w:lineRule="auto" w:after="80"/>
        <w:ind w:firstLine="420"/>
      </w:pPr>
      <w:r>
        <w:rPr>
          <w:rFonts w:ascii="Times New Roman" w:hAnsi="Times New Roman" w:eastAsia="宋体"/>
          <w:b w:val="0"/>
          <w:sz w:val="21"/>
        </w:rPr>
        <w:t>分类性能报告Accuracy、Macro-Precision、Macro-Recall、Macro-F1及每类Recall/F1。对类别$c$，$F1_c=2P_cR_c/(P_c+R_c)$；Macro-F1为六个类别F1的算术平均，不能以平均Precision和平均Recall的调和平均代替。在真实类别等数量的测试集合中，Accuracy与Macro-Recall相等。</w:t>
      </w:r>
    </w:p>
    <w:p>
      <w:pPr>
        <w:spacing w:line="324" w:lineRule="auto" w:after="80"/>
        <w:ind w:firstLine="420"/>
      </w:pPr>
      <w:r>
        <w:rPr>
          <w:rFonts w:ascii="Times New Roman" w:hAnsi="Times New Roman" w:eastAsia="宋体"/>
          <w:b w:val="0"/>
          <w:sz w:val="21"/>
        </w:rPr>
        <w:t>独立诊断采用两个指标。</w:t>
      </w:r>
      <w:r>
        <w:rPr>
          <w:rFonts w:ascii="Times New Roman" w:hAnsi="Times New Roman" w:eastAsia="宋体"/>
          <w:b/>
          <w:sz w:val="21"/>
        </w:rPr>
        <w:t>混淆类型广度</w:t>
      </w:r>
      <w:r>
        <w:rPr>
          <w:rFonts w:ascii="Times New Roman" w:hAnsi="Times New Roman" w:eastAsia="宋体"/>
          <w:b w:val="0"/>
          <w:sz w:val="21"/>
        </w:rPr>
        <w:t>记录每个真实类别被误判为哪些其他类别；</w:t>
      </w:r>
      <w:r>
        <w:rPr>
          <w:rFonts w:ascii="Times New Roman" w:hAnsi="Times New Roman" w:eastAsia="宋体"/>
          <w:b/>
          <w:sz w:val="21"/>
        </w:rPr>
        <w:t>错误簇广度</w:t>
      </w:r>
      <w:r>
        <w:rPr>
          <w:rFonts w:ascii="Times New Roman" w:hAnsi="Times New Roman" w:eastAsia="宋体"/>
          <w:b w:val="0"/>
          <w:sz w:val="21"/>
        </w:rPr>
        <w:t>在冻结表征中按真实类别聚类错误目标，作为失败样本表征多样性的代理。对于有$m$个错误的类别，非单例簇数为$\max(2,\min(8,\operatorname{round}(\sqrt m)))$；零错误和单错误分别按既有特例处理。主分析使用各分类器的固定表征，敏感性分析改用所有模型共用的冻结ViT表征。错误簇并不等于独立缺陷根因。</w:t>
      </w:r>
    </w:p>
    <w:p>
      <w:pPr>
        <w:spacing w:line="324" w:lineRule="auto" w:after="80"/>
        <w:ind w:firstLine="420"/>
      </w:pPr>
      <w:r>
        <w:rPr>
          <w:rFonts w:ascii="Times New Roman" w:hAnsi="Times New Roman" w:eastAsia="宋体"/>
          <w:b w:val="0"/>
          <w:sz w:val="21"/>
        </w:rPr>
        <w:t>为了避免“错误更多，所以类型更多”的数量解释，两种方法在每个真实类别上匹配错误数，取两组错误数的较小值$q$。若一组含$N$个错误，其中某类型出现$r$次，则在$q$个无放回错误样本中发现该类型的精确期望概率为</w:t>
      </w:r>
    </w:p>
    <w:p>
      <w:pPr>
        <w:spacing w:line="324" w:lineRule="auto" w:after="80"/>
        <w:ind w:firstLine="0"/>
        <w:jc w:val="center"/>
      </w:pPr>
      <m:oMathPara>
        <m:oMath>
          <m:r>
            <m:t>1 − </m:t>
          </m:r>
          <m:f>
            <m:num>
              <m:d>
                <m:e>
                  <m:f>
                    <m:fPr>
                      <m:type m:val="noBar"/>
                    </m:fPr>
                    <m:num>
                      <m:r>
                        <m:t>N−r</m:t>
                      </m:r>
                    </m:num>
                    <m:den>
                      <m:r>
                        <m:t>q</m:t>
                      </m:r>
                    </m:den>
                  </m:f>
                </m:e>
              </m:d>
            </m:num>
            <m:den>
              <m:d>
                <m:e>
                  <m:f>
                    <m:fPr>
                      <m:type m:val="noBar"/>
                    </m:fPr>
                    <m:num>
                      <m:r>
                        <m:t>N</m:t>
                      </m:r>
                    </m:num>
                    <m:den>
                      <m:r>
                        <m:t>q</m:t>
                      </m:r>
                    </m:den>
                  </m:f>
                </m:e>
              </m:d>
            </m:den>
          </m:f>
        </m:oMath>
      </m:oMathPara>
    </w:p>
    <w:p>
      <w:pPr>
        <w:spacing w:line="324" w:lineRule="auto" w:after="80"/>
        <w:ind w:firstLine="420"/>
      </w:pPr>
      <w:r>
        <w:rPr>
          <w:rFonts w:ascii="Times New Roman" w:hAnsi="Times New Roman" w:eastAsia="宋体"/>
          <w:b w:val="0"/>
          <w:sz w:val="21"/>
        </w:rPr>
        <w:t>对可行混淆类型或错误簇归一化后进行六类宏平均，再计算预算曲线的归一化梯形面积。面积计算包含零预算原点，按该池最大预算归一化；它不是ROC-AUC，也不是F1提升。等错误数匹配是事后评价控制，不是测试前已经知道错误的在线选择机制。</w:t>
      </w:r>
    </w:p>
    <w:p>
      <w:pPr>
        <w:pStyle w:val="Heading3"/>
      </w:pPr>
      <w:r>
        <w:t>3.8 薄弱状态发现与冻结验证</w:t>
      </w:r>
    </w:p>
    <w:p>
      <w:pPr>
        <w:spacing w:line="324" w:lineRule="auto" w:after="80"/>
        <w:ind w:firstLine="420"/>
      </w:pPr>
      <w:r>
        <w:rPr>
          <w:rFonts w:ascii="Times New Roman" w:hAnsi="Times New Roman" w:eastAsia="宋体"/>
          <w:b w:val="0"/>
          <w:sz w:val="21"/>
        </w:rPr>
        <w:t>在历史发现池A中，对于每个“标注来源—架构—类别”，以三个种子的平均Recall筛选支持至少20个目标、状态Recall较类别Recall低至少10个百分点的状态；每类最多保留三项。最终得到175条冻结“状态—模型”组合，本地87条、线上88条。</w:t>
      </w:r>
    </w:p>
    <w:p>
      <w:pPr>
        <w:spacing w:line="324" w:lineRule="auto" w:after="80"/>
        <w:ind w:firstLine="420"/>
      </w:pPr>
      <w:r>
        <w:rPr>
          <w:rFonts w:ascii="Times New Roman" w:hAnsi="Times New Roman" w:eastAsia="宋体"/>
          <w:b w:val="0"/>
          <w:sz w:val="21"/>
        </w:rPr>
        <w:t>该清单在COCO确认池B预测前冻结，VOC确认池C直接沿用。新池支持不足20的组合标记为不可评价，不重新挑选更有利状态。主统计以可评价状态的Recall减类别Recall为差值；同时保留逐状态支持量、方向复现及可匹配风险参考。状态关联用于定位薄弱条件，不证明该字段是错误的因果根源。</w:t>
      </w:r>
    </w:p>
    <w:p>
      <w:pPr>
        <w:pStyle w:val="Heading2"/>
      </w:pPr>
      <w:r>
        <w:t>4 实验设置</w:t>
      </w:r>
    </w:p>
    <w:p>
      <w:pPr>
        <w:pStyle w:val="Heading3"/>
      </w:pPr>
      <w:r>
        <w:t>4.1 数据用途与独立性</w:t>
      </w:r>
    </w:p>
    <w:p>
      <w:pPr>
        <w:spacing w:line="324" w:lineRule="auto" w:after="80"/>
        <w:ind w:firstLine="420"/>
      </w:pPr>
      <w:r>
        <w:rPr>
          <w:rFonts w:ascii="Times New Roman" w:hAnsi="Times New Roman" w:eastAsia="宋体"/>
          <w:b w:val="0"/>
          <w:sz w:val="21"/>
        </w:rPr>
        <w:t>本文保留训练、验证与测试的用途边界。研究重点是冻结模型后的测试组织，不意味着可以省略训练数据与评测数据的区分。训练集每类300个目标，共1800个，来自COCO及既有COCO dog初始清单；固定验证集90个目标，基础测试集300个目标。</w:t>
      </w:r>
    </w:p>
    <w:p>
      <w:pPr>
        <w:spacing w:line="324" w:lineRule="auto" w:after="80"/>
        <w:ind w:firstLine="420"/>
      </w:pPr>
      <w:r>
        <w:rPr>
          <w:rFonts w:ascii="Times New Roman" w:hAnsi="Times New Roman" w:eastAsia="宋体"/>
          <w:b w:val="0"/>
          <w:sz w:val="21"/>
        </w:rPr>
        <w:t>历史发现池A包含2400个目标，主要来自Open Images，并保留111个VOC2012 sheep目标，用于早期探索及薄弱状态发现。主要确认来自B、C及D，共5400目标，避免把旧池事后分层误写为确认结果。D在本文统一指Objects365确认池，原未能运行的Open Images扩展计划单独保留。</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数据用途</w:t>
            </w:r>
          </w:p>
        </w:tc>
        <w:tc>
          <w:tcPr>
            <w:tcW w:type="dxa" w:w="1344"/>
            <w:shd w:fill="D9EAF7"/>
          </w:tcPr>
          <w:p>
            <w:pPr>
              <w:spacing w:after="0"/>
            </w:pPr>
            <w:r>
              <w:rPr>
                <w:rFonts w:ascii="Times New Roman" w:hAnsi="Times New Roman" w:eastAsia="宋体"/>
                <w:b/>
                <w:sz w:val="17"/>
              </w:rPr>
              <w:t>来源与角色</w:t>
            </w:r>
          </w:p>
        </w:tc>
        <w:tc>
          <w:tcPr>
            <w:tcW w:type="dxa" w:w="1344"/>
            <w:shd w:fill="D9EAF7"/>
          </w:tcPr>
          <w:p>
            <w:pPr>
              <w:spacing w:after="0"/>
            </w:pPr>
            <w:r>
              <w:rPr>
                <w:rFonts w:ascii="Times New Roman" w:hAnsi="Times New Roman" w:eastAsia="宋体"/>
                <w:b/>
                <w:sz w:val="17"/>
              </w:rPr>
              <w:t>每类目标</w:t>
            </w:r>
          </w:p>
        </w:tc>
        <w:tc>
          <w:tcPr>
            <w:tcW w:type="dxa" w:w="1344"/>
            <w:shd w:fill="D9EAF7"/>
          </w:tcPr>
          <w:p>
            <w:pPr>
              <w:spacing w:after="0"/>
            </w:pPr>
            <w:r>
              <w:rPr>
                <w:rFonts w:ascii="Times New Roman" w:hAnsi="Times New Roman" w:eastAsia="宋体"/>
                <w:b/>
                <w:sz w:val="17"/>
              </w:rPr>
              <w:t>总目标</w:t>
            </w:r>
          </w:p>
        </w:tc>
        <w:tc>
          <w:tcPr>
            <w:tcW w:type="dxa" w:w="1344"/>
            <w:shd w:fill="D9EAF7"/>
          </w:tcPr>
          <w:p>
            <w:pPr>
              <w:spacing w:after="0"/>
            </w:pPr>
            <w:r>
              <w:rPr>
                <w:rFonts w:ascii="Times New Roman" w:hAnsi="Times New Roman" w:eastAsia="宋体"/>
                <w:b/>
                <w:sz w:val="17"/>
              </w:rPr>
              <w:t>完整单风险层</w:t>
            </w:r>
          </w:p>
        </w:tc>
        <w:tc>
          <w:tcPr>
            <w:tcW w:type="dxa" w:w="1344"/>
            <w:shd w:fill="D9EAF7"/>
          </w:tcPr>
          <w:p>
            <w:pPr>
              <w:spacing w:after="0"/>
            </w:pPr>
            <w:r>
              <w:rPr>
                <w:rFonts w:ascii="Times New Roman" w:hAnsi="Times New Roman" w:eastAsia="宋体"/>
                <w:b/>
                <w:sz w:val="17"/>
              </w:rPr>
              <w:t>每层新增/类</w:t>
            </w:r>
          </w:p>
        </w:tc>
        <w:tc>
          <w:tcPr>
            <w:tcW w:type="dxa" w:w="1344"/>
            <w:shd w:fill="D9EAF7"/>
          </w:tcPr>
          <w:p>
            <w:pPr>
              <w:spacing w:after="0"/>
            </w:pPr>
            <w:r>
              <w:rPr>
                <w:rFonts w:ascii="Times New Roman" w:hAnsi="Times New Roman" w:eastAsia="宋体"/>
                <w:b/>
                <w:sz w:val="17"/>
              </w:rPr>
              <w:t>累计测试规模</w:t>
            </w:r>
          </w:p>
        </w:tc>
      </w:tr>
      <w:tr>
        <w:tc>
          <w:tcPr>
            <w:tcW w:type="dxa" w:w="1344"/>
          </w:tcPr>
          <w:p>
            <w:pPr>
              <w:spacing w:after="0"/>
            </w:pPr>
            <w:r>
              <w:rPr>
                <w:rFonts w:ascii="Times New Roman" w:hAnsi="Times New Roman" w:eastAsia="宋体"/>
                <w:b w:val="0"/>
                <w:sz w:val="17"/>
              </w:rPr>
              <w:t>固定训练集</w:t>
            </w:r>
          </w:p>
        </w:tc>
        <w:tc>
          <w:tcPr>
            <w:tcW w:type="dxa" w:w="1344"/>
          </w:tcPr>
          <w:p>
            <w:pPr>
              <w:spacing w:after="0"/>
            </w:pPr>
            <w:r>
              <w:rPr>
                <w:rFonts w:ascii="Times New Roman" w:hAnsi="Times New Roman" w:eastAsia="宋体"/>
                <w:b w:val="0"/>
                <w:sz w:val="17"/>
              </w:rPr>
              <w:t>COCO训练目标</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1800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固定验证集</w:t>
            </w:r>
          </w:p>
        </w:tc>
        <w:tc>
          <w:tcPr>
            <w:tcW w:type="dxa" w:w="1344"/>
          </w:tcPr>
          <w:p>
            <w:pPr>
              <w:spacing w:after="0"/>
            </w:pPr>
            <w:r>
              <w:rPr>
                <w:rFonts w:ascii="Times New Roman" w:hAnsi="Times New Roman" w:eastAsia="宋体"/>
                <w:b w:val="0"/>
                <w:sz w:val="17"/>
              </w:rPr>
              <w:t>固定COCO清单</w:t>
            </w:r>
          </w:p>
        </w:tc>
        <w:tc>
          <w:tcPr>
            <w:tcW w:type="dxa" w:w="1344"/>
          </w:tcPr>
          <w:p>
            <w:pPr>
              <w:spacing w:after="0"/>
            </w:pPr>
            <w:r>
              <w:rPr>
                <w:rFonts w:ascii="Times New Roman" w:hAnsi="Times New Roman" w:eastAsia="宋体"/>
                <w:b w:val="0"/>
                <w:sz w:val="17"/>
              </w:rPr>
              <w:t>15</w:t>
            </w:r>
          </w:p>
        </w:tc>
        <w:tc>
          <w:tcPr>
            <w:tcW w:type="dxa" w:w="1344"/>
          </w:tcPr>
          <w:p>
            <w:pPr>
              <w:spacing w:after="0"/>
            </w:pPr>
            <w:r>
              <w:rPr>
                <w:rFonts w:ascii="Times New Roman" w:hAnsi="Times New Roman" w:eastAsia="宋体"/>
                <w:b w:val="0"/>
                <w:sz w:val="17"/>
              </w:rPr>
              <w:t>90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基础测试集</w:t>
            </w:r>
          </w:p>
        </w:tc>
        <w:tc>
          <w:tcPr>
            <w:tcW w:type="dxa" w:w="1344"/>
          </w:tcPr>
          <w:p>
            <w:pPr>
              <w:spacing w:after="0"/>
            </w:pPr>
            <w:r>
              <w:rPr>
                <w:rFonts w:ascii="Times New Roman" w:hAnsi="Times New Roman" w:eastAsia="宋体"/>
                <w:b w:val="0"/>
                <w:sz w:val="17"/>
              </w:rPr>
              <w:t>固定COCO清单</w:t>
            </w:r>
          </w:p>
        </w:tc>
        <w:tc>
          <w:tcPr>
            <w:tcW w:type="dxa" w:w="1344"/>
          </w:tcPr>
          <w:p>
            <w:pPr>
              <w:spacing w:after="0"/>
            </w:pPr>
            <w:r>
              <w:rPr>
                <w:rFonts w:ascii="Times New Roman" w:hAnsi="Times New Roman" w:eastAsia="宋体"/>
                <w:b w:val="0"/>
                <w:sz w:val="17"/>
              </w:rPr>
              <w:t>50</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发现池A</w:t>
            </w:r>
          </w:p>
        </w:tc>
        <w:tc>
          <w:tcPr>
            <w:tcW w:type="dxa" w:w="1344"/>
          </w:tcPr>
          <w:p>
            <w:pPr>
              <w:spacing w:after="0"/>
            </w:pPr>
            <w:r>
              <w:rPr>
                <w:rFonts w:ascii="Times New Roman" w:hAnsi="Times New Roman" w:eastAsia="宋体"/>
                <w:b w:val="0"/>
                <w:sz w:val="17"/>
              </w:rPr>
              <w:t>历史混合来源</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用于发现与规则形成</w:t>
            </w:r>
          </w:p>
        </w:tc>
      </w:tr>
      <w:tr>
        <w:tc>
          <w:tcPr>
            <w:tcW w:type="dxa" w:w="1344"/>
          </w:tcPr>
          <w:p>
            <w:pPr>
              <w:spacing w:after="0"/>
            </w:pPr>
            <w:r>
              <w:rPr>
                <w:rFonts w:ascii="Times New Roman" w:hAnsi="Times New Roman" w:eastAsia="宋体"/>
                <w:b w:val="0"/>
                <w:sz w:val="17"/>
              </w:rPr>
              <w:t>确认池B</w:t>
            </w:r>
          </w:p>
        </w:tc>
        <w:tc>
          <w:tcPr>
            <w:tcW w:type="dxa" w:w="1344"/>
          </w:tcPr>
          <w:p>
            <w:pPr>
              <w:spacing w:after="0"/>
            </w:pPr>
            <w:r>
              <w:rPr>
                <w:rFonts w:ascii="Times New Roman" w:hAnsi="Times New Roman" w:eastAsia="宋体"/>
                <w:b w:val="0"/>
                <w:sz w:val="17"/>
              </w:rPr>
              <w:t>未用COCO train2017目标</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20</w:t>
            </w:r>
          </w:p>
        </w:tc>
        <w:tc>
          <w:tcPr>
            <w:tcW w:type="dxa" w:w="1344"/>
          </w:tcPr>
          <w:p>
            <w:pPr>
              <w:spacing w:after="0"/>
            </w:pPr>
            <w:r>
              <w:rPr>
                <w:rFonts w:ascii="Times New Roman" w:hAnsi="Times New Roman" w:eastAsia="宋体"/>
                <w:b w:val="0"/>
                <w:sz w:val="17"/>
              </w:rPr>
              <w:t>120、240、360、480、600</w:t>
            </w:r>
          </w:p>
        </w:tc>
      </w:tr>
      <w:tr>
        <w:tc>
          <w:tcPr>
            <w:tcW w:type="dxa" w:w="1344"/>
          </w:tcPr>
          <w:p>
            <w:pPr>
              <w:spacing w:after="0"/>
            </w:pPr>
            <w:r>
              <w:rPr>
                <w:rFonts w:ascii="Times New Roman" w:hAnsi="Times New Roman" w:eastAsia="宋体"/>
                <w:b w:val="0"/>
                <w:sz w:val="17"/>
              </w:rPr>
              <w:t>外部确认池C</w:t>
            </w:r>
          </w:p>
        </w:tc>
        <w:tc>
          <w:tcPr>
            <w:tcW w:type="dxa" w:w="1344"/>
          </w:tcPr>
          <w:p>
            <w:pPr>
              <w:spacing w:after="0"/>
            </w:pPr>
            <w:r>
              <w:rPr>
                <w:rFonts w:ascii="Times New Roman" w:hAnsi="Times New Roman" w:eastAsia="宋体"/>
                <w:b w:val="0"/>
                <w:sz w:val="17"/>
              </w:rPr>
              <w:t>未用VOC2007 trainval+test目标</w:t>
            </w:r>
          </w:p>
        </w:tc>
        <w:tc>
          <w:tcPr>
            <w:tcW w:type="dxa" w:w="1344"/>
          </w:tcPr>
          <w:p>
            <w:pPr>
              <w:spacing w:after="0"/>
            </w:pPr>
            <w:r>
              <w:rPr>
                <w:rFonts w:ascii="Times New Roman" w:hAnsi="Times New Roman" w:eastAsia="宋体"/>
                <w:b w:val="0"/>
                <w:sz w:val="17"/>
              </w:rPr>
              <w:t>100</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10</w:t>
            </w:r>
          </w:p>
        </w:tc>
        <w:tc>
          <w:tcPr>
            <w:tcW w:type="dxa" w:w="1344"/>
          </w:tcPr>
          <w:p>
            <w:pPr>
              <w:spacing w:after="0"/>
            </w:pPr>
            <w:r>
              <w:rPr>
                <w:rFonts w:ascii="Times New Roman" w:hAnsi="Times New Roman" w:eastAsia="宋体"/>
                <w:b w:val="0"/>
                <w:sz w:val="17"/>
              </w:rPr>
              <w:t>60、120、180、240、300</w:t>
            </w:r>
          </w:p>
        </w:tc>
      </w:tr>
      <w:tr>
        <w:tc>
          <w:tcPr>
            <w:tcW w:type="dxa" w:w="1344"/>
          </w:tcPr>
          <w:p>
            <w:pPr>
              <w:spacing w:after="0"/>
            </w:pPr>
            <w:r>
              <w:rPr>
                <w:rFonts w:ascii="Times New Roman" w:hAnsi="Times New Roman" w:eastAsia="宋体"/>
                <w:b w:val="0"/>
                <w:sz w:val="17"/>
              </w:rPr>
              <w:t>外部确认池D</w:t>
            </w:r>
          </w:p>
        </w:tc>
        <w:tc>
          <w:tcPr>
            <w:tcW w:type="dxa" w:w="1344"/>
          </w:tcPr>
          <w:p>
            <w:pPr>
              <w:spacing w:after="0"/>
            </w:pPr>
            <w:r>
              <w:rPr>
                <w:rFonts w:ascii="Times New Roman" w:hAnsi="Times New Roman" w:eastAsia="宋体"/>
                <w:b w:val="0"/>
                <w:sz w:val="17"/>
              </w:rPr>
              <w:t>未用Objects365 v2 train发布分包目标</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20</w:t>
            </w:r>
          </w:p>
        </w:tc>
        <w:tc>
          <w:tcPr>
            <w:tcW w:type="dxa" w:w="1344"/>
          </w:tcPr>
          <w:p>
            <w:pPr>
              <w:spacing w:after="0"/>
            </w:pPr>
            <w:r>
              <w:rPr>
                <w:rFonts w:ascii="Times New Roman" w:hAnsi="Times New Roman" w:eastAsia="宋体"/>
                <w:b w:val="0"/>
                <w:sz w:val="17"/>
              </w:rPr>
              <w:t>120、240、360、480、600</w:t>
            </w:r>
          </w:p>
        </w:tc>
      </w:tr>
    </w:tbl>
    <w:p/>
    <w:p>
      <w:pPr>
        <w:spacing w:line="324" w:lineRule="auto" w:after="80"/>
        <w:ind w:firstLine="420"/>
      </w:pPr>
      <w:r>
        <w:rPr>
          <w:rFonts w:ascii="Times New Roman" w:hAnsi="Times New Roman" w:eastAsia="宋体"/>
          <w:b w:val="0"/>
          <w:sz w:val="21"/>
        </w:rPr>
        <w:t>COCO提供具有实例标注的场景图像，VOC2007提供其原生目标标注。本文从官方目标标注构建固定框六分类任务，并非复现官方检测或多标签分类评测；VOC数值不能当作官方排行榜结果。</w:t>
      </w:r>
      <w:r>
        <w:rPr>
          <w:rFonts w:ascii="Times New Roman" w:hAnsi="Times New Roman" w:eastAsia="宋体"/>
          <w:b w:val="0"/>
          <w:sz w:val="21"/>
        </w:rPr>
        <w:t>COCO原论文（https://arxiv.org/abs/1405.0312）</w:t>
      </w:r>
      <w:r>
        <w:rPr>
          <w:rFonts w:ascii="Times New Roman" w:hAnsi="Times New Roman" w:eastAsia="宋体"/>
          <w:b w:val="0"/>
          <w:sz w:val="21"/>
        </w:rPr>
        <w:t>、</w:t>
      </w:r>
      <w:r>
        <w:rPr>
          <w:rFonts w:ascii="Times New Roman" w:hAnsi="Times New Roman" w:eastAsia="宋体"/>
          <w:b w:val="0"/>
          <w:sz w:val="21"/>
        </w:rPr>
        <w:t>VOC2007官方页面（https://www.robots.ox.ac.uk/~vgg/projects/pascal/VOC/voc2007/index.html）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新池按预定哈希次序选择图像，一个源图只保留一个目标，类间图像互斥；同类存在多个框时固定最大目标框。采样不读取分类错误，也不依据实验收益富集困难样本。历史图像ID、图像与裁剪哈希均参与排除；近重复检测采用既有pHash与冻结ViT联合阈值。B属于同来源的新样本确认，C属于不同数据来源确认，二者不能混称。自动重复检查不保证排除全部近重复，也不能排除ImageNet预训练阶段的重叠。</w:t>
      </w:r>
    </w:p>
    <w:p>
      <w:pPr>
        <w:spacing w:line="324" w:lineRule="auto" w:after="80"/>
        <w:ind w:firstLine="420"/>
      </w:pPr>
      <w:r>
        <w:rPr>
          <w:rFonts w:ascii="Times New Roman" w:hAnsi="Times New Roman" w:eastAsia="宋体"/>
          <w:b w:val="0"/>
          <w:sz w:val="21"/>
        </w:rPr>
        <w:t>D沿用Objects365 v2官方目标框，六类仅映射Dog、Cat、Horse、Sheep、Person、Car，不将SUV或其他动物合并。先核查validation，合格sheep仅227图，故在新状态标注和分类预测前改查train发布分包；这些目标只用于测试，分类器不再训练。分包按固定SHA256顺序取首个达到每类至少600个合格图像的前缀，共13包。初次40GiB前缀仍不足，按完整元数据数量记录一次预算修订为80GiB，实际分包67.76GiB；来源、split及预算调整均早于新分类预测。每图按固定哈希排序选目标，框面积比例至少0.001，非crowd/ignore且坐标合法。该来源缺少Open Images同格式depiction/inside属性，不虚构对应过滤。对26905份历史唯一裁剪参考执行既有精确哈希和近重复规则，正式2400目标及每类60个技术替补准备完成。标注技术失败后按原规则替换1个car目标；替换与初始清单均保存。最终每个VLM有2400个严格有效正式标签。D条件于预定分包前缀，不能代表Objects365自然分布。</w:t>
      </w:r>
      <w:r>
        <w:rPr>
          <w:rFonts w:ascii="Times New Roman" w:hAnsi="Times New Roman" w:eastAsia="宋体"/>
          <w:b w:val="0"/>
          <w:sz w:val="21"/>
        </w:rPr>
        <w:t>Objects365数据说明（https://www.objects365.org/download.html）</w:t>
      </w:r>
      <w:r>
        <w:rPr>
          <w:rFonts w:ascii="Times New Roman" w:hAnsi="Times New Roman" w:eastAsia="宋体"/>
          <w:b w:val="0"/>
          <w:sz w:val="21"/>
        </w:rPr>
        <w:t>、</w:t>
      </w:r>
      <w:r>
        <w:rPr>
          <w:rFonts w:ascii="Times New Roman" w:hAnsi="Times New Roman" w:eastAsia="宋体"/>
          <w:b w:val="0"/>
          <w:sz w:val="21"/>
        </w:rPr>
        <w:t>完整D协议与修订（objects365_independent_confirmation_protocol_20261005.md）</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VOC来源由VOC2012改为VOC2007，是因为完整历史排除后原计划的dog数量不足；来源调整发生在新标注及分类预测之前，不依据性能决定。六类统一保持100个正式目标。本轮B和C各自完成全池双标注，严格有效响应分别为每来源2400/2400和600/600；C没有替换正式目标。该成功率仅指协议有效性。</w:t>
      </w:r>
    </w:p>
    <w:p>
      <w:pPr>
        <w:spacing w:line="324" w:lineRule="auto" w:after="80"/>
        <w:ind w:firstLine="420"/>
      </w:pPr>
      <w:r>
        <w:rPr>
          <w:rFonts w:ascii="Times New Roman" w:hAnsi="Times New Roman" w:eastAsia="宋体"/>
          <w:b w:val="0"/>
          <w:sz w:val="21"/>
        </w:rPr>
        <w:t>B与D最终选样比例为25%，C为50%，各池预算与可行状态数量不同。所有方法在池内同预算比较；不以跨池绝对覆盖值判断哪一个池更充分。</w:t>
      </w:r>
    </w:p>
    <w:p>
      <w:pPr>
        <w:pStyle w:val="Heading3"/>
      </w:pPr>
      <w:r>
        <w:t>4.2 被测模型与固定训练</w:t>
      </w:r>
    </w:p>
    <w:p>
      <w:pPr>
        <w:spacing w:line="324" w:lineRule="auto" w:after="80"/>
        <w:ind w:firstLine="420"/>
      </w:pPr>
      <w:r>
        <w:rPr>
          <w:rFonts w:ascii="Times New Roman" w:hAnsi="Times New Roman" w:eastAsia="宋体"/>
          <w:b w:val="0"/>
          <w:sz w:val="21"/>
        </w:rPr>
        <w:t>八种架构为ResNet-18、ResNet-50、MobileNetV3-Small、MobileNetV3-Large、DenseNet-121、EfficientNet-B0、ConvNeXt-Tiny和Swin-T。每种架构训练三个种子：20260916、20260917和20260918，共24份权重。模型使用ImageNet预训练初始化，替换六分类头并微调整个网络。</w:t>
      </w:r>
    </w:p>
    <w:p>
      <w:pPr>
        <w:spacing w:line="324" w:lineRule="auto" w:after="80"/>
        <w:ind w:firstLine="420"/>
      </w:pPr>
      <w:r>
        <w:rPr>
          <w:rFonts w:ascii="Times New Roman" w:hAnsi="Times New Roman" w:eastAsia="宋体"/>
          <w:b w:val="0"/>
          <w:sz w:val="21"/>
        </w:rPr>
        <w:t>统一训练20轮，每轮类别均衡加权抽样3000次，batch size为64，AdamW学习率与weight decay均为$10^{-4}$，采用余弦学习率调度。训练输入包含Resize(256)、224像素随机裁剪、水平翻转、轻度ColorJitter及ImageNet归一化；评测使用相同5%边距目标裁剪、Resize(256)、CenterCrop(224)与归一化。以固定验证集Macro-F1选择checkpoint。</w:t>
      </w:r>
    </w:p>
    <w:p>
      <w:pPr>
        <w:spacing w:line="324" w:lineRule="auto" w:after="80"/>
        <w:ind w:firstLine="420"/>
      </w:pPr>
      <w:r>
        <w:rPr>
          <w:rFonts w:ascii="Times New Roman" w:hAnsi="Times New Roman" w:eastAsia="宋体"/>
          <w:b w:val="0"/>
          <w:sz w:val="21"/>
        </w:rPr>
        <w:t>统一配置用于控制实验流程，不代表每种架构已经取得各自最佳调参表现。本轮确认仅加载既有权重，未重新训练，也未根据新池结果调整风险权重、模型配置或状态协议。</w:t>
      </w:r>
    </w:p>
    <w:p>
      <w:pPr>
        <w:pStyle w:val="Heading3"/>
      </w:pPr>
      <w:r>
        <w:t>4.3 三种测试视角</w:t>
      </w:r>
    </w:p>
    <w:p>
      <w:pPr>
        <w:spacing w:line="324" w:lineRule="auto" w:after="80"/>
        <w:ind w:firstLine="420"/>
      </w:pPr>
      <w:r>
        <w:rPr>
          <w:rFonts w:ascii="Times New Roman" w:hAnsi="Times New Roman" w:eastAsia="宋体"/>
          <w:b/>
          <w:sz w:val="21"/>
        </w:rPr>
        <w:t>完整风险层</w:t>
      </w:r>
      <w:r>
        <w:rPr>
          <w:rFonts w:ascii="Times New Roman" w:hAnsi="Times New Roman" w:eastAsia="宋体"/>
          <w:b w:val="0"/>
          <w:sz w:val="21"/>
        </w:rPr>
        <w:t>评测该层全部目标，B/D每层480个、C每层120个，用于回答风险层是否区分模型表现；它不受层内Coverage选择影响。</w:t>
      </w:r>
    </w:p>
    <w:p>
      <w:pPr>
        <w:spacing w:line="324" w:lineRule="auto" w:after="80"/>
        <w:ind w:firstLine="420"/>
      </w:pPr>
      <w:r>
        <w:rPr>
          <w:rFonts w:ascii="Times New Roman" w:hAnsi="Times New Roman" w:eastAsia="宋体"/>
          <w:b/>
          <w:sz w:val="21"/>
        </w:rPr>
        <w:t>独立新增批次</w:t>
      </w:r>
      <w:r>
        <w:rPr>
          <w:rFonts w:ascii="Times New Roman" w:hAnsi="Times New Roman" w:eastAsia="宋体"/>
          <w:b w:val="0"/>
          <w:sz w:val="21"/>
        </w:rPr>
        <w:t>仅评测该层实际选中的新目标，B/D每批120个、C每批60个，观察加入该层时的新样本表现。</w:t>
      </w:r>
    </w:p>
    <w:p>
      <w:pPr>
        <w:spacing w:line="324" w:lineRule="auto" w:after="80"/>
        <w:ind w:firstLine="420"/>
      </w:pPr>
      <w:r>
        <w:rPr>
          <w:rFonts w:ascii="Times New Roman" w:hAnsi="Times New Roman" w:eastAsia="宋体"/>
          <w:b/>
          <w:sz w:val="21"/>
        </w:rPr>
        <w:t>累计测试集合</w:t>
      </w:r>
      <w:r>
        <w:rPr>
          <w:rFonts w:ascii="Times New Roman" w:hAnsi="Times New Roman" w:eastAsia="宋体"/>
          <w:b w:val="0"/>
          <w:sz w:val="21"/>
        </w:rPr>
        <w:t>合并此前所有批次，再从完整混淆矩阵重新计算性能。累计F1不是批次F1的算术平均。三个视角分开报告，避免低风险目标在累计集合中的占比掩盖新增高风险批次的能力差异。</w:t>
      </w:r>
    </w:p>
    <w:p>
      <w:pPr>
        <w:pStyle w:val="Heading3"/>
      </w:pPr>
      <w:r>
        <w:t>4.4 统计分析与证据层次</w:t>
      </w:r>
    </w:p>
    <w:p>
      <w:pPr>
        <w:spacing w:line="324" w:lineRule="auto" w:after="80"/>
        <w:ind w:firstLine="420"/>
      </w:pPr>
      <w:r>
        <w:rPr>
          <w:rFonts w:ascii="Times New Roman" w:hAnsi="Times New Roman" w:eastAsia="宋体"/>
          <w:b w:val="0"/>
          <w:sz w:val="21"/>
        </w:rPr>
        <w:t>每个架构先对三个种子取平均，再以八个架构为单位枚举符号翻转，进行双侧精确检验。主要置信区间采用5000次架构/种子层级bootstrap，条件于当前候选池与已执行配置。风险差值另报告固定24模型面板下、类别和风险层内部的源图重采样区间，作为样本不确定性的补充；两类区间不代表同一个变动来源。</w:t>
      </w:r>
    </w:p>
    <w:p>
      <w:pPr>
        <w:spacing w:line="324" w:lineRule="auto" w:after="80"/>
        <w:ind w:firstLine="420"/>
      </w:pPr>
      <w:r>
        <w:rPr>
          <w:rFonts w:ascii="Times New Roman" w:hAnsi="Times New Roman" w:eastAsia="宋体"/>
          <w:b w:val="0"/>
          <w:sz w:val="21"/>
        </w:rPr>
        <w:t>主要风险检验族包含两种标注来源×三种unknown处理的六项Q5−Q1比较；主要方法族包含两种来源×两个诊断指标的四项Coverage相对共同配额Random比较；冻结状态迁移为两项。强基线比较为12项次要族，删字段为四项补充族；全部20项方法比较统一校正、统一ViT表征、来源交叉及风险变体分别保留。各池分别检验，不将某一来源的显著结果当成另一来源也成立。</w:t>
      </w:r>
    </w:p>
    <w:p>
      <w:pPr>
        <w:spacing w:line="324" w:lineRule="auto" w:after="80"/>
        <w:ind w:firstLine="420"/>
      </w:pPr>
      <w:r>
        <w:rPr>
          <w:rFonts w:ascii="Times New Roman" w:hAnsi="Times New Roman" w:eastAsia="宋体"/>
          <w:b w:val="0"/>
          <w:sz w:val="21"/>
        </w:rPr>
        <w:t>八架构双侧精确检验最小p值为$2/2^8=0.0078125$。12项或20项Holm族的第一项门槛小于该值，按当前设计无法启动拒绝。这限制了强基线比较的统计判定能力；未通过校正不能直接解释为不存在效应。固定面板的图像bootstrap区间作为补充估计，不替换预定主检验，也不把三个种子视为新增独立架构。</w:t>
      </w:r>
    </w:p>
    <w:p>
      <w:pPr>
        <w:spacing w:line="324" w:lineRule="auto" w:after="80"/>
        <w:ind w:firstLine="420"/>
      </w:pPr>
      <w:r>
        <w:rPr>
          <w:rFonts w:ascii="Times New Roman" w:hAnsi="Times New Roman" w:eastAsia="宋体"/>
          <w:b w:val="0"/>
          <w:sz w:val="21"/>
        </w:rPr>
        <w:t>研究问题源于历史探索，最初风险规则包含事后形成过程；B/C/D沿用冻结规则、状态清单和权重执行确认。D执行中出现并发进度临时文件冲突，在新标注/分类预测前仅修复日志写入方式，保存旧代码、冻结表及技术修订；不修改抽样或统计。代码与输入哈希检查不能将整项研究追溯称为完全盲测。</w:t>
      </w:r>
    </w:p>
    <w:p>
      <w:pPr>
        <w:pStyle w:val="Heading3"/>
      </w:pPr>
      <w:r>
        <w:t>4.5 标签分歧敏感性（事后缓存分析）</w:t>
      </w:r>
    </w:p>
    <w:p>
      <w:pPr>
        <w:spacing w:line="324" w:lineRule="auto" w:after="80"/>
        <w:ind w:firstLine="420"/>
      </w:pPr>
      <w:r>
        <w:rPr>
          <w:rFonts w:ascii="Times New Roman" w:hAnsi="Times New Roman" w:eastAsia="宋体"/>
          <w:b w:val="0"/>
          <w:sz w:val="21"/>
        </w:rPr>
        <w:t>本轮额外比较三个固定组：全体；四个VLM风险字段均非unknown且一致的risk_agree；14个共享字段均非unknown且一致的shared_agree。多值字段按集合比较，程序尺度来自同一目标框。沿用每来源原全池中点风险层，不在筛选后重新划层；逐类别/原风险层报告保留数、H、框面积和未知维数。两端风险层任一类别少于5图则不评价该子集的六类Macro-F1差或模型排名，不补样或放宽门槛。</w:t>
      </w:r>
    </w:p>
    <w:p>
      <w:pPr>
        <w:spacing w:line="324" w:lineRule="auto" w:after="80"/>
        <w:ind w:firstLine="420"/>
      </w:pPr>
      <w:r>
        <w:rPr>
          <w:rFonts w:ascii="Times New Roman" w:hAnsi="Times New Roman" w:eastAsia="宋体"/>
          <w:b w:val="0"/>
          <w:sz w:val="21"/>
        </w:rPr>
        <w:t>薄弱状态采用逐字段一致筛选：仅要求待评价字段双方已知且一致，原程序尺度不筛除。沿用A全部175条组合，状态至少20图且非该状态参考至少20图才可评价；全体结果在同一可评价组合集合上重算，防止组合集合变化产生虚假稳定。该筛选分析不验证标签正确性，也不隔离所有视觉混杂。</w:t>
      </w:r>
    </w:p>
    <w:p>
      <w:pPr>
        <w:spacing w:line="324" w:lineRule="auto" w:after="80"/>
        <w:ind w:firstLine="420"/>
      </w:pPr>
      <w:r>
        <w:rPr>
          <w:rFonts w:ascii="Times New Roman" w:hAnsi="Times New Roman" w:eastAsia="宋体"/>
          <w:b w:val="0"/>
          <w:sz w:val="21"/>
        </w:rPr>
        <w:t>全池风险差补充2000次类别/原层内源图重采样区间，保留每图跨24权重预测的相关性，条件于固定模型面板。协议在计算新子集结果前保存，但此前完整结果已可见，因此该分析为事后敏感性，不扩大原主检验家族，也不将子集结果升级为确认显著性。</w:t>
      </w:r>
      <w:r>
        <w:rPr>
          <w:rFonts w:ascii="Times New Roman" w:hAnsi="Times New Roman" w:eastAsia="宋体"/>
          <w:b w:val="0"/>
          <w:sz w:val="21"/>
        </w:rPr>
        <w:t>缓存分析协议（label_disagreement_sensitivity_protocol_20261005.md）</w:t>
      </w:r>
      <w:r>
        <w:rPr>
          <w:rFonts w:ascii="Times New Roman" w:hAnsi="Times New Roman" w:eastAsia="宋体"/>
          <w:b w:val="0"/>
          <w:sz w:val="21"/>
        </w:rPr>
        <w:t>。</w:t>
      </w:r>
    </w:p>
    <w:p>
      <w:pPr>
        <w:pStyle w:val="Heading3"/>
      </w:pPr>
      <w:r>
        <w:t>4.6 完整池排名与属性参考补强</w:t>
      </w:r>
    </w:p>
    <w:p>
      <w:pPr>
        <w:spacing w:line="324" w:lineRule="auto" w:after="80"/>
        <w:ind w:firstLine="420"/>
      </w:pPr>
      <w:r>
        <w:rPr>
          <w:rFonts w:ascii="Times New Roman" w:hAnsi="Times New Roman" w:eastAsia="宋体"/>
          <w:b w:val="0"/>
          <w:sz w:val="21"/>
        </w:rPr>
        <w:t>后续完整池排名与官方属性分析同样为事后补强，规则在计算新增汇总前保存。每池比较本地/线上×unknown下界/中点/上界六配置，以各配置原完整Q5上三个种子的Macro-F1均值排列架构。2000次类别内完整源图重采样由全部模型和配置共享，固定原Q5身份，保留不同配置的样本重叠；区间条件于固定24权重及标签。模型间差值区间仅描述性，不扩大原显著性检验族。参考属性使用A中2289个Open Images目标，none映射0、其他已知严重度映射1、unknown单列；同时报告目标加权和类别等权结果。</w:t>
      </w:r>
      <w:r>
        <w:rPr>
          <w:rFonts w:ascii="Times New Roman" w:hAnsi="Times New Roman" w:eastAsia="宋体"/>
          <w:b w:val="0"/>
          <w:sz w:val="21"/>
        </w:rPr>
        <w:t>补强协议（ranking_attribute_validation_protocol_20261005.md）</w:t>
      </w:r>
      <w:r>
        <w:rPr>
          <w:rFonts w:ascii="Times New Roman" w:hAnsi="Times New Roman" w:eastAsia="宋体"/>
          <w:b w:val="0"/>
          <w:sz w:val="21"/>
        </w:rPr>
        <w:t>。</w:t>
      </w:r>
    </w:p>
    <w:p>
      <w:pPr>
        <w:pStyle w:val="Heading2"/>
      </w:pPr>
      <w:r>
        <w:t>5 实验结果</w:t>
      </w:r>
    </w:p>
    <w:p>
      <w:pPr>
        <w:pStyle w:val="Heading3"/>
      </w:pPr>
      <w:r>
        <w:t>5.1 RQ1：视觉风险层能够区分固定模型表现</w:t>
      </w:r>
    </w:p>
    <w:p>
      <w:pPr>
        <w:spacing w:line="324" w:lineRule="auto" w:after="80"/>
        <w:ind w:firstLine="420"/>
      </w:pPr>
      <w:r>
        <w:rPr>
          <w:rFonts w:ascii="Times New Roman" w:hAnsi="Times New Roman" w:eastAsia="宋体"/>
          <w:b w:val="0"/>
          <w:sz w:val="21"/>
        </w:rPr>
        <w:t>表1报告完整风险层Macro-F1，数值为24次运行平均。两种标注来源分别定义风险层，对应的图片构成可能不同。</w:t>
      </w:r>
    </w:p>
    <w:p>
      <w:pPr>
        <w:spacing w:line="324" w:lineRule="auto" w:after="80"/>
        <w:ind w:firstLine="420"/>
      </w:pPr>
      <w:r>
        <w:rPr>
          <w:rFonts w:ascii="Times New Roman" w:hAnsi="Times New Roman" w:eastAsia="宋体"/>
          <w:b/>
          <w:sz w:val="21"/>
        </w:rPr>
        <w:t>表1 完整风险层Macro-F1（%）。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风险层</w:t>
            </w:r>
          </w:p>
        </w:tc>
        <w:tc>
          <w:tcPr>
            <w:tcW w:type="dxa" w:w="1881"/>
            <w:shd w:fill="D9EAF7"/>
          </w:tcPr>
          <w:p>
            <w:pPr>
              <w:spacing w:after="0"/>
            </w:pPr>
            <w:r>
              <w:rPr>
                <w:rFonts w:ascii="Times New Roman" w:hAnsi="Times New Roman" w:eastAsia="宋体"/>
                <w:b/>
                <w:sz w:val="17"/>
              </w:rPr>
              <w:t>B本地</w:t>
            </w:r>
          </w:p>
        </w:tc>
        <w:tc>
          <w:tcPr>
            <w:tcW w:type="dxa" w:w="1881"/>
            <w:shd w:fill="D9EAF7"/>
          </w:tcPr>
          <w:p>
            <w:pPr>
              <w:spacing w:after="0"/>
            </w:pPr>
            <w:r>
              <w:rPr>
                <w:rFonts w:ascii="Times New Roman" w:hAnsi="Times New Roman" w:eastAsia="宋体"/>
                <w:b/>
                <w:sz w:val="17"/>
              </w:rPr>
              <w:t>B线上</w:t>
            </w:r>
          </w:p>
        </w:tc>
        <w:tc>
          <w:tcPr>
            <w:tcW w:type="dxa" w:w="1881"/>
            <w:shd w:fill="D9EAF7"/>
          </w:tcPr>
          <w:p>
            <w:pPr>
              <w:spacing w:after="0"/>
            </w:pPr>
            <w:r>
              <w:rPr>
                <w:rFonts w:ascii="Times New Roman" w:hAnsi="Times New Roman" w:eastAsia="宋体"/>
                <w:b/>
                <w:sz w:val="17"/>
              </w:rPr>
              <w:t>C本地</w:t>
            </w:r>
          </w:p>
        </w:tc>
        <w:tc>
          <w:tcPr>
            <w:tcW w:type="dxa" w:w="1881"/>
            <w:shd w:fill="D9EAF7"/>
          </w:tcPr>
          <w:p>
            <w:pPr>
              <w:spacing w:after="0"/>
            </w:pPr>
            <w:r>
              <w:rPr>
                <w:rFonts w:ascii="Times New Roman" w:hAnsi="Times New Roman" w:eastAsia="宋体"/>
                <w:b/>
                <w:sz w:val="17"/>
              </w:rPr>
              <w:t>C线上</w:t>
            </w:r>
          </w:p>
        </w:tc>
      </w:tr>
      <w:tr>
        <w:tc>
          <w:tcPr>
            <w:tcW w:type="dxa" w:w="1881"/>
          </w:tcPr>
          <w:p>
            <w:pPr>
              <w:spacing w:after="0"/>
            </w:pPr>
            <w:r>
              <w:rPr>
                <w:rFonts w:ascii="Times New Roman" w:hAnsi="Times New Roman" w:eastAsia="宋体"/>
                <w:b w:val="0"/>
                <w:sz w:val="17"/>
              </w:rPr>
              <w:t>Q1</w:t>
            </w:r>
          </w:p>
        </w:tc>
        <w:tc>
          <w:tcPr>
            <w:tcW w:type="dxa" w:w="1881"/>
          </w:tcPr>
          <w:p>
            <w:pPr>
              <w:spacing w:after="0"/>
            </w:pPr>
            <w:r>
              <w:rPr>
                <w:rFonts w:ascii="Times New Roman" w:hAnsi="Times New Roman" w:eastAsia="宋体"/>
                <w:b w:val="0"/>
                <w:sz w:val="17"/>
              </w:rPr>
              <w:t>95.11</w:t>
            </w:r>
          </w:p>
        </w:tc>
        <w:tc>
          <w:tcPr>
            <w:tcW w:type="dxa" w:w="1881"/>
          </w:tcPr>
          <w:p>
            <w:pPr>
              <w:spacing w:after="0"/>
            </w:pPr>
            <w:r>
              <w:rPr>
                <w:rFonts w:ascii="Times New Roman" w:hAnsi="Times New Roman" w:eastAsia="宋体"/>
                <w:b w:val="0"/>
                <w:sz w:val="17"/>
              </w:rPr>
              <w:t>93.95</w:t>
            </w:r>
          </w:p>
        </w:tc>
        <w:tc>
          <w:tcPr>
            <w:tcW w:type="dxa" w:w="1881"/>
          </w:tcPr>
          <w:p>
            <w:pPr>
              <w:spacing w:after="0"/>
            </w:pPr>
            <w:r>
              <w:rPr>
                <w:rFonts w:ascii="Times New Roman" w:hAnsi="Times New Roman" w:eastAsia="宋体"/>
                <w:b w:val="0"/>
                <w:sz w:val="17"/>
              </w:rPr>
              <w:t>92.45</w:t>
            </w:r>
          </w:p>
        </w:tc>
        <w:tc>
          <w:tcPr>
            <w:tcW w:type="dxa" w:w="1881"/>
          </w:tcPr>
          <w:p>
            <w:pPr>
              <w:spacing w:after="0"/>
            </w:pPr>
            <w:r>
              <w:rPr>
                <w:rFonts w:ascii="Times New Roman" w:hAnsi="Times New Roman" w:eastAsia="宋体"/>
                <w:b w:val="0"/>
                <w:sz w:val="17"/>
              </w:rPr>
              <w:t>93.21</w:t>
            </w:r>
          </w:p>
        </w:tc>
      </w:tr>
      <w:tr>
        <w:tc>
          <w:tcPr>
            <w:tcW w:type="dxa" w:w="1881"/>
          </w:tcPr>
          <w:p>
            <w:pPr>
              <w:spacing w:after="0"/>
            </w:pPr>
            <w:r>
              <w:rPr>
                <w:rFonts w:ascii="Times New Roman" w:hAnsi="Times New Roman" w:eastAsia="宋体"/>
                <w:b w:val="0"/>
                <w:sz w:val="17"/>
              </w:rPr>
              <w:t>Q2</w:t>
            </w:r>
          </w:p>
        </w:tc>
        <w:tc>
          <w:tcPr>
            <w:tcW w:type="dxa" w:w="1881"/>
          </w:tcPr>
          <w:p>
            <w:pPr>
              <w:spacing w:after="0"/>
            </w:pPr>
            <w:r>
              <w:rPr>
                <w:rFonts w:ascii="Times New Roman" w:hAnsi="Times New Roman" w:eastAsia="宋体"/>
                <w:b w:val="0"/>
                <w:sz w:val="17"/>
              </w:rPr>
              <w:t>91.64</w:t>
            </w:r>
          </w:p>
        </w:tc>
        <w:tc>
          <w:tcPr>
            <w:tcW w:type="dxa" w:w="1881"/>
          </w:tcPr>
          <w:p>
            <w:pPr>
              <w:spacing w:after="0"/>
            </w:pPr>
            <w:r>
              <w:rPr>
                <w:rFonts w:ascii="Times New Roman" w:hAnsi="Times New Roman" w:eastAsia="宋体"/>
                <w:b w:val="0"/>
                <w:sz w:val="17"/>
              </w:rPr>
              <w:t>92.27</w:t>
            </w:r>
          </w:p>
        </w:tc>
        <w:tc>
          <w:tcPr>
            <w:tcW w:type="dxa" w:w="1881"/>
          </w:tcPr>
          <w:p>
            <w:pPr>
              <w:spacing w:after="0"/>
            </w:pPr>
            <w:r>
              <w:rPr>
                <w:rFonts w:ascii="Times New Roman" w:hAnsi="Times New Roman" w:eastAsia="宋体"/>
                <w:b w:val="0"/>
                <w:sz w:val="17"/>
              </w:rPr>
              <w:t>91.72</w:t>
            </w:r>
          </w:p>
        </w:tc>
        <w:tc>
          <w:tcPr>
            <w:tcW w:type="dxa" w:w="1881"/>
          </w:tcPr>
          <w:p>
            <w:pPr>
              <w:spacing w:after="0"/>
            </w:pPr>
            <w:r>
              <w:rPr>
                <w:rFonts w:ascii="Times New Roman" w:hAnsi="Times New Roman" w:eastAsia="宋体"/>
                <w:b w:val="0"/>
                <w:sz w:val="17"/>
              </w:rPr>
              <w:t>91.92</w:t>
            </w:r>
          </w:p>
        </w:tc>
      </w:tr>
      <w:tr>
        <w:tc>
          <w:tcPr>
            <w:tcW w:type="dxa" w:w="1881"/>
          </w:tcPr>
          <w:p>
            <w:pPr>
              <w:spacing w:after="0"/>
            </w:pPr>
            <w:r>
              <w:rPr>
                <w:rFonts w:ascii="Times New Roman" w:hAnsi="Times New Roman" w:eastAsia="宋体"/>
                <w:b w:val="0"/>
                <w:sz w:val="17"/>
              </w:rPr>
              <w:t>Q3</w:t>
            </w:r>
          </w:p>
        </w:tc>
        <w:tc>
          <w:tcPr>
            <w:tcW w:type="dxa" w:w="1881"/>
          </w:tcPr>
          <w:p>
            <w:pPr>
              <w:spacing w:after="0"/>
            </w:pPr>
            <w:r>
              <w:rPr>
                <w:rFonts w:ascii="Times New Roman" w:hAnsi="Times New Roman" w:eastAsia="宋体"/>
                <w:b w:val="0"/>
                <w:sz w:val="17"/>
              </w:rPr>
              <w:t>89.37</w:t>
            </w:r>
          </w:p>
        </w:tc>
        <w:tc>
          <w:tcPr>
            <w:tcW w:type="dxa" w:w="1881"/>
          </w:tcPr>
          <w:p>
            <w:pPr>
              <w:spacing w:after="0"/>
            </w:pPr>
            <w:r>
              <w:rPr>
                <w:rFonts w:ascii="Times New Roman" w:hAnsi="Times New Roman" w:eastAsia="宋体"/>
                <w:b w:val="0"/>
                <w:sz w:val="17"/>
              </w:rPr>
              <w:t>86.17</w:t>
            </w:r>
          </w:p>
        </w:tc>
        <w:tc>
          <w:tcPr>
            <w:tcW w:type="dxa" w:w="1881"/>
          </w:tcPr>
          <w:p>
            <w:pPr>
              <w:spacing w:after="0"/>
            </w:pPr>
            <w:r>
              <w:rPr>
                <w:rFonts w:ascii="Times New Roman" w:hAnsi="Times New Roman" w:eastAsia="宋体"/>
                <w:b w:val="0"/>
                <w:sz w:val="17"/>
              </w:rPr>
              <w:t>93.92</w:t>
            </w:r>
          </w:p>
        </w:tc>
        <w:tc>
          <w:tcPr>
            <w:tcW w:type="dxa" w:w="1881"/>
          </w:tcPr>
          <w:p>
            <w:pPr>
              <w:spacing w:after="0"/>
            </w:pPr>
            <w:r>
              <w:rPr>
                <w:rFonts w:ascii="Times New Roman" w:hAnsi="Times New Roman" w:eastAsia="宋体"/>
                <w:b w:val="0"/>
                <w:sz w:val="17"/>
              </w:rPr>
              <w:t>89.87</w:t>
            </w:r>
          </w:p>
        </w:tc>
      </w:tr>
      <w:tr>
        <w:tc>
          <w:tcPr>
            <w:tcW w:type="dxa" w:w="1881"/>
          </w:tcPr>
          <w:p>
            <w:pPr>
              <w:spacing w:after="0"/>
            </w:pPr>
            <w:r>
              <w:rPr>
                <w:rFonts w:ascii="Times New Roman" w:hAnsi="Times New Roman" w:eastAsia="宋体"/>
                <w:b w:val="0"/>
                <w:sz w:val="17"/>
              </w:rPr>
              <w:t>Q4</w:t>
            </w:r>
          </w:p>
        </w:tc>
        <w:tc>
          <w:tcPr>
            <w:tcW w:type="dxa" w:w="1881"/>
          </w:tcPr>
          <w:p>
            <w:pPr>
              <w:spacing w:after="0"/>
            </w:pPr>
            <w:r>
              <w:rPr>
                <w:rFonts w:ascii="Times New Roman" w:hAnsi="Times New Roman" w:eastAsia="宋体"/>
                <w:b w:val="0"/>
                <w:sz w:val="17"/>
              </w:rPr>
              <w:t>84.21</w:t>
            </w:r>
          </w:p>
        </w:tc>
        <w:tc>
          <w:tcPr>
            <w:tcW w:type="dxa" w:w="1881"/>
          </w:tcPr>
          <w:p>
            <w:pPr>
              <w:spacing w:after="0"/>
            </w:pPr>
            <w:r>
              <w:rPr>
                <w:rFonts w:ascii="Times New Roman" w:hAnsi="Times New Roman" w:eastAsia="宋体"/>
                <w:b w:val="0"/>
                <w:sz w:val="17"/>
              </w:rPr>
              <w:t>85.02</w:t>
            </w:r>
          </w:p>
        </w:tc>
        <w:tc>
          <w:tcPr>
            <w:tcW w:type="dxa" w:w="1881"/>
          </w:tcPr>
          <w:p>
            <w:pPr>
              <w:spacing w:after="0"/>
            </w:pPr>
            <w:r>
              <w:rPr>
                <w:rFonts w:ascii="Times New Roman" w:hAnsi="Times New Roman" w:eastAsia="宋体"/>
                <w:b w:val="0"/>
                <w:sz w:val="17"/>
              </w:rPr>
              <w:t>88.98</w:t>
            </w:r>
          </w:p>
        </w:tc>
        <w:tc>
          <w:tcPr>
            <w:tcW w:type="dxa" w:w="1881"/>
          </w:tcPr>
          <w:p>
            <w:pPr>
              <w:spacing w:after="0"/>
            </w:pPr>
            <w:r>
              <w:rPr>
                <w:rFonts w:ascii="Times New Roman" w:hAnsi="Times New Roman" w:eastAsia="宋体"/>
                <w:b w:val="0"/>
                <w:sz w:val="17"/>
              </w:rPr>
              <w:t>89.08</w:t>
            </w:r>
          </w:p>
        </w:tc>
      </w:tr>
      <w:tr>
        <w:tc>
          <w:tcPr>
            <w:tcW w:type="dxa" w:w="1881"/>
          </w:tcPr>
          <w:p>
            <w:pPr>
              <w:spacing w:after="0"/>
            </w:pPr>
            <w:r>
              <w:rPr>
                <w:rFonts w:ascii="Times New Roman" w:hAnsi="Times New Roman" w:eastAsia="宋体"/>
                <w:b w:val="0"/>
                <w:sz w:val="17"/>
              </w:rPr>
              <w:t>Q5</w:t>
            </w:r>
          </w:p>
        </w:tc>
        <w:tc>
          <w:tcPr>
            <w:tcW w:type="dxa" w:w="1881"/>
          </w:tcPr>
          <w:p>
            <w:pPr>
              <w:spacing w:after="0"/>
            </w:pPr>
            <w:r>
              <w:rPr>
                <w:rFonts w:ascii="Times New Roman" w:hAnsi="Times New Roman" w:eastAsia="宋体"/>
                <w:b w:val="0"/>
                <w:sz w:val="17"/>
              </w:rPr>
              <w:t>69.62</w:t>
            </w:r>
          </w:p>
        </w:tc>
        <w:tc>
          <w:tcPr>
            <w:tcW w:type="dxa" w:w="1881"/>
          </w:tcPr>
          <w:p>
            <w:pPr>
              <w:spacing w:after="0"/>
            </w:pPr>
            <w:r>
              <w:rPr>
                <w:rFonts w:ascii="Times New Roman" w:hAnsi="Times New Roman" w:eastAsia="宋体"/>
                <w:b w:val="0"/>
                <w:sz w:val="17"/>
              </w:rPr>
              <w:t>72.65</w:t>
            </w:r>
          </w:p>
        </w:tc>
        <w:tc>
          <w:tcPr>
            <w:tcW w:type="dxa" w:w="1881"/>
          </w:tcPr>
          <w:p>
            <w:pPr>
              <w:spacing w:after="0"/>
            </w:pPr>
            <w:r>
              <w:rPr>
                <w:rFonts w:ascii="Times New Roman" w:hAnsi="Times New Roman" w:eastAsia="宋体"/>
                <w:b w:val="0"/>
                <w:sz w:val="17"/>
              </w:rPr>
              <w:t>75.88</w:t>
            </w:r>
          </w:p>
        </w:tc>
        <w:tc>
          <w:tcPr>
            <w:tcW w:type="dxa" w:w="1881"/>
          </w:tcPr>
          <w:p>
            <w:pPr>
              <w:spacing w:after="0"/>
            </w:pPr>
            <w:r>
              <w:rPr>
                <w:rFonts w:ascii="Times New Roman" w:hAnsi="Times New Roman" w:eastAsia="宋体"/>
                <w:b w:val="0"/>
                <w:sz w:val="17"/>
              </w:rPr>
              <w:t>78.78</w:t>
            </w:r>
          </w:p>
        </w:tc>
      </w:tr>
    </w:tbl>
    <w:p/>
    <w:p>
      <w:pPr>
        <w:spacing w:line="324" w:lineRule="auto" w:after="80"/>
        <w:ind w:firstLine="420"/>
      </w:pPr>
      <w:r>
        <w:rPr>
          <w:rFonts w:ascii="Times New Roman" w:hAnsi="Times New Roman" w:eastAsia="宋体"/>
          <w:b/>
          <w:sz w:val="21"/>
        </w:rPr>
        <w:t>表2 最高风险层减最低风险层的Macro-F1差。区间为架构/种子层级bootstrap，单位为百分点。</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确认池</w:t>
            </w:r>
          </w:p>
        </w:tc>
        <w:tc>
          <w:tcPr>
            <w:tcW w:type="dxa" w:w="1568"/>
            <w:shd w:fill="D9EAF7"/>
          </w:tcPr>
          <w:p>
            <w:pPr>
              <w:spacing w:after="0"/>
            </w:pPr>
            <w:r>
              <w:rPr>
                <w:rFonts w:ascii="Times New Roman" w:hAnsi="Times New Roman" w:eastAsia="宋体"/>
                <w:b/>
                <w:sz w:val="17"/>
              </w:rPr>
              <w:t>标注来源</w:t>
            </w:r>
          </w:p>
        </w:tc>
        <w:tc>
          <w:tcPr>
            <w:tcW w:type="dxa" w:w="1568"/>
            <w:shd w:fill="D9EAF7"/>
          </w:tcPr>
          <w:p>
            <w:pPr>
              <w:spacing w:after="0"/>
            </w:pPr>
            <w:r>
              <w:rPr>
                <w:rFonts w:ascii="Times New Roman" w:hAnsi="Times New Roman" w:eastAsia="宋体"/>
                <w:b/>
                <w:sz w:val="17"/>
              </w:rPr>
              <w:t>Q5−Q1</w:t>
            </w:r>
          </w:p>
        </w:tc>
        <w:tc>
          <w:tcPr>
            <w:tcW w:type="dxa" w:w="1568"/>
            <w:shd w:fill="D9EAF7"/>
          </w:tcPr>
          <w:p>
            <w:pPr>
              <w:spacing w:after="0"/>
            </w:pPr>
            <w:r>
              <w:rPr>
                <w:rFonts w:ascii="Times New Roman" w:hAnsi="Times New Roman" w:eastAsia="宋体"/>
                <w:b/>
                <w:sz w:val="17"/>
              </w:rPr>
              <w:t>95%区间</w:t>
            </w:r>
          </w:p>
        </w:tc>
        <w:tc>
          <w:tcPr>
            <w:tcW w:type="dxa" w:w="1568"/>
            <w:shd w:fill="D9EAF7"/>
          </w:tcPr>
          <w:p>
            <w:pPr>
              <w:spacing w:after="0"/>
            </w:pPr>
            <w:r>
              <w:rPr>
                <w:rFonts w:ascii="Times New Roman" w:hAnsi="Times New Roman" w:eastAsia="宋体"/>
                <w:b/>
                <w:sz w:val="17"/>
              </w:rPr>
              <w:t>负方向运行</w:t>
            </w:r>
          </w:p>
        </w:tc>
        <w:tc>
          <w:tcPr>
            <w:tcW w:type="dxa" w:w="1568"/>
            <w:shd w:fill="D9EAF7"/>
          </w:tcPr>
          <w:p>
            <w:pPr>
              <w:spacing w:after="0"/>
            </w:pPr>
            <w:r>
              <w:rPr>
                <w:rFonts w:ascii="Times New Roman" w:hAnsi="Times New Roman" w:eastAsia="宋体"/>
                <w:b/>
                <w:sz w:val="17"/>
              </w:rPr>
              <w:t>六项Holm p</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−25.50</w:t>
            </w:r>
          </w:p>
        </w:tc>
        <w:tc>
          <w:tcPr>
            <w:tcW w:type="dxa" w:w="1568"/>
          </w:tcPr>
          <w:p>
            <w:pPr>
              <w:spacing w:after="0"/>
            </w:pPr>
            <w:r>
              <w:rPr>
                <w:rFonts w:ascii="Times New Roman" w:hAnsi="Times New Roman" w:eastAsia="宋体"/>
                <w:b w:val="0"/>
                <w:sz w:val="17"/>
              </w:rPr>
              <w:t>[−27.17, −23.94]</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−21.30</w:t>
            </w:r>
          </w:p>
        </w:tc>
        <w:tc>
          <w:tcPr>
            <w:tcW w:type="dxa" w:w="1568"/>
          </w:tcPr>
          <w:p>
            <w:pPr>
              <w:spacing w:after="0"/>
            </w:pPr>
            <w:r>
              <w:rPr>
                <w:rFonts w:ascii="Times New Roman" w:hAnsi="Times New Roman" w:eastAsia="宋体"/>
                <w:b w:val="0"/>
                <w:sz w:val="17"/>
              </w:rPr>
              <w:t>[−22.59, −19.86]</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−16.57</w:t>
            </w:r>
          </w:p>
        </w:tc>
        <w:tc>
          <w:tcPr>
            <w:tcW w:type="dxa" w:w="1568"/>
          </w:tcPr>
          <w:p>
            <w:pPr>
              <w:spacing w:after="0"/>
            </w:pPr>
            <w:r>
              <w:rPr>
                <w:rFonts w:ascii="Times New Roman" w:hAnsi="Times New Roman" w:eastAsia="宋体"/>
                <w:b w:val="0"/>
                <w:sz w:val="17"/>
              </w:rPr>
              <w:t>[−19.47, −13.52]</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−14.44</w:t>
            </w:r>
          </w:p>
        </w:tc>
        <w:tc>
          <w:tcPr>
            <w:tcW w:type="dxa" w:w="1568"/>
          </w:tcPr>
          <w:p>
            <w:pPr>
              <w:spacing w:after="0"/>
            </w:pPr>
            <w:r>
              <w:rPr>
                <w:rFonts w:ascii="Times New Roman" w:hAnsi="Times New Roman" w:eastAsia="宋体"/>
                <w:b w:val="0"/>
                <w:sz w:val="17"/>
              </w:rPr>
              <w:t>[−16.65, −11.97]</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bl>
    <w:p/>
    <w:p>
      <w:pPr>
        <w:spacing w:line="324" w:lineRule="auto" w:after="80"/>
        <w:ind w:firstLine="420"/>
      </w:pPr>
      <w:r>
        <w:rPr>
          <w:rFonts w:ascii="Times New Roman" w:hAnsi="Times New Roman" w:eastAsia="宋体"/>
          <w:b w:val="0"/>
          <w:sz w:val="21"/>
        </w:rPr>
        <w:t>两池、两来源的Q5−Q1均为负，并通过预定风险族校正。unknown中点、下界与上界分析亦保留该方向。固定模型面板的源图重采样95%区间也均低于零，C本地为[−23.43, −10.69]个百分点，C线上为[−20.37, −8.47]个百分点，支持该差异并非仅依赖于架构聚合方式。</w:t>
      </w:r>
    </w:p>
    <w:p>
      <w:pPr>
        <w:spacing w:line="324" w:lineRule="auto" w:after="80"/>
        <w:ind w:firstLine="420"/>
      </w:pPr>
      <w:r>
        <w:rPr>
          <w:rFonts w:ascii="Times New Roman" w:hAnsi="Times New Roman" w:eastAsia="宋体"/>
          <w:b w:val="0"/>
          <w:sz w:val="21"/>
        </w:rPr>
        <w:t>中间层并不普遍单调。C本地Q3平均F1高于Q1与Q2，说明风险评分没有穷尽类别构成、图像质量和模型决策所受到的全部影响。最稳定的确认结果是最高风险层与最低风险层之间的差异，而非每级风险提升都产生固定幅度的下降。</w:t>
      </w:r>
    </w:p>
    <w:p>
      <w:pPr>
        <w:jc w:val="center"/>
      </w:pPr>
      <w:r>
        <w:drawing>
          <wp:inline xmlns:a="http://schemas.openxmlformats.org/drawingml/2006/main" xmlns:pic="http://schemas.openxmlformats.org/drawingml/2006/picture">
            <wp:extent cx="5669280" cy="2515390"/>
            <wp:docPr id="1" name="Picture 1"/>
            <wp:cNvGraphicFramePr>
              <a:graphicFrameLocks noChangeAspect="1"/>
            </wp:cNvGraphicFramePr>
            <a:graphic>
              <a:graphicData uri="http://schemas.openxmlformats.org/drawingml/2006/picture">
                <pic:pic>
                  <pic:nvPicPr>
                    <pic:cNvPr id="0" name="full_stratum_model_f1.png"/>
                    <pic:cNvPicPr/>
                  </pic:nvPicPr>
                  <pic:blipFill>
                    <a:blip r:embed="rId10"/>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图1 COCO确认池B完整风险层上的模型Macro-F1。每层480个目标，各模型为三个种子的均值；两面板分别采用本地和线上状态分层。</w:t>
      </w:r>
    </w:p>
    <w:p>
      <w:pPr>
        <w:jc w:val="center"/>
      </w:pPr>
      <w:r>
        <w:drawing>
          <wp:inline xmlns:a="http://schemas.openxmlformats.org/drawingml/2006/main" xmlns:pic="http://schemas.openxmlformats.org/drawingml/2006/picture">
            <wp:extent cx="5669280" cy="2515390"/>
            <wp:docPr id="2" name="Picture 2"/>
            <wp:cNvGraphicFramePr>
              <a:graphicFrameLocks noChangeAspect="1"/>
            </wp:cNvGraphicFramePr>
            <a:graphic>
              <a:graphicData uri="http://schemas.openxmlformats.org/drawingml/2006/picture">
                <pic:pic>
                  <pic:nvPicPr>
                    <pic:cNvPr id="0" name="full_stratum_model_f1.png"/>
                    <pic:cNvPicPr/>
                  </pic:nvPicPr>
                  <pic:blipFill>
                    <a:blip r:embed="rId11"/>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图2 VOC外部确认池C完整风险层上的模型Macro-F1。每层120个目标，模型权重和风险规则沿用B。</w:t>
      </w:r>
    </w:p>
    <w:p>
      <w:pPr>
        <w:spacing w:line="324" w:lineRule="auto" w:after="80"/>
        <w:ind w:firstLine="420"/>
      </w:pPr>
      <w:r>
        <w:rPr>
          <w:rFonts w:ascii="Times New Roman" w:hAnsi="Times New Roman" w:eastAsia="宋体"/>
          <w:b w:val="0"/>
          <w:sz w:val="21"/>
        </w:rPr>
        <w:t>图1和图2中的圆点为实际评测的五个风险层，平滑连接仅用于视觉引导，不表示增加了实验测量点。</w:t>
      </w:r>
    </w:p>
    <w:p>
      <w:pPr>
        <w:pStyle w:val="Heading3"/>
      </w:pPr>
      <w:r>
        <w:t>5.2 RQ2：覆盖增长与性能响应必须分开解释</w:t>
      </w:r>
    </w:p>
    <w:p>
      <w:pPr>
        <w:spacing w:line="324" w:lineRule="auto" w:after="80"/>
        <w:ind w:firstLine="420"/>
      </w:pPr>
      <w:r>
        <w:rPr>
          <w:rFonts w:ascii="Times New Roman" w:hAnsi="Times New Roman" w:eastAsia="宋体"/>
          <w:b w:val="0"/>
          <w:sz w:val="21"/>
        </w:rPr>
        <w:t>表3采用层内Coverage与其风险直方图精确匹配随机协议对应的Coverage序列，分别报告累计覆盖与累计Macro-F1。它不是后续共同配额六方法比较中的同一个Coverage集合。</w:t>
      </w:r>
    </w:p>
    <w:p>
      <w:pPr>
        <w:spacing w:line="324" w:lineRule="auto" w:after="80"/>
        <w:ind w:firstLine="420"/>
      </w:pPr>
      <w:r>
        <w:rPr>
          <w:rFonts w:ascii="Times New Roman" w:hAnsi="Times New Roman" w:eastAsia="宋体"/>
          <w:b/>
          <w:sz w:val="21"/>
        </w:rPr>
        <w:t>表3 分层Coverage逐步扩展的累计结果（覆盖与F1均为%）。</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阶段</w:t>
            </w:r>
          </w:p>
        </w:tc>
        <w:tc>
          <w:tcPr>
            <w:tcW w:type="dxa" w:w="1344"/>
            <w:shd w:fill="D9EAF7"/>
          </w:tcPr>
          <w:p>
            <w:pPr>
              <w:spacing w:after="0"/>
            </w:pPr>
            <w:r>
              <w:rPr>
                <w:rFonts w:ascii="Times New Roman" w:hAnsi="Times New Roman" w:eastAsia="宋体"/>
                <w:b/>
                <w:sz w:val="17"/>
              </w:rPr>
              <w:t>累计目标</w:t>
            </w:r>
          </w:p>
        </w:tc>
        <w:tc>
          <w:tcPr>
            <w:tcW w:type="dxa" w:w="1344"/>
            <w:shd w:fill="D9EAF7"/>
          </w:tcPr>
          <w:p>
            <w:pPr>
              <w:spacing w:after="0"/>
            </w:pPr>
            <w:r>
              <w:rPr>
                <w:rFonts w:ascii="Times New Roman" w:hAnsi="Times New Roman" w:eastAsia="宋体"/>
                <w:b/>
                <w:sz w:val="17"/>
              </w:rPr>
              <w:t>本地覆盖</w:t>
            </w:r>
          </w:p>
        </w:tc>
        <w:tc>
          <w:tcPr>
            <w:tcW w:type="dxa" w:w="1344"/>
            <w:shd w:fill="D9EAF7"/>
          </w:tcPr>
          <w:p>
            <w:pPr>
              <w:spacing w:after="0"/>
            </w:pPr>
            <w:r>
              <w:rPr>
                <w:rFonts w:ascii="Times New Roman" w:hAnsi="Times New Roman" w:eastAsia="宋体"/>
                <w:b/>
                <w:sz w:val="17"/>
              </w:rPr>
              <w:t>本地F1</w:t>
            </w:r>
          </w:p>
        </w:tc>
        <w:tc>
          <w:tcPr>
            <w:tcW w:type="dxa" w:w="1344"/>
            <w:shd w:fill="D9EAF7"/>
          </w:tcPr>
          <w:p>
            <w:pPr>
              <w:spacing w:after="0"/>
            </w:pPr>
            <w:r>
              <w:rPr>
                <w:rFonts w:ascii="Times New Roman" w:hAnsi="Times New Roman" w:eastAsia="宋体"/>
                <w:b/>
                <w:sz w:val="17"/>
              </w:rPr>
              <w:t>线上覆盖</w:t>
            </w:r>
          </w:p>
        </w:tc>
        <w:tc>
          <w:tcPr>
            <w:tcW w:type="dxa" w:w="1344"/>
            <w:shd w:fill="D9EAF7"/>
          </w:tcPr>
          <w:p>
            <w:pPr>
              <w:spacing w:after="0"/>
            </w:pPr>
            <w:r>
              <w:rPr>
                <w:rFonts w:ascii="Times New Roman" w:hAnsi="Times New Roman" w:eastAsia="宋体"/>
                <w:b/>
                <w:sz w:val="17"/>
              </w:rPr>
              <w:t>线上F1</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21.46</w:t>
            </w:r>
          </w:p>
        </w:tc>
        <w:tc>
          <w:tcPr>
            <w:tcW w:type="dxa" w:w="1344"/>
          </w:tcPr>
          <w:p>
            <w:pPr>
              <w:spacing w:after="0"/>
            </w:pPr>
            <w:r>
              <w:rPr>
                <w:rFonts w:ascii="Times New Roman" w:hAnsi="Times New Roman" w:eastAsia="宋体"/>
                <w:b w:val="0"/>
                <w:sz w:val="17"/>
              </w:rPr>
              <w:t>91.26</w:t>
            </w:r>
          </w:p>
        </w:tc>
        <w:tc>
          <w:tcPr>
            <w:tcW w:type="dxa" w:w="1344"/>
          </w:tcPr>
          <w:p>
            <w:pPr>
              <w:spacing w:after="0"/>
            </w:pPr>
            <w:r>
              <w:rPr>
                <w:rFonts w:ascii="Times New Roman" w:hAnsi="Times New Roman" w:eastAsia="宋体"/>
                <w:b w:val="0"/>
                <w:sz w:val="17"/>
              </w:rPr>
              <w:t>21.65</w:t>
            </w:r>
          </w:p>
        </w:tc>
        <w:tc>
          <w:tcPr>
            <w:tcW w:type="dxa" w:w="1344"/>
          </w:tcPr>
          <w:p>
            <w:pPr>
              <w:spacing w:after="0"/>
            </w:pPr>
            <w:r>
              <w:rPr>
                <w:rFonts w:ascii="Times New Roman" w:hAnsi="Times New Roman" w:eastAsia="宋体"/>
                <w:b w:val="0"/>
                <w:sz w:val="17"/>
              </w:rPr>
              <w:t>88.31</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240</w:t>
            </w:r>
          </w:p>
        </w:tc>
        <w:tc>
          <w:tcPr>
            <w:tcW w:type="dxa" w:w="1344"/>
          </w:tcPr>
          <w:p>
            <w:pPr>
              <w:spacing w:after="0"/>
            </w:pPr>
            <w:r>
              <w:rPr>
                <w:rFonts w:ascii="Times New Roman" w:hAnsi="Times New Roman" w:eastAsia="宋体"/>
                <w:b w:val="0"/>
                <w:sz w:val="17"/>
              </w:rPr>
              <w:t>37.53</w:t>
            </w:r>
          </w:p>
        </w:tc>
        <w:tc>
          <w:tcPr>
            <w:tcW w:type="dxa" w:w="1344"/>
          </w:tcPr>
          <w:p>
            <w:pPr>
              <w:spacing w:after="0"/>
            </w:pPr>
            <w:r>
              <w:rPr>
                <w:rFonts w:ascii="Times New Roman" w:hAnsi="Times New Roman" w:eastAsia="宋体"/>
                <w:b w:val="0"/>
                <w:sz w:val="17"/>
              </w:rPr>
              <w:t>88.80</w:t>
            </w:r>
          </w:p>
        </w:tc>
        <w:tc>
          <w:tcPr>
            <w:tcW w:type="dxa" w:w="1344"/>
          </w:tcPr>
          <w:p>
            <w:pPr>
              <w:spacing w:after="0"/>
            </w:pPr>
            <w:r>
              <w:rPr>
                <w:rFonts w:ascii="Times New Roman" w:hAnsi="Times New Roman" w:eastAsia="宋体"/>
                <w:b w:val="0"/>
                <w:sz w:val="17"/>
              </w:rPr>
              <w:t>38.04</w:t>
            </w:r>
          </w:p>
        </w:tc>
        <w:tc>
          <w:tcPr>
            <w:tcW w:type="dxa" w:w="1344"/>
          </w:tcPr>
          <w:p>
            <w:pPr>
              <w:spacing w:after="0"/>
            </w:pPr>
            <w:r>
              <w:rPr>
                <w:rFonts w:ascii="Times New Roman" w:hAnsi="Times New Roman" w:eastAsia="宋体"/>
                <w:b w:val="0"/>
                <w:sz w:val="17"/>
              </w:rPr>
              <w:t>86.42</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360</w:t>
            </w:r>
          </w:p>
        </w:tc>
        <w:tc>
          <w:tcPr>
            <w:tcW w:type="dxa" w:w="1344"/>
          </w:tcPr>
          <w:p>
            <w:pPr>
              <w:spacing w:after="0"/>
            </w:pPr>
            <w:r>
              <w:rPr>
                <w:rFonts w:ascii="Times New Roman" w:hAnsi="Times New Roman" w:eastAsia="宋体"/>
                <w:b w:val="0"/>
                <w:sz w:val="17"/>
              </w:rPr>
              <w:t>48.80</w:t>
            </w:r>
          </w:p>
        </w:tc>
        <w:tc>
          <w:tcPr>
            <w:tcW w:type="dxa" w:w="1344"/>
          </w:tcPr>
          <w:p>
            <w:pPr>
              <w:spacing w:after="0"/>
            </w:pPr>
            <w:r>
              <w:rPr>
                <w:rFonts w:ascii="Times New Roman" w:hAnsi="Times New Roman" w:eastAsia="宋体"/>
                <w:b w:val="0"/>
                <w:sz w:val="17"/>
              </w:rPr>
              <w:t>87.01</w:t>
            </w:r>
          </w:p>
        </w:tc>
        <w:tc>
          <w:tcPr>
            <w:tcW w:type="dxa" w:w="1344"/>
          </w:tcPr>
          <w:p>
            <w:pPr>
              <w:spacing w:after="0"/>
            </w:pPr>
            <w:r>
              <w:rPr>
                <w:rFonts w:ascii="Times New Roman" w:hAnsi="Times New Roman" w:eastAsia="宋体"/>
                <w:b w:val="0"/>
                <w:sz w:val="17"/>
              </w:rPr>
              <w:t>49.92</w:t>
            </w:r>
          </w:p>
        </w:tc>
        <w:tc>
          <w:tcPr>
            <w:tcW w:type="dxa" w:w="1344"/>
          </w:tcPr>
          <w:p>
            <w:pPr>
              <w:spacing w:after="0"/>
            </w:pPr>
            <w:r>
              <w:rPr>
                <w:rFonts w:ascii="Times New Roman" w:hAnsi="Times New Roman" w:eastAsia="宋体"/>
                <w:b w:val="0"/>
                <w:sz w:val="17"/>
              </w:rPr>
              <w:t>83.97</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58.86</w:t>
            </w:r>
          </w:p>
        </w:tc>
        <w:tc>
          <w:tcPr>
            <w:tcW w:type="dxa" w:w="1344"/>
          </w:tcPr>
          <w:p>
            <w:pPr>
              <w:spacing w:after="0"/>
            </w:pPr>
            <w:r>
              <w:rPr>
                <w:rFonts w:ascii="Times New Roman" w:hAnsi="Times New Roman" w:eastAsia="宋体"/>
                <w:b w:val="0"/>
                <w:sz w:val="17"/>
              </w:rPr>
              <w:t>84.62</w:t>
            </w:r>
          </w:p>
        </w:tc>
        <w:tc>
          <w:tcPr>
            <w:tcW w:type="dxa" w:w="1344"/>
          </w:tcPr>
          <w:p>
            <w:pPr>
              <w:spacing w:after="0"/>
            </w:pPr>
            <w:r>
              <w:rPr>
                <w:rFonts w:ascii="Times New Roman" w:hAnsi="Times New Roman" w:eastAsia="宋体"/>
                <w:b w:val="0"/>
                <w:sz w:val="17"/>
              </w:rPr>
              <w:t>59.53</w:t>
            </w:r>
          </w:p>
        </w:tc>
        <w:tc>
          <w:tcPr>
            <w:tcW w:type="dxa" w:w="1344"/>
          </w:tcPr>
          <w:p>
            <w:pPr>
              <w:spacing w:after="0"/>
            </w:pPr>
            <w:r>
              <w:rPr>
                <w:rFonts w:ascii="Times New Roman" w:hAnsi="Times New Roman" w:eastAsia="宋体"/>
                <w:b w:val="0"/>
                <w:sz w:val="17"/>
              </w:rPr>
              <w:t>82.89</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68.64</w:t>
            </w:r>
          </w:p>
        </w:tc>
        <w:tc>
          <w:tcPr>
            <w:tcW w:type="dxa" w:w="1344"/>
          </w:tcPr>
          <w:p>
            <w:pPr>
              <w:spacing w:after="0"/>
            </w:pPr>
            <w:r>
              <w:rPr>
                <w:rFonts w:ascii="Times New Roman" w:hAnsi="Times New Roman" w:eastAsia="宋体"/>
                <w:b w:val="0"/>
                <w:sz w:val="17"/>
              </w:rPr>
              <w:t>78.34</w:t>
            </w:r>
          </w:p>
        </w:tc>
        <w:tc>
          <w:tcPr>
            <w:tcW w:type="dxa" w:w="1344"/>
          </w:tcPr>
          <w:p>
            <w:pPr>
              <w:spacing w:after="0"/>
            </w:pPr>
            <w:r>
              <w:rPr>
                <w:rFonts w:ascii="Times New Roman" w:hAnsi="Times New Roman" w:eastAsia="宋体"/>
                <w:b w:val="0"/>
                <w:sz w:val="17"/>
              </w:rPr>
              <w:t>68.90</w:t>
            </w:r>
          </w:p>
        </w:tc>
        <w:tc>
          <w:tcPr>
            <w:tcW w:type="dxa" w:w="1344"/>
          </w:tcPr>
          <w:p>
            <w:pPr>
              <w:spacing w:after="0"/>
            </w:pPr>
            <w:r>
              <w:rPr>
                <w:rFonts w:ascii="Times New Roman" w:hAnsi="Times New Roman" w:eastAsia="宋体"/>
                <w:b w:val="0"/>
                <w:sz w:val="17"/>
              </w:rPr>
              <w:t>78.48</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60</w:t>
            </w:r>
          </w:p>
        </w:tc>
        <w:tc>
          <w:tcPr>
            <w:tcW w:type="dxa" w:w="1344"/>
          </w:tcPr>
          <w:p>
            <w:pPr>
              <w:spacing w:after="0"/>
            </w:pPr>
            <w:r>
              <w:rPr>
                <w:rFonts w:ascii="Times New Roman" w:hAnsi="Times New Roman" w:eastAsia="宋体"/>
                <w:b w:val="0"/>
                <w:sz w:val="17"/>
              </w:rPr>
              <w:t>11.48</w:t>
            </w:r>
          </w:p>
        </w:tc>
        <w:tc>
          <w:tcPr>
            <w:tcW w:type="dxa" w:w="1344"/>
          </w:tcPr>
          <w:p>
            <w:pPr>
              <w:spacing w:after="0"/>
            </w:pPr>
            <w:r>
              <w:rPr>
                <w:rFonts w:ascii="Times New Roman" w:hAnsi="Times New Roman" w:eastAsia="宋体"/>
                <w:b w:val="0"/>
                <w:sz w:val="17"/>
              </w:rPr>
              <w:t>92.11</w:t>
            </w:r>
          </w:p>
        </w:tc>
        <w:tc>
          <w:tcPr>
            <w:tcW w:type="dxa" w:w="1344"/>
          </w:tcPr>
          <w:p>
            <w:pPr>
              <w:spacing w:after="0"/>
            </w:pPr>
            <w:r>
              <w:rPr>
                <w:rFonts w:ascii="Times New Roman" w:hAnsi="Times New Roman" w:eastAsia="宋体"/>
                <w:b w:val="0"/>
                <w:sz w:val="17"/>
              </w:rPr>
              <w:t>11.56</w:t>
            </w:r>
          </w:p>
        </w:tc>
        <w:tc>
          <w:tcPr>
            <w:tcW w:type="dxa" w:w="1344"/>
          </w:tcPr>
          <w:p>
            <w:pPr>
              <w:spacing w:after="0"/>
            </w:pPr>
            <w:r>
              <w:rPr>
                <w:rFonts w:ascii="Times New Roman" w:hAnsi="Times New Roman" w:eastAsia="宋体"/>
                <w:b w:val="0"/>
                <w:sz w:val="17"/>
              </w:rPr>
              <w:t>92.15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22.99</w:t>
            </w:r>
          </w:p>
        </w:tc>
        <w:tc>
          <w:tcPr>
            <w:tcW w:type="dxa" w:w="1344"/>
          </w:tcPr>
          <w:p>
            <w:pPr>
              <w:spacing w:after="0"/>
            </w:pPr>
            <w:r>
              <w:rPr>
                <w:rFonts w:ascii="Times New Roman" w:hAnsi="Times New Roman" w:eastAsia="宋体"/>
                <w:b w:val="0"/>
                <w:sz w:val="17"/>
              </w:rPr>
              <w:t>90.10</w:t>
            </w:r>
          </w:p>
        </w:tc>
        <w:tc>
          <w:tcPr>
            <w:tcW w:type="dxa" w:w="1344"/>
          </w:tcPr>
          <w:p>
            <w:pPr>
              <w:spacing w:after="0"/>
            </w:pPr>
            <w:r>
              <w:rPr>
                <w:rFonts w:ascii="Times New Roman" w:hAnsi="Times New Roman" w:eastAsia="宋体"/>
                <w:b w:val="0"/>
                <w:sz w:val="17"/>
              </w:rPr>
              <w:t>23.17</w:t>
            </w:r>
          </w:p>
        </w:tc>
        <w:tc>
          <w:tcPr>
            <w:tcW w:type="dxa" w:w="1344"/>
          </w:tcPr>
          <w:p>
            <w:pPr>
              <w:spacing w:after="0"/>
            </w:pPr>
            <w:r>
              <w:rPr>
                <w:rFonts w:ascii="Times New Roman" w:hAnsi="Times New Roman" w:eastAsia="宋体"/>
                <w:b w:val="0"/>
                <w:sz w:val="17"/>
              </w:rPr>
              <w:t>91.05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180</w:t>
            </w:r>
          </w:p>
        </w:tc>
        <w:tc>
          <w:tcPr>
            <w:tcW w:type="dxa" w:w="1344"/>
          </w:tcPr>
          <w:p>
            <w:pPr>
              <w:spacing w:after="0"/>
            </w:pPr>
            <w:r>
              <w:rPr>
                <w:rFonts w:ascii="Times New Roman" w:hAnsi="Times New Roman" w:eastAsia="宋体"/>
                <w:b w:val="0"/>
                <w:sz w:val="17"/>
              </w:rPr>
              <w:t>32.28</w:t>
            </w:r>
          </w:p>
        </w:tc>
        <w:tc>
          <w:tcPr>
            <w:tcW w:type="dxa" w:w="1344"/>
          </w:tcPr>
          <w:p>
            <w:pPr>
              <w:spacing w:after="0"/>
            </w:pPr>
            <w:r>
              <w:rPr>
                <w:rFonts w:ascii="Times New Roman" w:hAnsi="Times New Roman" w:eastAsia="宋体"/>
                <w:b w:val="0"/>
                <w:sz w:val="17"/>
              </w:rPr>
              <w:t>90.62</w:t>
            </w:r>
          </w:p>
        </w:tc>
        <w:tc>
          <w:tcPr>
            <w:tcW w:type="dxa" w:w="1344"/>
          </w:tcPr>
          <w:p>
            <w:pPr>
              <w:spacing w:after="0"/>
            </w:pPr>
            <w:r>
              <w:rPr>
                <w:rFonts w:ascii="Times New Roman" w:hAnsi="Times New Roman" w:eastAsia="宋体"/>
                <w:b w:val="0"/>
                <w:sz w:val="17"/>
              </w:rPr>
              <w:t>32.57</w:t>
            </w:r>
          </w:p>
        </w:tc>
        <w:tc>
          <w:tcPr>
            <w:tcW w:type="dxa" w:w="1344"/>
          </w:tcPr>
          <w:p>
            <w:pPr>
              <w:spacing w:after="0"/>
            </w:pPr>
            <w:r>
              <w:rPr>
                <w:rFonts w:ascii="Times New Roman" w:hAnsi="Times New Roman" w:eastAsia="宋体"/>
                <w:b w:val="0"/>
                <w:sz w:val="17"/>
              </w:rPr>
              <w:t>89.57</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240</w:t>
            </w:r>
          </w:p>
        </w:tc>
        <w:tc>
          <w:tcPr>
            <w:tcW w:type="dxa" w:w="1344"/>
          </w:tcPr>
          <w:p>
            <w:pPr>
              <w:spacing w:after="0"/>
            </w:pPr>
            <w:r>
              <w:rPr>
                <w:rFonts w:ascii="Times New Roman" w:hAnsi="Times New Roman" w:eastAsia="宋体"/>
                <w:b w:val="0"/>
                <w:sz w:val="17"/>
              </w:rPr>
              <w:t>39.43</w:t>
            </w:r>
          </w:p>
        </w:tc>
        <w:tc>
          <w:tcPr>
            <w:tcW w:type="dxa" w:w="1344"/>
          </w:tcPr>
          <w:p>
            <w:pPr>
              <w:spacing w:after="0"/>
            </w:pPr>
            <w:r>
              <w:rPr>
                <w:rFonts w:ascii="Times New Roman" w:hAnsi="Times New Roman" w:eastAsia="宋体"/>
                <w:b w:val="0"/>
                <w:sz w:val="17"/>
              </w:rPr>
              <w:t>89.71</w:t>
            </w:r>
          </w:p>
        </w:tc>
        <w:tc>
          <w:tcPr>
            <w:tcW w:type="dxa" w:w="1344"/>
          </w:tcPr>
          <w:p>
            <w:pPr>
              <w:spacing w:after="0"/>
            </w:pPr>
            <w:r>
              <w:rPr>
                <w:rFonts w:ascii="Times New Roman" w:hAnsi="Times New Roman" w:eastAsia="宋体"/>
                <w:b w:val="0"/>
                <w:sz w:val="17"/>
              </w:rPr>
              <w:t>40.43</w:t>
            </w:r>
          </w:p>
        </w:tc>
        <w:tc>
          <w:tcPr>
            <w:tcW w:type="dxa" w:w="1344"/>
          </w:tcPr>
          <w:p>
            <w:pPr>
              <w:spacing w:after="0"/>
            </w:pPr>
            <w:r>
              <w:rPr>
                <w:rFonts w:ascii="Times New Roman" w:hAnsi="Times New Roman" w:eastAsia="宋体"/>
                <w:b w:val="0"/>
                <w:sz w:val="17"/>
              </w:rPr>
              <w:t>88.08</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46.88</w:t>
            </w:r>
          </w:p>
        </w:tc>
        <w:tc>
          <w:tcPr>
            <w:tcW w:type="dxa" w:w="1344"/>
          </w:tcPr>
          <w:p>
            <w:pPr>
              <w:spacing w:after="0"/>
            </w:pPr>
            <w:r>
              <w:rPr>
                <w:rFonts w:ascii="Times New Roman" w:hAnsi="Times New Roman" w:eastAsia="宋体"/>
                <w:b w:val="0"/>
                <w:sz w:val="17"/>
              </w:rPr>
              <w:t>84.44</w:t>
            </w:r>
          </w:p>
        </w:tc>
        <w:tc>
          <w:tcPr>
            <w:tcW w:type="dxa" w:w="1344"/>
          </w:tcPr>
          <w:p>
            <w:pPr>
              <w:spacing w:after="0"/>
            </w:pPr>
            <w:r>
              <w:rPr>
                <w:rFonts w:ascii="Times New Roman" w:hAnsi="Times New Roman" w:eastAsia="宋体"/>
                <w:b w:val="0"/>
                <w:sz w:val="17"/>
              </w:rPr>
              <w:t>48.07</w:t>
            </w:r>
          </w:p>
        </w:tc>
        <w:tc>
          <w:tcPr>
            <w:tcW w:type="dxa" w:w="1344"/>
          </w:tcPr>
          <w:p>
            <w:pPr>
              <w:spacing w:after="0"/>
            </w:pPr>
            <w:r>
              <w:rPr>
                <w:rFonts w:ascii="Times New Roman" w:hAnsi="Times New Roman" w:eastAsia="宋体"/>
                <w:b w:val="0"/>
                <w:sz w:val="17"/>
              </w:rPr>
              <w:t>85.16</w:t>
            </w:r>
          </w:p>
        </w:tc>
      </w:tr>
    </w:tbl>
    <w:p/>
    <w:p>
      <w:pPr>
        <w:spacing w:line="324" w:lineRule="auto" w:after="80"/>
        <w:ind w:firstLine="420"/>
      </w:pPr>
      <w:r>
        <w:rPr>
          <w:rFonts w:ascii="Times New Roman" w:hAnsi="Times New Roman" w:eastAsia="宋体"/>
          <w:b w:val="0"/>
          <w:sz w:val="21"/>
        </w:rPr>
        <w:t>覆盖在各自固定分母下持续上升，累计F1从起点到终点总体下降。B本地与线上累计F1分别下降12.92和9.82个百分点；C分别下降7.67和6.99个百分点。由于模型未重新训练，这些变化表明测试集合变得不同，不能解释为模型随测试而学习或退化。</w:t>
      </w:r>
    </w:p>
    <w:p>
      <w:pPr>
        <w:spacing w:line="324" w:lineRule="auto" w:after="80"/>
        <w:ind w:firstLine="420"/>
      </w:pPr>
      <w:r>
        <w:rPr>
          <w:rFonts w:ascii="Times New Roman" w:hAnsi="Times New Roman" w:eastAsia="宋体"/>
          <w:b w:val="0"/>
          <w:sz w:val="21"/>
        </w:rPr>
        <w:t>独立新增批次更直接显示新增条件的表现。在B中，本地Q1与Q5批次F1分别为91.26%和51.84%，线上为88.31%和60.71%；在C中，本地分别为92.11%和62.98%，线上为92.15%和73.06%。累计集合仍包含早期相对低风险目标，因此终点累计F1高于最后独立批次F1。</w:t>
      </w:r>
    </w:p>
    <w:p>
      <w:pPr>
        <w:spacing w:line="324" w:lineRule="auto" w:after="80"/>
        <w:ind w:firstLine="420"/>
      </w:pPr>
      <w:r>
        <w:rPr>
          <w:rFonts w:ascii="Times New Roman" w:hAnsi="Times New Roman" w:eastAsia="宋体"/>
          <w:b w:val="0"/>
          <w:sz w:val="21"/>
        </w:rPr>
        <w:t>局部回升同样存在。例如C本地累计F1从Q2的90.10%升至Q3的90.62%，与此同时覆盖从22.99%升至32.28%。这一观察直接说明覆盖增长与F1下降不是一一对应规律，也没有必要人为要求曲线单调或先增后减。</w:t>
      </w:r>
    </w:p>
    <w:p>
      <w:pPr>
        <w:jc w:val="center"/>
      </w:pPr>
      <w:r>
        <w:drawing>
          <wp:inline xmlns:a="http://schemas.openxmlformats.org/drawingml/2006/main" xmlns:pic="http://schemas.openxmlformats.org/drawingml/2006/picture">
            <wp:extent cx="5669280" cy="2015561"/>
            <wp:docPr id="3" name="Picture 3"/>
            <wp:cNvGraphicFramePr>
              <a:graphicFrameLocks noChangeAspect="1"/>
            </wp:cNvGraphicFramePr>
            <a:graphic>
              <a:graphicData uri="http://schemas.openxmlformats.org/drawingml/2006/picture">
                <pic:pic>
                  <pic:nvPicPr>
                    <pic:cNvPr id="0" name="batch_cumulative_and_coverage.png"/>
                    <pic:cNvPicPr/>
                  </pic:nvPicPr>
                  <pic:blipFill>
                    <a:blip r:embed="rId12"/>
                    <a:stretch>
                      <a:fillRect/>
                    </a:stretch>
                  </pic:blipFill>
                  <pic:spPr>
                    <a:xfrm>
                      <a:off x="0" y="0"/>
                      <a:ext cx="5669280" cy="2015561"/>
                    </a:xfrm>
                    <a:prstGeom prst="rect"/>
                  </pic:spPr>
                </pic:pic>
              </a:graphicData>
            </a:graphic>
          </wp:inline>
        </w:drawing>
      </w:r>
    </w:p>
    <w:p>
      <w:pPr>
        <w:jc w:val="center"/>
      </w:pPr>
      <w:r>
        <w:rPr>
          <w:rFonts w:ascii="Times New Roman" w:hAnsi="Times New Roman" w:eastAsia="宋体"/>
          <w:sz w:val="18"/>
        </w:rPr>
        <w:t>图3 VOC确认池C的独立新增批次、累计Macro-F1和累计状态覆盖。Coverage与其精确风险匹配随机对照分别展示；跨池绝对覆盖值不作等价比较。</w:t>
      </w:r>
    </w:p>
    <w:p>
      <w:pPr>
        <w:pStyle w:val="Heading3"/>
      </w:pPr>
      <w:r>
        <w:t>5.3 RQ3：共同风险配额下存在条件性诊断收益</w:t>
      </w:r>
    </w:p>
    <w:p>
      <w:pPr>
        <w:spacing w:line="324" w:lineRule="auto" w:after="80"/>
        <w:ind w:firstLine="420"/>
      </w:pPr>
      <w:r>
        <w:rPr>
          <w:rFonts w:ascii="Times New Roman" w:hAnsi="Times New Roman" w:eastAsia="宋体"/>
          <w:b w:val="0"/>
          <w:sz w:val="21"/>
        </w:rPr>
        <w:t>表4报告Coverage相对Random的归一化预算AUC差，已经逐真实类别匹配错误数。正值表示相同错误预算下发现的混淆类型或错误簇更广，不表示分类器F1提高。</w:t>
      </w:r>
    </w:p>
    <w:p>
      <w:pPr>
        <w:spacing w:line="324" w:lineRule="auto" w:after="80"/>
        <w:ind w:firstLine="420"/>
      </w:pPr>
      <w:r>
        <w:rPr>
          <w:rFonts w:ascii="Times New Roman" w:hAnsi="Times New Roman" w:eastAsia="宋体"/>
          <w:b/>
          <w:sz w:val="21"/>
        </w:rPr>
        <w:t>表4 共同风险配额下Coverage相对Random的等错误数诊断比较。</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来源</w:t>
            </w:r>
          </w:p>
        </w:tc>
        <w:tc>
          <w:tcPr>
            <w:tcW w:type="dxa" w:w="1344"/>
            <w:shd w:fill="D9EAF7"/>
          </w:tcPr>
          <w:p>
            <w:pPr>
              <w:spacing w:after="0"/>
            </w:pPr>
            <w:r>
              <w:rPr>
                <w:rFonts w:ascii="Times New Roman" w:hAnsi="Times New Roman" w:eastAsia="宋体"/>
                <w:b/>
                <w:sz w:val="17"/>
              </w:rPr>
              <w:t>诊断指标</w:t>
            </w:r>
          </w:p>
        </w:tc>
        <w:tc>
          <w:tcPr>
            <w:tcW w:type="dxa" w:w="1344"/>
            <w:shd w:fill="D9EAF7"/>
          </w:tcPr>
          <w:p>
            <w:pPr>
              <w:spacing w:after="0"/>
            </w:pPr>
            <w:r>
              <w:rPr>
                <w:rFonts w:ascii="Times New Roman" w:hAnsi="Times New Roman" w:eastAsia="宋体"/>
                <w:b/>
                <w:sz w:val="17"/>
              </w:rPr>
              <w:t>AUC差</w:t>
            </w:r>
          </w:p>
        </w:tc>
        <w:tc>
          <w:tcPr>
            <w:tcW w:type="dxa" w:w="1344"/>
            <w:shd w:fill="D9EAF7"/>
          </w:tcPr>
          <w:p>
            <w:pPr>
              <w:spacing w:after="0"/>
            </w:pPr>
            <w:r>
              <w:rPr>
                <w:rFonts w:ascii="Times New Roman" w:hAnsi="Times New Roman" w:eastAsia="宋体"/>
                <w:b/>
                <w:sz w:val="17"/>
              </w:rPr>
              <w:t>95%区间</w:t>
            </w:r>
          </w:p>
        </w:tc>
        <w:tc>
          <w:tcPr>
            <w:tcW w:type="dxa" w:w="1344"/>
            <w:shd w:fill="D9EAF7"/>
          </w:tcPr>
          <w:p>
            <w:pPr>
              <w:spacing w:after="0"/>
            </w:pPr>
            <w:r>
              <w:rPr>
                <w:rFonts w:ascii="Times New Roman" w:hAnsi="Times New Roman" w:eastAsia="宋体"/>
                <w:b/>
                <w:sz w:val="17"/>
              </w:rPr>
              <w:t>主四项Holm p</w:t>
            </w:r>
          </w:p>
        </w:tc>
        <w:tc>
          <w:tcPr>
            <w:tcW w:type="dxa" w:w="1344"/>
            <w:shd w:fill="D9EAF7"/>
          </w:tcPr>
          <w:p>
            <w:pPr>
              <w:spacing w:after="0"/>
            </w:pPr>
            <w:r>
              <w:rPr>
                <w:rFonts w:ascii="Times New Roman" w:hAnsi="Times New Roman" w:eastAsia="宋体"/>
                <w:b/>
                <w:sz w:val="17"/>
              </w:rPr>
              <w:t>全20项Holm p</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+0.0158</w:t>
            </w:r>
          </w:p>
        </w:tc>
        <w:tc>
          <w:tcPr>
            <w:tcW w:type="dxa" w:w="1344"/>
          </w:tcPr>
          <w:p>
            <w:pPr>
              <w:spacing w:after="0"/>
            </w:pPr>
            <w:r>
              <w:rPr>
                <w:rFonts w:ascii="Times New Roman" w:hAnsi="Times New Roman" w:eastAsia="宋体"/>
                <w:b w:val="0"/>
                <w:sz w:val="17"/>
              </w:rPr>
              <w:t>[+0.0081, +0.0235]</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+0.0103</w:t>
            </w:r>
          </w:p>
        </w:tc>
        <w:tc>
          <w:tcPr>
            <w:tcW w:type="dxa" w:w="1344"/>
          </w:tcPr>
          <w:p>
            <w:pPr>
              <w:spacing w:after="0"/>
            </w:pPr>
            <w:r>
              <w:rPr>
                <w:rFonts w:ascii="Times New Roman" w:hAnsi="Times New Roman" w:eastAsia="宋体"/>
                <w:b w:val="0"/>
                <w:sz w:val="17"/>
              </w:rPr>
              <w:t>[+0.0039, +0.0170]</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0.23438</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+0.0224</w:t>
            </w:r>
          </w:p>
        </w:tc>
        <w:tc>
          <w:tcPr>
            <w:tcW w:type="dxa" w:w="1344"/>
          </w:tcPr>
          <w:p>
            <w:pPr>
              <w:spacing w:after="0"/>
            </w:pPr>
            <w:r>
              <w:rPr>
                <w:rFonts w:ascii="Times New Roman" w:hAnsi="Times New Roman" w:eastAsia="宋体"/>
                <w:b w:val="0"/>
                <w:sz w:val="17"/>
              </w:rPr>
              <w:t>[+0.0152, +0.0305]</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+0.0070</w:t>
            </w:r>
          </w:p>
        </w:tc>
        <w:tc>
          <w:tcPr>
            <w:tcW w:type="dxa" w:w="1344"/>
          </w:tcPr>
          <w:p>
            <w:pPr>
              <w:spacing w:after="0"/>
            </w:pPr>
            <w:r>
              <w:rPr>
                <w:rFonts w:ascii="Times New Roman" w:hAnsi="Times New Roman" w:eastAsia="宋体"/>
                <w:b w:val="0"/>
                <w:sz w:val="17"/>
              </w:rPr>
              <w:t>[+0.0006, +0.0132]</w:t>
            </w:r>
          </w:p>
        </w:tc>
        <w:tc>
          <w:tcPr>
            <w:tcW w:type="dxa" w:w="1344"/>
          </w:tcPr>
          <w:p>
            <w:pPr>
              <w:spacing w:after="0"/>
            </w:pPr>
            <w:r>
              <w:rPr>
                <w:rFonts w:ascii="Times New Roman" w:hAnsi="Times New Roman" w:eastAsia="宋体"/>
                <w:b w:val="0"/>
                <w:sz w:val="17"/>
              </w:rPr>
              <w:t>0.04688</w:t>
            </w:r>
          </w:p>
        </w:tc>
        <w:tc>
          <w:tcPr>
            <w:tcW w:type="dxa" w:w="1344"/>
          </w:tcPr>
          <w:p>
            <w:pPr>
              <w:spacing w:after="0"/>
            </w:pPr>
            <w:r>
              <w:rPr>
                <w:rFonts w:ascii="Times New Roman" w:hAnsi="Times New Roman" w:eastAsia="宋体"/>
                <w:b w:val="0"/>
                <w:sz w:val="17"/>
              </w:rPr>
              <w:t>0.51562</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+0.0018</w:t>
            </w:r>
          </w:p>
        </w:tc>
        <w:tc>
          <w:tcPr>
            <w:tcW w:type="dxa" w:w="1344"/>
          </w:tcPr>
          <w:p>
            <w:pPr>
              <w:spacing w:after="0"/>
            </w:pPr>
            <w:r>
              <w:rPr>
                <w:rFonts w:ascii="Times New Roman" w:hAnsi="Times New Roman" w:eastAsia="宋体"/>
                <w:b w:val="0"/>
                <w:sz w:val="17"/>
              </w:rPr>
              <w:t>[−0.0051, +0.0081]</w:t>
            </w:r>
          </w:p>
        </w:tc>
        <w:tc>
          <w:tcPr>
            <w:tcW w:type="dxa" w:w="1344"/>
          </w:tcPr>
          <w:p>
            <w:pPr>
              <w:spacing w:after="0"/>
            </w:pPr>
            <w:r>
              <w:rPr>
                <w:rFonts w:ascii="Times New Roman" w:hAnsi="Times New Roman" w:eastAsia="宋体"/>
                <w:b w:val="0"/>
                <w:sz w:val="17"/>
              </w:rPr>
              <w:t>0.98438</w:t>
            </w:r>
          </w:p>
        </w:tc>
        <w:tc>
          <w:tcPr>
            <w:tcW w:type="dxa" w:w="1344"/>
          </w:tcPr>
          <w:p>
            <w:pPr>
              <w:spacing w:after="0"/>
            </w:pPr>
            <w:r>
              <w:rPr>
                <w:rFonts w:ascii="Times New Roman" w:hAnsi="Times New Roman" w:eastAsia="宋体"/>
                <w:b w:val="0"/>
                <w:sz w:val="17"/>
              </w:rPr>
              <w:t>1.00000</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+0.0010</w:t>
            </w:r>
          </w:p>
        </w:tc>
        <w:tc>
          <w:tcPr>
            <w:tcW w:type="dxa" w:w="1344"/>
          </w:tcPr>
          <w:p>
            <w:pPr>
              <w:spacing w:after="0"/>
            </w:pPr>
            <w:r>
              <w:rPr>
                <w:rFonts w:ascii="Times New Roman" w:hAnsi="Times New Roman" w:eastAsia="宋体"/>
                <w:b w:val="0"/>
                <w:sz w:val="17"/>
              </w:rPr>
              <w:t>[−0.0063, +0.0076]</w:t>
            </w:r>
          </w:p>
        </w:tc>
        <w:tc>
          <w:tcPr>
            <w:tcW w:type="dxa" w:w="1344"/>
          </w:tcPr>
          <w:p>
            <w:pPr>
              <w:spacing w:after="0"/>
            </w:pPr>
            <w:r>
              <w:rPr>
                <w:rFonts w:ascii="Times New Roman" w:hAnsi="Times New Roman" w:eastAsia="宋体"/>
                <w:b w:val="0"/>
                <w:sz w:val="17"/>
              </w:rPr>
              <w:t>0.98438</w:t>
            </w:r>
          </w:p>
        </w:tc>
        <w:tc>
          <w:tcPr>
            <w:tcW w:type="dxa" w:w="1344"/>
          </w:tcPr>
          <w:p>
            <w:pPr>
              <w:spacing w:after="0"/>
            </w:pPr>
            <w:r>
              <w:rPr>
                <w:rFonts w:ascii="Times New Roman" w:hAnsi="Times New Roman" w:eastAsia="宋体"/>
                <w:b w:val="0"/>
                <w:sz w:val="17"/>
              </w:rPr>
              <w:t>1.00000</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+0.0185</w:t>
            </w:r>
          </w:p>
        </w:tc>
        <w:tc>
          <w:tcPr>
            <w:tcW w:type="dxa" w:w="1344"/>
          </w:tcPr>
          <w:p>
            <w:pPr>
              <w:spacing w:after="0"/>
            </w:pPr>
            <w:r>
              <w:rPr>
                <w:rFonts w:ascii="Times New Roman" w:hAnsi="Times New Roman" w:eastAsia="宋体"/>
                <w:b w:val="0"/>
                <w:sz w:val="17"/>
              </w:rPr>
              <w:t>[+0.0133, +0.0244]</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+0.0164</w:t>
            </w:r>
          </w:p>
        </w:tc>
        <w:tc>
          <w:tcPr>
            <w:tcW w:type="dxa" w:w="1344"/>
          </w:tcPr>
          <w:p>
            <w:pPr>
              <w:spacing w:after="0"/>
            </w:pPr>
            <w:r>
              <w:rPr>
                <w:rFonts w:ascii="Times New Roman" w:hAnsi="Times New Roman" w:eastAsia="宋体"/>
                <w:b w:val="0"/>
                <w:sz w:val="17"/>
              </w:rPr>
              <w:t>[+0.0100, +0.0227]</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bl>
    <w:p/>
    <w:p>
      <w:pPr>
        <w:spacing w:line="324" w:lineRule="auto" w:after="80"/>
        <w:ind w:firstLine="420"/>
      </w:pPr>
      <w:r>
        <w:rPr>
          <w:rFonts w:ascii="Times New Roman" w:hAnsi="Times New Roman" w:eastAsia="宋体"/>
          <w:b w:val="0"/>
          <w:sz w:val="21"/>
        </w:rPr>
        <w:t>B中四项预定主要比较均获得支持；C中只有线上标注的两项获得支持。本地C的平均收益接近零，区间跨零。该结果说明，额外诊断收益具有标注来源与数据池依赖，不能只根据B结果将其普遍化。</w:t>
      </w:r>
    </w:p>
    <w:p>
      <w:pPr>
        <w:spacing w:line="324" w:lineRule="auto" w:after="80"/>
        <w:ind w:firstLine="420"/>
      </w:pPr>
      <w:r>
        <w:rPr>
          <w:rFonts w:ascii="Times New Roman" w:hAnsi="Times New Roman" w:eastAsia="宋体"/>
          <w:b w:val="0"/>
          <w:sz w:val="21"/>
        </w:rPr>
        <w:t>全20项统一校正未通过。这里同时存在检验族范围改变和八架构精确p值分辨率限制；正文保留主要家族及统一敏感性结果，不以较小家族的显著性声明全部方法比较占优。</w:t>
      </w:r>
    </w:p>
    <w:p>
      <w:pPr>
        <w:pStyle w:val="Heading3"/>
      </w:pPr>
      <w:r>
        <w:t>5.4 精确风险匹配与强基线结果限定了收益范围</w:t>
      </w:r>
    </w:p>
    <w:p>
      <w:pPr>
        <w:spacing w:line="324" w:lineRule="auto" w:after="80"/>
        <w:ind w:firstLine="420"/>
      </w:pPr>
      <w:r>
        <w:rPr>
          <w:rFonts w:ascii="Times New Roman" w:hAnsi="Times New Roman" w:eastAsia="宋体"/>
          <w:b/>
          <w:sz w:val="21"/>
        </w:rPr>
        <w:t>表5 Coverage所选风险直方图精确匹配后的随机对照。AUC差仍按逐类别等错误数计算。</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池</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指标</w:t>
            </w:r>
          </w:p>
        </w:tc>
        <w:tc>
          <w:tcPr>
            <w:tcW w:type="dxa" w:w="1881"/>
            <w:shd w:fill="D9EAF7"/>
          </w:tcPr>
          <w:p>
            <w:pPr>
              <w:spacing w:after="0"/>
            </w:pPr>
            <w:r>
              <w:rPr>
                <w:rFonts w:ascii="Times New Roman" w:hAnsi="Times New Roman" w:eastAsia="宋体"/>
                <w:b/>
                <w:sz w:val="17"/>
              </w:rPr>
              <w:t>AUC差</w:t>
            </w:r>
          </w:p>
        </w:tc>
        <w:tc>
          <w:tcPr>
            <w:tcW w:type="dxa" w:w="1881"/>
            <w:shd w:fill="D9EAF7"/>
          </w:tcPr>
          <w:p>
            <w:pPr>
              <w:spacing w:after="0"/>
            </w:pPr>
            <w:r>
              <w:rPr>
                <w:rFonts w:ascii="Times New Roman" w:hAnsi="Times New Roman" w:eastAsia="宋体"/>
                <w:b/>
                <w:sz w:val="17"/>
              </w:rPr>
              <w:t>四项Holm p</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+0.0097</w:t>
            </w:r>
          </w:p>
        </w:tc>
        <w:tc>
          <w:tcPr>
            <w:tcW w:type="dxa" w:w="1881"/>
          </w:tcPr>
          <w:p>
            <w:pPr>
              <w:spacing w:after="0"/>
            </w:pPr>
            <w:r>
              <w:rPr>
                <w:rFonts w:ascii="Times New Roman" w:hAnsi="Times New Roman" w:eastAsia="宋体"/>
                <w:b w:val="0"/>
                <w:sz w:val="17"/>
              </w:rPr>
              <w:t>0.07031</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+0.0109</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+0.0181</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+0.0108</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+0.0047</w:t>
            </w:r>
          </w:p>
        </w:tc>
        <w:tc>
          <w:tcPr>
            <w:tcW w:type="dxa" w:w="1881"/>
          </w:tcPr>
          <w:p>
            <w:pPr>
              <w:spacing w:after="0"/>
            </w:pPr>
            <w:r>
              <w:rPr>
                <w:rFonts w:ascii="Times New Roman" w:hAnsi="Times New Roman" w:eastAsia="宋体"/>
                <w:b w:val="0"/>
                <w:sz w:val="17"/>
              </w:rPr>
              <w:t>0.34375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+0.0044</w:t>
            </w:r>
          </w:p>
        </w:tc>
        <w:tc>
          <w:tcPr>
            <w:tcW w:type="dxa" w:w="1881"/>
          </w:tcPr>
          <w:p>
            <w:pPr>
              <w:spacing w:after="0"/>
            </w:pPr>
            <w:r>
              <w:rPr>
                <w:rFonts w:ascii="Times New Roman" w:hAnsi="Times New Roman" w:eastAsia="宋体"/>
                <w:b w:val="0"/>
                <w:sz w:val="17"/>
              </w:rPr>
              <w:t>0.15625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+0.0071</w:t>
            </w:r>
          </w:p>
        </w:tc>
        <w:tc>
          <w:tcPr>
            <w:tcW w:type="dxa" w:w="1881"/>
          </w:tcPr>
          <w:p>
            <w:pPr>
              <w:spacing w:after="0"/>
            </w:pPr>
            <w:r>
              <w:rPr>
                <w:rFonts w:ascii="Times New Roman" w:hAnsi="Times New Roman" w:eastAsia="宋体"/>
                <w:b w:val="0"/>
                <w:sz w:val="17"/>
              </w:rPr>
              <w:t>0.18750</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+0.0004</w:t>
            </w:r>
          </w:p>
        </w:tc>
        <w:tc>
          <w:tcPr>
            <w:tcW w:type="dxa" w:w="1881"/>
          </w:tcPr>
          <w:p>
            <w:pPr>
              <w:spacing w:after="0"/>
            </w:pPr>
            <w:r>
              <w:rPr>
                <w:rFonts w:ascii="Times New Roman" w:hAnsi="Times New Roman" w:eastAsia="宋体"/>
                <w:b w:val="0"/>
                <w:sz w:val="17"/>
              </w:rPr>
              <w:t>0.88281</w:t>
            </w:r>
          </w:p>
        </w:tc>
      </w:tr>
    </w:tbl>
    <w:p/>
    <w:p>
      <w:pPr>
        <w:spacing w:line="324" w:lineRule="auto" w:after="80"/>
        <w:ind w:firstLine="420"/>
      </w:pPr>
      <w:r>
        <w:rPr>
          <w:rFonts w:ascii="Times New Roman" w:hAnsi="Times New Roman" w:eastAsia="宋体"/>
          <w:b w:val="0"/>
          <w:sz w:val="21"/>
        </w:rPr>
        <w:t>在C上，这四项均未通过校正，因此“Coverage提供稳定独立于风险的诊断收益”尚未得到跨来源确认。部分区间或点估计为正，也不替代预定校正检验。</w:t>
      </w:r>
    </w:p>
    <w:p>
      <w:pPr>
        <w:spacing w:line="324" w:lineRule="auto" w:after="80"/>
        <w:ind w:firstLine="420"/>
      </w:pPr>
      <w:r>
        <w:rPr>
          <w:rFonts w:ascii="Times New Roman" w:hAnsi="Times New Roman" w:eastAsia="宋体"/>
          <w:b w:val="0"/>
          <w:sz w:val="21"/>
        </w:rPr>
        <w:t>对DeepGini、DSA和k-center的比较呈现混合方向，未建立普遍优势。例如C本地Coverage相对k-center的混淆类型AUC差为−0.0072，错误簇为−0.0089；C线上相对DeepGini分别为+0.0238和+0.0195，但12项强基线族的校正p均未达到0.05。它们分别表明观察方向与统计支持必须分开，不能以正向均值概括所有设置。</w:t>
      </w:r>
    </w:p>
    <w:p>
      <w:pPr>
        <w:spacing w:line="324" w:lineRule="auto" w:after="80"/>
        <w:ind w:firstLine="420"/>
      </w:pPr>
      <w:r>
        <w:rPr>
          <w:rFonts w:ascii="Times New Roman" w:hAnsi="Times New Roman" w:eastAsia="宋体"/>
          <w:b w:val="0"/>
          <w:sz w:val="21"/>
        </w:rPr>
        <w:t>统一ViT表征后，Coverage相对Random的错误簇结果亦未通过主要四项校正：B本地/线上p为0.25781/0.10938，C为0.98438/0.09375。混淆类型不依赖聚类表征，而错误簇结果随表征变化，提示“不同错误”这一代理定义对结论有实质影响。完整强基线、删字段和表征敏感性表均保留在附录材料。</w:t>
      </w:r>
    </w:p>
    <w:p>
      <w:pPr>
        <w:pStyle w:val="Heading3"/>
      </w:pPr>
      <w:r>
        <w:t>5.5 RQ4：高风险能力存在模型差异</w:t>
      </w:r>
    </w:p>
    <w:p>
      <w:pPr>
        <w:spacing w:line="324" w:lineRule="auto" w:after="80"/>
        <w:ind w:firstLine="420"/>
      </w:pPr>
      <w:r>
        <w:rPr>
          <w:rFonts w:ascii="Times New Roman" w:hAnsi="Times New Roman" w:eastAsia="宋体"/>
          <w:b w:val="0"/>
          <w:sz w:val="21"/>
        </w:rPr>
        <w:t>表6报告每个架构在Q5的平均F1，先平均三个训练种子。所有架构均展示，不根据结果仅保留有利模型。</w:t>
      </w:r>
    </w:p>
    <w:p>
      <w:pPr>
        <w:spacing w:line="324" w:lineRule="auto" w:after="80"/>
        <w:ind w:firstLine="420"/>
      </w:pPr>
      <w:r>
        <w:rPr>
          <w:rFonts w:ascii="Times New Roman" w:hAnsi="Times New Roman" w:eastAsia="宋体"/>
          <w:b/>
          <w:sz w:val="21"/>
        </w:rPr>
        <w:t>表6 八架构的完整最高风险层Macro-F1（%）。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架构</w:t>
            </w:r>
          </w:p>
        </w:tc>
        <w:tc>
          <w:tcPr>
            <w:tcW w:type="dxa" w:w="1881"/>
            <w:shd w:fill="D9EAF7"/>
          </w:tcPr>
          <w:p>
            <w:pPr>
              <w:spacing w:after="0"/>
            </w:pPr>
            <w:r>
              <w:rPr>
                <w:rFonts w:ascii="Times New Roman" w:hAnsi="Times New Roman" w:eastAsia="宋体"/>
                <w:b/>
                <w:sz w:val="17"/>
              </w:rPr>
              <w:t>B本地</w:t>
            </w:r>
          </w:p>
        </w:tc>
        <w:tc>
          <w:tcPr>
            <w:tcW w:type="dxa" w:w="1881"/>
            <w:shd w:fill="D9EAF7"/>
          </w:tcPr>
          <w:p>
            <w:pPr>
              <w:spacing w:after="0"/>
            </w:pPr>
            <w:r>
              <w:rPr>
                <w:rFonts w:ascii="Times New Roman" w:hAnsi="Times New Roman" w:eastAsia="宋体"/>
                <w:b/>
                <w:sz w:val="17"/>
              </w:rPr>
              <w:t>B线上</w:t>
            </w:r>
          </w:p>
        </w:tc>
        <w:tc>
          <w:tcPr>
            <w:tcW w:type="dxa" w:w="1881"/>
            <w:shd w:fill="D9EAF7"/>
          </w:tcPr>
          <w:p>
            <w:pPr>
              <w:spacing w:after="0"/>
            </w:pPr>
            <w:r>
              <w:rPr>
                <w:rFonts w:ascii="Times New Roman" w:hAnsi="Times New Roman" w:eastAsia="宋体"/>
                <w:b/>
                <w:sz w:val="17"/>
              </w:rPr>
              <w:t>C本地</w:t>
            </w:r>
          </w:p>
        </w:tc>
        <w:tc>
          <w:tcPr>
            <w:tcW w:type="dxa" w:w="1881"/>
            <w:shd w:fill="D9EAF7"/>
          </w:tcPr>
          <w:p>
            <w:pPr>
              <w:spacing w:after="0"/>
            </w:pPr>
            <w:r>
              <w:rPr>
                <w:rFonts w:ascii="Times New Roman" w:hAnsi="Times New Roman" w:eastAsia="宋体"/>
                <w:b/>
                <w:sz w:val="17"/>
              </w:rPr>
              <w:t>C线上</w:t>
            </w:r>
          </w:p>
        </w:tc>
      </w:tr>
      <w:tr>
        <w:tc>
          <w:tcPr>
            <w:tcW w:type="dxa" w:w="1881"/>
          </w:tcPr>
          <w:p>
            <w:pPr>
              <w:spacing w:after="0"/>
            </w:pPr>
            <w:r>
              <w:rPr>
                <w:rFonts w:ascii="Times New Roman" w:hAnsi="Times New Roman" w:eastAsia="宋体"/>
                <w:b w:val="0"/>
                <w:sz w:val="17"/>
              </w:rPr>
              <w:t>ResNet-18</w:t>
            </w:r>
          </w:p>
        </w:tc>
        <w:tc>
          <w:tcPr>
            <w:tcW w:type="dxa" w:w="1881"/>
          </w:tcPr>
          <w:p>
            <w:pPr>
              <w:spacing w:after="0"/>
            </w:pPr>
            <w:r>
              <w:rPr>
                <w:rFonts w:ascii="Times New Roman" w:hAnsi="Times New Roman" w:eastAsia="宋体"/>
                <w:b w:val="0"/>
                <w:sz w:val="17"/>
              </w:rPr>
              <w:t>67.97</w:t>
            </w:r>
          </w:p>
        </w:tc>
        <w:tc>
          <w:tcPr>
            <w:tcW w:type="dxa" w:w="1881"/>
          </w:tcPr>
          <w:p>
            <w:pPr>
              <w:spacing w:after="0"/>
            </w:pPr>
            <w:r>
              <w:rPr>
                <w:rFonts w:ascii="Times New Roman" w:hAnsi="Times New Roman" w:eastAsia="宋体"/>
                <w:b w:val="0"/>
                <w:sz w:val="17"/>
              </w:rPr>
              <w:t>69.67</w:t>
            </w:r>
          </w:p>
        </w:tc>
        <w:tc>
          <w:tcPr>
            <w:tcW w:type="dxa" w:w="1881"/>
          </w:tcPr>
          <w:p>
            <w:pPr>
              <w:spacing w:after="0"/>
            </w:pPr>
            <w:r>
              <w:rPr>
                <w:rFonts w:ascii="Times New Roman" w:hAnsi="Times New Roman" w:eastAsia="宋体"/>
                <w:b w:val="0"/>
                <w:sz w:val="17"/>
              </w:rPr>
              <w:t>71.37</w:t>
            </w:r>
          </w:p>
        </w:tc>
        <w:tc>
          <w:tcPr>
            <w:tcW w:type="dxa" w:w="1881"/>
          </w:tcPr>
          <w:p>
            <w:pPr>
              <w:spacing w:after="0"/>
            </w:pPr>
            <w:r>
              <w:rPr>
                <w:rFonts w:ascii="Times New Roman" w:hAnsi="Times New Roman" w:eastAsia="宋体"/>
                <w:b w:val="0"/>
                <w:sz w:val="17"/>
              </w:rPr>
              <w:t>75.85</w:t>
            </w:r>
          </w:p>
        </w:tc>
      </w:tr>
      <w:tr>
        <w:tc>
          <w:tcPr>
            <w:tcW w:type="dxa" w:w="1881"/>
          </w:tcPr>
          <w:p>
            <w:pPr>
              <w:spacing w:after="0"/>
            </w:pPr>
            <w:r>
              <w:rPr>
                <w:rFonts w:ascii="Times New Roman" w:hAnsi="Times New Roman" w:eastAsia="宋体"/>
                <w:b w:val="0"/>
                <w:sz w:val="17"/>
              </w:rPr>
              <w:t>ResNet-50</w:t>
            </w:r>
          </w:p>
        </w:tc>
        <w:tc>
          <w:tcPr>
            <w:tcW w:type="dxa" w:w="1881"/>
          </w:tcPr>
          <w:p>
            <w:pPr>
              <w:spacing w:after="0"/>
            </w:pPr>
            <w:r>
              <w:rPr>
                <w:rFonts w:ascii="Times New Roman" w:hAnsi="Times New Roman" w:eastAsia="宋体"/>
                <w:b w:val="0"/>
                <w:sz w:val="17"/>
              </w:rPr>
              <w:t>70.02</w:t>
            </w:r>
          </w:p>
        </w:tc>
        <w:tc>
          <w:tcPr>
            <w:tcW w:type="dxa" w:w="1881"/>
          </w:tcPr>
          <w:p>
            <w:pPr>
              <w:spacing w:after="0"/>
            </w:pPr>
            <w:r>
              <w:rPr>
                <w:rFonts w:ascii="Times New Roman" w:hAnsi="Times New Roman" w:eastAsia="宋体"/>
                <w:b w:val="0"/>
                <w:sz w:val="17"/>
              </w:rPr>
              <w:t>72.48</w:t>
            </w:r>
          </w:p>
        </w:tc>
        <w:tc>
          <w:tcPr>
            <w:tcW w:type="dxa" w:w="1881"/>
          </w:tcPr>
          <w:p>
            <w:pPr>
              <w:spacing w:after="0"/>
            </w:pPr>
            <w:r>
              <w:rPr>
                <w:rFonts w:ascii="Times New Roman" w:hAnsi="Times New Roman" w:eastAsia="宋体"/>
                <w:b w:val="0"/>
                <w:sz w:val="17"/>
              </w:rPr>
              <w:t>77.35</w:t>
            </w:r>
          </w:p>
        </w:tc>
        <w:tc>
          <w:tcPr>
            <w:tcW w:type="dxa" w:w="1881"/>
          </w:tcPr>
          <w:p>
            <w:pPr>
              <w:spacing w:after="0"/>
            </w:pPr>
            <w:r>
              <w:rPr>
                <w:rFonts w:ascii="Times New Roman" w:hAnsi="Times New Roman" w:eastAsia="宋体"/>
                <w:b w:val="0"/>
                <w:sz w:val="17"/>
              </w:rPr>
              <w:t>80.32</w:t>
            </w:r>
          </w:p>
        </w:tc>
      </w:tr>
      <w:tr>
        <w:tc>
          <w:tcPr>
            <w:tcW w:type="dxa" w:w="1881"/>
          </w:tcPr>
          <w:p>
            <w:pPr>
              <w:spacing w:after="0"/>
            </w:pPr>
            <w:r>
              <w:rPr>
                <w:rFonts w:ascii="Times New Roman" w:hAnsi="Times New Roman" w:eastAsia="宋体"/>
                <w:b w:val="0"/>
                <w:sz w:val="17"/>
              </w:rPr>
              <w:t>MobileNetV3-Small</w:t>
            </w:r>
          </w:p>
        </w:tc>
        <w:tc>
          <w:tcPr>
            <w:tcW w:type="dxa" w:w="1881"/>
          </w:tcPr>
          <w:p>
            <w:pPr>
              <w:spacing w:after="0"/>
            </w:pPr>
            <w:r>
              <w:rPr>
                <w:rFonts w:ascii="Times New Roman" w:hAnsi="Times New Roman" w:eastAsia="宋体"/>
                <w:b w:val="0"/>
                <w:sz w:val="17"/>
              </w:rPr>
              <w:t>64.67</w:t>
            </w:r>
          </w:p>
        </w:tc>
        <w:tc>
          <w:tcPr>
            <w:tcW w:type="dxa" w:w="1881"/>
          </w:tcPr>
          <w:p>
            <w:pPr>
              <w:spacing w:after="0"/>
            </w:pPr>
            <w:r>
              <w:rPr>
                <w:rFonts w:ascii="Times New Roman" w:hAnsi="Times New Roman" w:eastAsia="宋体"/>
                <w:b w:val="0"/>
                <w:sz w:val="17"/>
              </w:rPr>
              <w:t>67.95</w:t>
            </w:r>
          </w:p>
        </w:tc>
        <w:tc>
          <w:tcPr>
            <w:tcW w:type="dxa" w:w="1881"/>
          </w:tcPr>
          <w:p>
            <w:pPr>
              <w:spacing w:after="0"/>
            </w:pPr>
            <w:r>
              <w:rPr>
                <w:rFonts w:ascii="Times New Roman" w:hAnsi="Times New Roman" w:eastAsia="宋体"/>
                <w:b w:val="0"/>
                <w:sz w:val="17"/>
              </w:rPr>
              <w:t>69.09</w:t>
            </w:r>
          </w:p>
        </w:tc>
        <w:tc>
          <w:tcPr>
            <w:tcW w:type="dxa" w:w="1881"/>
          </w:tcPr>
          <w:p>
            <w:pPr>
              <w:spacing w:after="0"/>
            </w:pPr>
            <w:r>
              <w:rPr>
                <w:rFonts w:ascii="Times New Roman" w:hAnsi="Times New Roman" w:eastAsia="宋体"/>
                <w:b w:val="0"/>
                <w:sz w:val="17"/>
              </w:rPr>
              <w:t>72.26</w:t>
            </w:r>
          </w:p>
        </w:tc>
      </w:tr>
      <w:tr>
        <w:tc>
          <w:tcPr>
            <w:tcW w:type="dxa" w:w="1881"/>
          </w:tcPr>
          <w:p>
            <w:pPr>
              <w:spacing w:after="0"/>
            </w:pPr>
            <w:r>
              <w:rPr>
                <w:rFonts w:ascii="Times New Roman" w:hAnsi="Times New Roman" w:eastAsia="宋体"/>
                <w:b w:val="0"/>
                <w:sz w:val="17"/>
              </w:rPr>
              <w:t>MobileNetV3-Large</w:t>
            </w:r>
          </w:p>
        </w:tc>
        <w:tc>
          <w:tcPr>
            <w:tcW w:type="dxa" w:w="1881"/>
          </w:tcPr>
          <w:p>
            <w:pPr>
              <w:spacing w:after="0"/>
            </w:pPr>
            <w:r>
              <w:rPr>
                <w:rFonts w:ascii="Times New Roman" w:hAnsi="Times New Roman" w:eastAsia="宋体"/>
                <w:b w:val="0"/>
                <w:sz w:val="17"/>
              </w:rPr>
              <w:t>68.77</w:t>
            </w:r>
          </w:p>
        </w:tc>
        <w:tc>
          <w:tcPr>
            <w:tcW w:type="dxa" w:w="1881"/>
          </w:tcPr>
          <w:p>
            <w:pPr>
              <w:spacing w:after="0"/>
            </w:pPr>
            <w:r>
              <w:rPr>
                <w:rFonts w:ascii="Times New Roman" w:hAnsi="Times New Roman" w:eastAsia="宋体"/>
                <w:b w:val="0"/>
                <w:sz w:val="17"/>
              </w:rPr>
              <w:t>71.84</w:t>
            </w:r>
          </w:p>
        </w:tc>
        <w:tc>
          <w:tcPr>
            <w:tcW w:type="dxa" w:w="1881"/>
          </w:tcPr>
          <w:p>
            <w:pPr>
              <w:spacing w:after="0"/>
            </w:pPr>
            <w:r>
              <w:rPr>
                <w:rFonts w:ascii="Times New Roman" w:hAnsi="Times New Roman" w:eastAsia="宋体"/>
                <w:b w:val="0"/>
                <w:sz w:val="17"/>
              </w:rPr>
              <w:t>76.05</w:t>
            </w:r>
          </w:p>
        </w:tc>
        <w:tc>
          <w:tcPr>
            <w:tcW w:type="dxa" w:w="1881"/>
          </w:tcPr>
          <w:p>
            <w:pPr>
              <w:spacing w:after="0"/>
            </w:pPr>
            <w:r>
              <w:rPr>
                <w:rFonts w:ascii="Times New Roman" w:hAnsi="Times New Roman" w:eastAsia="宋体"/>
                <w:b w:val="0"/>
                <w:sz w:val="17"/>
              </w:rPr>
              <w:t>79.90</w:t>
            </w:r>
          </w:p>
        </w:tc>
      </w:tr>
      <w:tr>
        <w:tc>
          <w:tcPr>
            <w:tcW w:type="dxa" w:w="1881"/>
          </w:tcPr>
          <w:p>
            <w:pPr>
              <w:spacing w:after="0"/>
            </w:pPr>
            <w:r>
              <w:rPr>
                <w:rFonts w:ascii="Times New Roman" w:hAnsi="Times New Roman" w:eastAsia="宋体"/>
                <w:b w:val="0"/>
                <w:sz w:val="17"/>
              </w:rPr>
              <w:t>DenseNet-121</w:t>
            </w:r>
          </w:p>
        </w:tc>
        <w:tc>
          <w:tcPr>
            <w:tcW w:type="dxa" w:w="1881"/>
          </w:tcPr>
          <w:p>
            <w:pPr>
              <w:spacing w:after="0"/>
            </w:pPr>
            <w:r>
              <w:rPr>
                <w:rFonts w:ascii="Times New Roman" w:hAnsi="Times New Roman" w:eastAsia="宋体"/>
                <w:b w:val="0"/>
                <w:sz w:val="17"/>
              </w:rPr>
              <w:t>66.13</w:t>
            </w:r>
          </w:p>
        </w:tc>
        <w:tc>
          <w:tcPr>
            <w:tcW w:type="dxa" w:w="1881"/>
          </w:tcPr>
          <w:p>
            <w:pPr>
              <w:spacing w:after="0"/>
            </w:pPr>
            <w:r>
              <w:rPr>
                <w:rFonts w:ascii="Times New Roman" w:hAnsi="Times New Roman" w:eastAsia="宋体"/>
                <w:b w:val="0"/>
                <w:sz w:val="17"/>
              </w:rPr>
              <w:t>70.21</w:t>
            </w:r>
          </w:p>
        </w:tc>
        <w:tc>
          <w:tcPr>
            <w:tcW w:type="dxa" w:w="1881"/>
          </w:tcPr>
          <w:p>
            <w:pPr>
              <w:spacing w:after="0"/>
            </w:pPr>
            <w:r>
              <w:rPr>
                <w:rFonts w:ascii="Times New Roman" w:hAnsi="Times New Roman" w:eastAsia="宋体"/>
                <w:b w:val="0"/>
                <w:sz w:val="17"/>
              </w:rPr>
              <w:t>73.25</w:t>
            </w:r>
          </w:p>
        </w:tc>
        <w:tc>
          <w:tcPr>
            <w:tcW w:type="dxa" w:w="1881"/>
          </w:tcPr>
          <w:p>
            <w:pPr>
              <w:spacing w:after="0"/>
            </w:pPr>
            <w:r>
              <w:rPr>
                <w:rFonts w:ascii="Times New Roman" w:hAnsi="Times New Roman" w:eastAsia="宋体"/>
                <w:b w:val="0"/>
                <w:sz w:val="17"/>
              </w:rPr>
              <w:t>74.60</w:t>
            </w:r>
          </w:p>
        </w:tc>
      </w:tr>
      <w:tr>
        <w:tc>
          <w:tcPr>
            <w:tcW w:type="dxa" w:w="1881"/>
          </w:tcPr>
          <w:p>
            <w:pPr>
              <w:spacing w:after="0"/>
            </w:pPr>
            <w:r>
              <w:rPr>
                <w:rFonts w:ascii="Times New Roman" w:hAnsi="Times New Roman" w:eastAsia="宋体"/>
                <w:b w:val="0"/>
                <w:sz w:val="17"/>
              </w:rPr>
              <w:t>EfficientNet-B0</w:t>
            </w:r>
          </w:p>
        </w:tc>
        <w:tc>
          <w:tcPr>
            <w:tcW w:type="dxa" w:w="1881"/>
          </w:tcPr>
          <w:p>
            <w:pPr>
              <w:spacing w:after="0"/>
            </w:pPr>
            <w:r>
              <w:rPr>
                <w:rFonts w:ascii="Times New Roman" w:hAnsi="Times New Roman" w:eastAsia="宋体"/>
                <w:b w:val="0"/>
                <w:sz w:val="17"/>
              </w:rPr>
              <w:t>70.66</w:t>
            </w:r>
          </w:p>
        </w:tc>
        <w:tc>
          <w:tcPr>
            <w:tcW w:type="dxa" w:w="1881"/>
          </w:tcPr>
          <w:p>
            <w:pPr>
              <w:spacing w:after="0"/>
            </w:pPr>
            <w:r>
              <w:rPr>
                <w:rFonts w:ascii="Times New Roman" w:hAnsi="Times New Roman" w:eastAsia="宋体"/>
                <w:b w:val="0"/>
                <w:sz w:val="17"/>
              </w:rPr>
              <w:t>73.57</w:t>
            </w:r>
          </w:p>
        </w:tc>
        <w:tc>
          <w:tcPr>
            <w:tcW w:type="dxa" w:w="1881"/>
          </w:tcPr>
          <w:p>
            <w:pPr>
              <w:spacing w:after="0"/>
            </w:pPr>
            <w:r>
              <w:rPr>
                <w:rFonts w:ascii="Times New Roman" w:hAnsi="Times New Roman" w:eastAsia="宋体"/>
                <w:b w:val="0"/>
                <w:sz w:val="17"/>
              </w:rPr>
              <w:t>73.58</w:t>
            </w:r>
          </w:p>
        </w:tc>
        <w:tc>
          <w:tcPr>
            <w:tcW w:type="dxa" w:w="1881"/>
          </w:tcPr>
          <w:p>
            <w:pPr>
              <w:spacing w:after="0"/>
            </w:pPr>
            <w:r>
              <w:rPr>
                <w:rFonts w:ascii="Times New Roman" w:hAnsi="Times New Roman" w:eastAsia="宋体"/>
                <w:b w:val="0"/>
                <w:sz w:val="17"/>
              </w:rPr>
              <w:t>78.17</w:t>
            </w:r>
          </w:p>
        </w:tc>
      </w:tr>
      <w:tr>
        <w:tc>
          <w:tcPr>
            <w:tcW w:type="dxa" w:w="1881"/>
          </w:tcPr>
          <w:p>
            <w:pPr>
              <w:spacing w:after="0"/>
            </w:pPr>
            <w:r>
              <w:rPr>
                <w:rFonts w:ascii="Times New Roman" w:hAnsi="Times New Roman" w:eastAsia="宋体"/>
                <w:b w:val="0"/>
                <w:sz w:val="17"/>
              </w:rPr>
              <w:t>ConvNeXt-Tiny</w:t>
            </w:r>
          </w:p>
        </w:tc>
        <w:tc>
          <w:tcPr>
            <w:tcW w:type="dxa" w:w="1881"/>
          </w:tcPr>
          <w:p>
            <w:pPr>
              <w:spacing w:after="0"/>
            </w:pPr>
            <w:r>
              <w:rPr>
                <w:rFonts w:ascii="Times New Roman" w:hAnsi="Times New Roman" w:eastAsia="宋体"/>
                <w:b w:val="0"/>
                <w:sz w:val="17"/>
              </w:rPr>
              <w:t>74.97</w:t>
            </w:r>
          </w:p>
        </w:tc>
        <w:tc>
          <w:tcPr>
            <w:tcW w:type="dxa" w:w="1881"/>
          </w:tcPr>
          <w:p>
            <w:pPr>
              <w:spacing w:after="0"/>
            </w:pPr>
            <w:r>
              <w:rPr>
                <w:rFonts w:ascii="Times New Roman" w:hAnsi="Times New Roman" w:eastAsia="宋体"/>
                <w:b w:val="0"/>
                <w:sz w:val="17"/>
              </w:rPr>
              <w:t>78.36</w:t>
            </w:r>
          </w:p>
        </w:tc>
        <w:tc>
          <w:tcPr>
            <w:tcW w:type="dxa" w:w="1881"/>
          </w:tcPr>
          <w:p>
            <w:pPr>
              <w:spacing w:after="0"/>
            </w:pPr>
            <w:r>
              <w:rPr>
                <w:rFonts w:ascii="Times New Roman" w:hAnsi="Times New Roman" w:eastAsia="宋体"/>
                <w:b w:val="0"/>
                <w:sz w:val="17"/>
              </w:rPr>
              <w:t>84.46</w:t>
            </w:r>
          </w:p>
        </w:tc>
        <w:tc>
          <w:tcPr>
            <w:tcW w:type="dxa" w:w="1881"/>
          </w:tcPr>
          <w:p>
            <w:pPr>
              <w:spacing w:after="0"/>
            </w:pPr>
            <w:r>
              <w:rPr>
                <w:rFonts w:ascii="Times New Roman" w:hAnsi="Times New Roman" w:eastAsia="宋体"/>
                <w:b w:val="0"/>
                <w:sz w:val="17"/>
              </w:rPr>
              <w:t>85.50</w:t>
            </w:r>
          </w:p>
        </w:tc>
      </w:tr>
      <w:tr>
        <w:tc>
          <w:tcPr>
            <w:tcW w:type="dxa" w:w="1881"/>
          </w:tcPr>
          <w:p>
            <w:pPr>
              <w:spacing w:after="0"/>
            </w:pPr>
            <w:r>
              <w:rPr>
                <w:rFonts w:ascii="Times New Roman" w:hAnsi="Times New Roman" w:eastAsia="宋体"/>
                <w:b w:val="0"/>
                <w:sz w:val="17"/>
              </w:rPr>
              <w:t>Swin-T</w:t>
            </w:r>
          </w:p>
        </w:tc>
        <w:tc>
          <w:tcPr>
            <w:tcW w:type="dxa" w:w="1881"/>
          </w:tcPr>
          <w:p>
            <w:pPr>
              <w:spacing w:after="0"/>
            </w:pPr>
            <w:r>
              <w:rPr>
                <w:rFonts w:ascii="Times New Roman" w:hAnsi="Times New Roman" w:eastAsia="宋体"/>
                <w:b w:val="0"/>
                <w:sz w:val="17"/>
              </w:rPr>
              <w:t>73.73</w:t>
            </w:r>
          </w:p>
        </w:tc>
        <w:tc>
          <w:tcPr>
            <w:tcW w:type="dxa" w:w="1881"/>
          </w:tcPr>
          <w:p>
            <w:pPr>
              <w:spacing w:after="0"/>
            </w:pPr>
            <w:r>
              <w:rPr>
                <w:rFonts w:ascii="Times New Roman" w:hAnsi="Times New Roman" w:eastAsia="宋体"/>
                <w:b w:val="0"/>
                <w:sz w:val="17"/>
              </w:rPr>
              <w:t>77.14</w:t>
            </w:r>
          </w:p>
        </w:tc>
        <w:tc>
          <w:tcPr>
            <w:tcW w:type="dxa" w:w="1881"/>
          </w:tcPr>
          <w:p>
            <w:pPr>
              <w:spacing w:after="0"/>
            </w:pPr>
            <w:r>
              <w:rPr>
                <w:rFonts w:ascii="Times New Roman" w:hAnsi="Times New Roman" w:eastAsia="宋体"/>
                <w:b w:val="0"/>
                <w:sz w:val="17"/>
              </w:rPr>
              <w:t>81.89</w:t>
            </w:r>
          </w:p>
        </w:tc>
        <w:tc>
          <w:tcPr>
            <w:tcW w:type="dxa" w:w="1881"/>
          </w:tcPr>
          <w:p>
            <w:pPr>
              <w:spacing w:after="0"/>
            </w:pPr>
            <w:r>
              <w:rPr>
                <w:rFonts w:ascii="Times New Roman" w:hAnsi="Times New Roman" w:eastAsia="宋体"/>
                <w:b w:val="0"/>
                <w:sz w:val="17"/>
              </w:rPr>
              <w:t>83.61</w:t>
            </w:r>
          </w:p>
        </w:tc>
      </w:tr>
    </w:tbl>
    <w:p/>
    <w:p>
      <w:pPr>
        <w:spacing w:line="324" w:lineRule="auto" w:after="80"/>
        <w:ind w:firstLine="420"/>
      </w:pPr>
      <w:r>
        <w:rPr>
          <w:rFonts w:ascii="Times New Roman" w:hAnsi="Times New Roman" w:eastAsia="宋体"/>
          <w:b w:val="0"/>
          <w:sz w:val="21"/>
        </w:rPr>
        <w:t>ConvNeXt-Tiny在四个“池—标注来源”设置的Q5平均F1中均最高，Swin-T均居第二。这是当前权重和统一训练配置下的描述性排序，不是模型总体优劣或两两统计优势的结论。</w:t>
      </w:r>
    </w:p>
    <w:p>
      <w:pPr>
        <w:spacing w:line="324" w:lineRule="auto" w:after="80"/>
        <w:ind w:firstLine="420"/>
      </w:pPr>
      <w:r>
        <w:rPr>
          <w:rFonts w:ascii="Times New Roman" w:hAnsi="Times New Roman" w:eastAsia="宋体"/>
          <w:b w:val="0"/>
          <w:sz w:val="21"/>
        </w:rPr>
        <w:t>能力评价还应同时考虑高风险性能水平与Q5−Q1降幅。例如C本地ConvNeXt-Tiny的Q5 F1为84.46%，下降8.81个百分点，而ResNet-18为71.37%，下降21.89个百分点。在B本地，Swin-T降幅22.66个百分点略小于ConvNeXt-Tiny的22.73个百分点，但Q5性能仍较低。只按下降幅度排序可能混淆低起点与高风险能力。</w:t>
      </w:r>
    </w:p>
    <w:p>
      <w:pPr>
        <w:pStyle w:val="Heading3"/>
      </w:pPr>
      <w:r>
        <w:t>5.6 冻结薄弱状态的新样本复现与跨来源限制</w:t>
      </w:r>
    </w:p>
    <w:p>
      <w:pPr>
        <w:spacing w:line="324" w:lineRule="auto" w:after="80"/>
        <w:ind w:firstLine="420"/>
      </w:pPr>
      <w:r>
        <w:rPr>
          <w:rFonts w:ascii="Times New Roman" w:hAnsi="Times New Roman" w:eastAsia="宋体"/>
          <w:b/>
          <w:sz w:val="21"/>
        </w:rPr>
        <w:t>表7 原发现池冻结薄弱状态在新池的验证。差值为状态Recall减类别Recall，主比较按运行与架构聚合。</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冻结组合</w:t>
            </w:r>
          </w:p>
        </w:tc>
        <w:tc>
          <w:tcPr>
            <w:tcW w:type="dxa" w:w="1568"/>
            <w:shd w:fill="D9EAF7"/>
          </w:tcPr>
          <w:p>
            <w:pPr>
              <w:spacing w:after="0"/>
            </w:pPr>
            <w:r>
              <w:rPr>
                <w:rFonts w:ascii="Times New Roman" w:hAnsi="Times New Roman" w:eastAsia="宋体"/>
                <w:b/>
                <w:sz w:val="17"/>
              </w:rPr>
              <w:t>支持足够的组合</w:t>
            </w:r>
          </w:p>
        </w:tc>
        <w:tc>
          <w:tcPr>
            <w:tcW w:type="dxa" w:w="1568"/>
            <w:shd w:fill="D9EAF7"/>
          </w:tcPr>
          <w:p>
            <w:pPr>
              <w:spacing w:after="0"/>
            </w:pPr>
            <w:r>
              <w:rPr>
                <w:rFonts w:ascii="Times New Roman" w:hAnsi="Times New Roman" w:eastAsia="宋体"/>
                <w:b/>
                <w:sz w:val="17"/>
              </w:rPr>
              <w:t>平均Recall差（百分点）</w:t>
            </w:r>
          </w:p>
        </w:tc>
        <w:tc>
          <w:tcPr>
            <w:tcW w:type="dxa" w:w="1568"/>
            <w:shd w:fill="D9EAF7"/>
          </w:tcPr>
          <w:p>
            <w:pPr>
              <w:spacing w:after="0"/>
            </w:pPr>
            <w:r>
              <w:rPr>
                <w:rFonts w:ascii="Times New Roman" w:hAnsi="Times New Roman" w:eastAsia="宋体"/>
                <w:b/>
                <w:sz w:val="17"/>
              </w:rPr>
              <w:t>两项Holm p</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78</w:t>
            </w:r>
          </w:p>
        </w:tc>
        <w:tc>
          <w:tcPr>
            <w:tcW w:type="dxa" w:w="1568"/>
          </w:tcPr>
          <w:p>
            <w:pPr>
              <w:spacing w:after="0"/>
            </w:pPr>
            <w:r>
              <w:rPr>
                <w:rFonts w:ascii="Times New Roman" w:hAnsi="Times New Roman" w:eastAsia="宋体"/>
                <w:b w:val="0"/>
                <w:sz w:val="17"/>
              </w:rPr>
              <w:t>−21.73</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75</w:t>
            </w:r>
          </w:p>
        </w:tc>
        <w:tc>
          <w:tcPr>
            <w:tcW w:type="dxa" w:w="1568"/>
          </w:tcPr>
          <w:p>
            <w:pPr>
              <w:spacing w:after="0"/>
            </w:pPr>
            <w:r>
              <w:rPr>
                <w:rFonts w:ascii="Times New Roman" w:hAnsi="Times New Roman" w:eastAsia="宋体"/>
                <w:b w:val="0"/>
                <w:sz w:val="17"/>
              </w:rPr>
              <w:t>−20.77</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1</w:t>
            </w:r>
          </w:p>
        </w:tc>
        <w:tc>
          <w:tcPr>
            <w:tcW w:type="dxa" w:w="1568"/>
          </w:tcPr>
          <w:p>
            <w:pPr>
              <w:spacing w:after="0"/>
            </w:pPr>
            <w:r>
              <w:rPr>
                <w:rFonts w:ascii="Times New Roman" w:hAnsi="Times New Roman" w:eastAsia="宋体"/>
                <w:b w:val="0"/>
                <w:sz w:val="17"/>
              </w:rPr>
              <w:t>−23.83</w:t>
            </w:r>
          </w:p>
        </w:tc>
        <w:tc>
          <w:tcPr>
            <w:tcW w:type="dxa" w:w="1568"/>
          </w:tcPr>
          <w:p>
            <w:pPr>
              <w:spacing w:after="0"/>
            </w:pPr>
            <w:r>
              <w:rPr>
                <w:rFonts w:ascii="Times New Roman" w:hAnsi="Times New Roman" w:eastAsia="宋体"/>
                <w:b w:val="0"/>
                <w:sz w:val="17"/>
              </w:rPr>
              <w:t>1.00000</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3</w:t>
            </w:r>
          </w:p>
        </w:tc>
        <w:tc>
          <w:tcPr>
            <w:tcW w:type="dxa" w:w="1568"/>
          </w:tcPr>
          <w:p>
            <w:pPr>
              <w:spacing w:after="0"/>
            </w:pPr>
            <w:r>
              <w:rPr>
                <w:rFonts w:ascii="Times New Roman" w:hAnsi="Times New Roman" w:eastAsia="宋体"/>
                <w:b w:val="0"/>
                <w:sz w:val="17"/>
              </w:rPr>
              <w:t>+1.62</w:t>
            </w:r>
          </w:p>
        </w:tc>
        <w:tc>
          <w:tcPr>
            <w:tcW w:type="dxa" w:w="1568"/>
          </w:tcPr>
          <w:p>
            <w:pPr>
              <w:spacing w:after="0"/>
            </w:pPr>
            <w:r>
              <w:rPr>
                <w:rFonts w:ascii="Times New Roman" w:hAnsi="Times New Roman" w:eastAsia="宋体"/>
                <w:b w:val="0"/>
                <w:sz w:val="17"/>
              </w:rPr>
              <w:t>1.00000</w:t>
            </w:r>
          </w:p>
        </w:tc>
      </w:tr>
    </w:tbl>
    <w:p/>
    <w:p>
      <w:pPr>
        <w:spacing w:line="324" w:lineRule="auto" w:after="80"/>
        <w:ind w:firstLine="420"/>
      </w:pPr>
      <w:r>
        <w:rPr>
          <w:rFonts w:ascii="Times New Roman" w:hAnsi="Times New Roman" w:eastAsia="宋体"/>
          <w:b w:val="0"/>
          <w:sz w:val="21"/>
        </w:rPr>
        <w:t>B中，在不重选状态的条件下，冻结薄弱状态具有显著的平均Recall落差，支持状态诊断不仅是旧池上的结果描述。C的主要问题是支持不足：仅四条组合达到至少20个目标门槛。线上三条的平均方向也未保持负向。单凭B/C，跨来源状态可迁移性的证据不足；本地单条负向差值不能代替整体复现。新增Objects365确认见第5.9节。</w:t>
      </w:r>
    </w:p>
    <w:p>
      <w:pPr>
        <w:spacing w:line="324" w:lineRule="auto" w:after="80"/>
        <w:ind w:firstLine="420"/>
      </w:pPr>
      <w:r>
        <w:rPr>
          <w:rFonts w:ascii="Times New Roman" w:hAnsi="Times New Roman" w:eastAsia="宋体"/>
          <w:b w:val="0"/>
          <w:sz w:val="21"/>
        </w:rPr>
        <w:t>这里的平均差不是将所有状态目标合并后的单一Recall。状态可能重叠，本文按既定“状态—模型”清单及架构聚合规则计算，不将重叠目标当成更多独立样本。</w:t>
      </w:r>
    </w:p>
    <w:p>
      <w:pPr>
        <w:pStyle w:val="Heading3"/>
      </w:pPr>
      <w:r>
        <w:t>5.7 状态诊断提供具体薄弱条件，而非因果根源</w:t>
      </w:r>
    </w:p>
    <w:p>
      <w:pPr>
        <w:spacing w:line="324" w:lineRule="auto" w:after="80"/>
        <w:ind w:firstLine="420"/>
      </w:pPr>
      <w:r>
        <w:rPr>
          <w:rFonts w:ascii="Times New Roman" w:hAnsi="Times New Roman" w:eastAsia="宋体"/>
          <w:b w:val="0"/>
          <w:sz w:val="21"/>
        </w:rPr>
        <w:t>表8展示冻结清单在B中的部分验证案例，并包含未复现方向的反例。数值为三个种子的平均Recall，状态支持量是唯一目标数，不能乘以三个种子。</w:t>
      </w:r>
    </w:p>
    <w:p>
      <w:pPr>
        <w:spacing w:line="324" w:lineRule="auto" w:after="80"/>
        <w:ind w:firstLine="420"/>
      </w:pPr>
      <w:r>
        <w:rPr>
          <w:rFonts w:ascii="Times New Roman" w:hAnsi="Times New Roman" w:eastAsia="宋体"/>
          <w:b/>
          <w:sz w:val="21"/>
        </w:rPr>
        <w:t>表8 COCO确认池B中的探索性状态诊断案例。</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模型</w:t>
            </w:r>
          </w:p>
        </w:tc>
        <w:tc>
          <w:tcPr>
            <w:tcW w:type="dxa" w:w="1344"/>
            <w:shd w:fill="D9EAF7"/>
          </w:tcPr>
          <w:p>
            <w:pPr>
              <w:spacing w:after="0"/>
            </w:pPr>
            <w:r>
              <w:rPr>
                <w:rFonts w:ascii="Times New Roman" w:hAnsi="Times New Roman" w:eastAsia="宋体"/>
                <w:b/>
                <w:sz w:val="17"/>
              </w:rPr>
              <w:t>类别与状态</w:t>
            </w:r>
          </w:p>
        </w:tc>
        <w:tc>
          <w:tcPr>
            <w:tcW w:type="dxa" w:w="1344"/>
            <w:shd w:fill="D9EAF7"/>
          </w:tcPr>
          <w:p>
            <w:pPr>
              <w:spacing w:after="0"/>
            </w:pPr>
            <w:r>
              <w:rPr>
                <w:rFonts w:ascii="Times New Roman" w:hAnsi="Times New Roman" w:eastAsia="宋体"/>
                <w:b/>
                <w:sz w:val="17"/>
              </w:rPr>
              <w:t>标注来源</w:t>
            </w:r>
          </w:p>
        </w:tc>
        <w:tc>
          <w:tcPr>
            <w:tcW w:type="dxa" w:w="1344"/>
            <w:shd w:fill="D9EAF7"/>
          </w:tcPr>
          <w:p>
            <w:pPr>
              <w:spacing w:after="0"/>
            </w:pPr>
            <w:r>
              <w:rPr>
                <w:rFonts w:ascii="Times New Roman" w:hAnsi="Times New Roman" w:eastAsia="宋体"/>
                <w:b/>
                <w:sz w:val="17"/>
              </w:rPr>
              <w:t>支持量</w:t>
            </w:r>
          </w:p>
        </w:tc>
        <w:tc>
          <w:tcPr>
            <w:tcW w:type="dxa" w:w="1344"/>
            <w:shd w:fill="D9EAF7"/>
          </w:tcPr>
          <w:p>
            <w:pPr>
              <w:spacing w:after="0"/>
            </w:pPr>
            <w:r>
              <w:rPr>
                <w:rFonts w:ascii="Times New Roman" w:hAnsi="Times New Roman" w:eastAsia="宋体"/>
                <w:b/>
                <w:sz w:val="17"/>
              </w:rPr>
              <w:t>类别Recall（%）</w:t>
            </w:r>
          </w:p>
        </w:tc>
        <w:tc>
          <w:tcPr>
            <w:tcW w:type="dxa" w:w="1344"/>
            <w:shd w:fill="D9EAF7"/>
          </w:tcPr>
          <w:p>
            <w:pPr>
              <w:spacing w:after="0"/>
            </w:pPr>
            <w:r>
              <w:rPr>
                <w:rFonts w:ascii="Times New Roman" w:hAnsi="Times New Roman" w:eastAsia="宋体"/>
                <w:b/>
                <w:sz w:val="17"/>
              </w:rPr>
              <w:t>状态Recall（%）</w:t>
            </w:r>
          </w:p>
        </w:tc>
        <w:tc>
          <w:tcPr>
            <w:tcW w:type="dxa" w:w="1344"/>
            <w:shd w:fill="D9EAF7"/>
          </w:tcPr>
          <w:p>
            <w:pPr>
              <w:spacing w:after="0"/>
            </w:pPr>
            <w:r>
              <w:rPr>
                <w:rFonts w:ascii="Times New Roman" w:hAnsi="Times New Roman" w:eastAsia="宋体"/>
                <w:b/>
                <w:sz w:val="17"/>
              </w:rPr>
              <w:t>差（百分点）</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dog，身体背向</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46</w:t>
            </w:r>
          </w:p>
        </w:tc>
        <w:tc>
          <w:tcPr>
            <w:tcW w:type="dxa" w:w="1344"/>
          </w:tcPr>
          <w:p>
            <w:pPr>
              <w:spacing w:after="0"/>
            </w:pPr>
            <w:r>
              <w:rPr>
                <w:rFonts w:ascii="Times New Roman" w:hAnsi="Times New Roman" w:eastAsia="宋体"/>
                <w:b w:val="0"/>
                <w:sz w:val="17"/>
              </w:rPr>
              <w:t>81.92</w:t>
            </w:r>
          </w:p>
        </w:tc>
        <w:tc>
          <w:tcPr>
            <w:tcW w:type="dxa" w:w="1344"/>
          </w:tcPr>
          <w:p>
            <w:pPr>
              <w:spacing w:after="0"/>
            </w:pPr>
            <w:r>
              <w:rPr>
                <w:rFonts w:ascii="Times New Roman" w:hAnsi="Times New Roman" w:eastAsia="宋体"/>
                <w:b w:val="0"/>
                <w:sz w:val="17"/>
              </w:rPr>
              <w:t>57.25</w:t>
            </w:r>
          </w:p>
        </w:tc>
        <w:tc>
          <w:tcPr>
            <w:tcW w:type="dxa" w:w="1344"/>
          </w:tcPr>
          <w:p>
            <w:pPr>
              <w:spacing w:after="0"/>
            </w:pPr>
            <w:r>
              <w:rPr>
                <w:rFonts w:ascii="Times New Roman" w:hAnsi="Times New Roman" w:eastAsia="宋体"/>
                <w:b w:val="0"/>
                <w:sz w:val="17"/>
              </w:rPr>
              <w:t>−24.67</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cat，原图目标尺度small</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23</w:t>
            </w:r>
          </w:p>
        </w:tc>
        <w:tc>
          <w:tcPr>
            <w:tcW w:type="dxa" w:w="1344"/>
          </w:tcPr>
          <w:p>
            <w:pPr>
              <w:spacing w:after="0"/>
            </w:pPr>
            <w:r>
              <w:rPr>
                <w:rFonts w:ascii="Times New Roman" w:hAnsi="Times New Roman" w:eastAsia="宋体"/>
                <w:b w:val="0"/>
                <w:sz w:val="17"/>
              </w:rPr>
              <w:t>82.67</w:t>
            </w:r>
          </w:p>
        </w:tc>
        <w:tc>
          <w:tcPr>
            <w:tcW w:type="dxa" w:w="1344"/>
          </w:tcPr>
          <w:p>
            <w:pPr>
              <w:spacing w:after="0"/>
            </w:pPr>
            <w:r>
              <w:rPr>
                <w:rFonts w:ascii="Times New Roman" w:hAnsi="Times New Roman" w:eastAsia="宋体"/>
                <w:b w:val="0"/>
                <w:sz w:val="17"/>
              </w:rPr>
              <w:t>39.13</w:t>
            </w:r>
          </w:p>
        </w:tc>
        <w:tc>
          <w:tcPr>
            <w:tcW w:type="dxa" w:w="1344"/>
          </w:tcPr>
          <w:p>
            <w:pPr>
              <w:spacing w:after="0"/>
            </w:pPr>
            <w:r>
              <w:rPr>
                <w:rFonts w:ascii="Times New Roman" w:hAnsi="Times New Roman" w:eastAsia="宋体"/>
                <w:b w:val="0"/>
                <w:sz w:val="17"/>
              </w:rPr>
              <w:t>−43.54</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horse，身体背向</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47</w:t>
            </w:r>
          </w:p>
        </w:tc>
        <w:tc>
          <w:tcPr>
            <w:tcW w:type="dxa" w:w="1344"/>
          </w:tcPr>
          <w:p>
            <w:pPr>
              <w:spacing w:after="0"/>
            </w:pPr>
            <w:r>
              <w:rPr>
                <w:rFonts w:ascii="Times New Roman" w:hAnsi="Times New Roman" w:eastAsia="宋体"/>
                <w:b w:val="0"/>
                <w:sz w:val="17"/>
              </w:rPr>
              <w:t>82.58</w:t>
            </w:r>
          </w:p>
        </w:tc>
        <w:tc>
          <w:tcPr>
            <w:tcW w:type="dxa" w:w="1344"/>
          </w:tcPr>
          <w:p>
            <w:pPr>
              <w:spacing w:after="0"/>
            </w:pPr>
            <w:r>
              <w:rPr>
                <w:rFonts w:ascii="Times New Roman" w:hAnsi="Times New Roman" w:eastAsia="宋体"/>
                <w:b w:val="0"/>
                <w:sz w:val="17"/>
              </w:rPr>
              <w:t>60.28</w:t>
            </w:r>
          </w:p>
        </w:tc>
        <w:tc>
          <w:tcPr>
            <w:tcW w:type="dxa" w:w="1344"/>
          </w:tcPr>
          <w:p>
            <w:pPr>
              <w:spacing w:after="0"/>
            </w:pPr>
            <w:r>
              <w:rPr>
                <w:rFonts w:ascii="Times New Roman" w:hAnsi="Times New Roman" w:eastAsia="宋体"/>
                <w:b w:val="0"/>
                <w:sz w:val="17"/>
              </w:rPr>
              <w:t>−22.30</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sheep，严重模糊</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44</w:t>
            </w:r>
          </w:p>
        </w:tc>
        <w:tc>
          <w:tcPr>
            <w:tcW w:type="dxa" w:w="1344"/>
          </w:tcPr>
          <w:p>
            <w:pPr>
              <w:spacing w:after="0"/>
            </w:pPr>
            <w:r>
              <w:rPr>
                <w:rFonts w:ascii="Times New Roman" w:hAnsi="Times New Roman" w:eastAsia="宋体"/>
                <w:b w:val="0"/>
                <w:sz w:val="17"/>
              </w:rPr>
              <w:t>88.42</w:t>
            </w:r>
          </w:p>
        </w:tc>
        <w:tc>
          <w:tcPr>
            <w:tcW w:type="dxa" w:w="1344"/>
          </w:tcPr>
          <w:p>
            <w:pPr>
              <w:spacing w:after="0"/>
            </w:pPr>
            <w:r>
              <w:rPr>
                <w:rFonts w:ascii="Times New Roman" w:hAnsi="Times New Roman" w:eastAsia="宋体"/>
                <w:b w:val="0"/>
                <w:sz w:val="17"/>
              </w:rPr>
              <w:t>57.58</w:t>
            </w:r>
          </w:p>
        </w:tc>
        <w:tc>
          <w:tcPr>
            <w:tcW w:type="dxa" w:w="1344"/>
          </w:tcPr>
          <w:p>
            <w:pPr>
              <w:spacing w:after="0"/>
            </w:pPr>
            <w:r>
              <w:rPr>
                <w:rFonts w:ascii="Times New Roman" w:hAnsi="Times New Roman" w:eastAsia="宋体"/>
                <w:b w:val="0"/>
                <w:sz w:val="17"/>
              </w:rPr>
              <w:t>−30.84</w:t>
            </w:r>
          </w:p>
        </w:tc>
      </w:tr>
      <w:tr>
        <w:tc>
          <w:tcPr>
            <w:tcW w:type="dxa" w:w="1344"/>
          </w:tcPr>
          <w:p>
            <w:pPr>
              <w:spacing w:after="0"/>
            </w:pPr>
            <w:r>
              <w:rPr>
                <w:rFonts w:ascii="Times New Roman" w:hAnsi="Times New Roman" w:eastAsia="宋体"/>
                <w:b w:val="0"/>
                <w:sz w:val="17"/>
              </w:rPr>
              <w:t>DenseNet-121</w:t>
            </w:r>
          </w:p>
        </w:tc>
        <w:tc>
          <w:tcPr>
            <w:tcW w:type="dxa" w:w="1344"/>
          </w:tcPr>
          <w:p>
            <w:pPr>
              <w:spacing w:after="0"/>
            </w:pPr>
            <w:r>
              <w:rPr>
                <w:rFonts w:ascii="Times New Roman" w:hAnsi="Times New Roman" w:eastAsia="宋体"/>
                <w:b w:val="0"/>
                <w:sz w:val="17"/>
              </w:rPr>
              <w:t>dog，原图目标尺度medium</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79</w:t>
            </w:r>
          </w:p>
        </w:tc>
        <w:tc>
          <w:tcPr>
            <w:tcW w:type="dxa" w:w="1344"/>
          </w:tcPr>
          <w:p>
            <w:pPr>
              <w:spacing w:after="0"/>
            </w:pPr>
            <w:r>
              <w:rPr>
                <w:rFonts w:ascii="Times New Roman" w:hAnsi="Times New Roman" w:eastAsia="宋体"/>
                <w:b w:val="0"/>
                <w:sz w:val="17"/>
              </w:rPr>
              <w:t>73.42</w:t>
            </w:r>
          </w:p>
        </w:tc>
        <w:tc>
          <w:tcPr>
            <w:tcW w:type="dxa" w:w="1344"/>
          </w:tcPr>
          <w:p>
            <w:pPr>
              <w:spacing w:after="0"/>
            </w:pPr>
            <w:r>
              <w:rPr>
                <w:rFonts w:ascii="Times New Roman" w:hAnsi="Times New Roman" w:eastAsia="宋体"/>
                <w:b w:val="0"/>
                <w:sz w:val="17"/>
              </w:rPr>
              <w:t>81.01</w:t>
            </w:r>
          </w:p>
        </w:tc>
        <w:tc>
          <w:tcPr>
            <w:tcW w:type="dxa" w:w="1344"/>
          </w:tcPr>
          <w:p>
            <w:pPr>
              <w:spacing w:after="0"/>
            </w:pPr>
            <w:r>
              <w:rPr>
                <w:rFonts w:ascii="Times New Roman" w:hAnsi="Times New Roman" w:eastAsia="宋体"/>
                <w:b w:val="0"/>
                <w:sz w:val="17"/>
              </w:rPr>
              <w:t>+7.60</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car，原图目标尺度medium</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75</w:t>
            </w:r>
          </w:p>
        </w:tc>
        <w:tc>
          <w:tcPr>
            <w:tcW w:type="dxa" w:w="1344"/>
          </w:tcPr>
          <w:p>
            <w:pPr>
              <w:spacing w:after="0"/>
            </w:pPr>
            <w:r>
              <w:rPr>
                <w:rFonts w:ascii="Times New Roman" w:hAnsi="Times New Roman" w:eastAsia="宋体"/>
                <w:b w:val="0"/>
                <w:sz w:val="17"/>
              </w:rPr>
              <w:t>97.25</w:t>
            </w:r>
          </w:p>
        </w:tc>
        <w:tc>
          <w:tcPr>
            <w:tcW w:type="dxa" w:w="1344"/>
          </w:tcPr>
          <w:p>
            <w:pPr>
              <w:spacing w:after="0"/>
            </w:pPr>
            <w:r>
              <w:rPr>
                <w:rFonts w:ascii="Times New Roman" w:hAnsi="Times New Roman" w:eastAsia="宋体"/>
                <w:b w:val="0"/>
                <w:sz w:val="17"/>
              </w:rPr>
              <w:t>97.33</w:t>
            </w:r>
          </w:p>
        </w:tc>
        <w:tc>
          <w:tcPr>
            <w:tcW w:type="dxa" w:w="1344"/>
          </w:tcPr>
          <w:p>
            <w:pPr>
              <w:spacing w:after="0"/>
            </w:pPr>
            <w:r>
              <w:rPr>
                <w:rFonts w:ascii="Times New Roman" w:hAnsi="Times New Roman" w:eastAsia="宋体"/>
                <w:b w:val="0"/>
                <w:sz w:val="17"/>
              </w:rPr>
              <w:t>+0.08</w:t>
            </w:r>
          </w:p>
        </w:tc>
      </w:tr>
    </w:tbl>
    <w:p/>
    <w:p>
      <w:pPr>
        <w:spacing w:line="324" w:lineRule="auto" w:after="80"/>
        <w:ind w:firstLine="420"/>
      </w:pPr>
      <w:r>
        <w:rPr>
          <w:rFonts w:ascii="Times New Roman" w:hAnsi="Times New Roman" w:eastAsia="宋体"/>
          <w:b w:val="0"/>
          <w:sz w:val="21"/>
        </w:rPr>
        <w:t>这些案例说明类别总体Recall未直接呈现的状态差异。例如ResNet-50的dog类别Recall为81.92%，但背向状态只有57.25%；该差异能够为后续测试指定明确条件。dog中等尺度状态在新池却高于类别平均，car中等尺度状态接近类别平均，说明旧薄弱条件并不总是复现。</w:t>
      </w:r>
    </w:p>
    <w:p>
      <w:pPr>
        <w:spacing w:line="324" w:lineRule="auto" w:after="80"/>
        <w:ind w:firstLine="420"/>
      </w:pPr>
      <w:r>
        <w:rPr>
          <w:rFonts w:ascii="Times New Roman" w:hAnsi="Times New Roman" w:eastAsia="宋体"/>
          <w:b w:val="0"/>
          <w:sz w:val="21"/>
        </w:rPr>
        <w:t>背向目标可能减少可见头部与面部线索，严重模糊可能减少纹理信息，但这些是与观察相容的解释，不是已被实验隔离的失败原因。状态与遮挡、尺度、背景等条件可能共现，同状态中也存在正确目标。案例集同时保存同状态正确样本、高风险成功样本和双VLM分歧，避免只展示失败图片形成选择性解释。</w:t>
      </w:r>
    </w:p>
    <w:p>
      <w:pPr>
        <w:jc w:val="center"/>
      </w:pPr>
      <w:r>
        <w:drawing>
          <wp:inline xmlns:a="http://schemas.openxmlformats.org/drawingml/2006/main" xmlns:pic="http://schemas.openxmlformats.org/drawingml/2006/picture">
            <wp:extent cx="5669280" cy="2300495"/>
            <wp:docPr id="4" name="Picture 4"/>
            <wp:cNvGraphicFramePr>
              <a:graphicFrameLocks noChangeAspect="1"/>
            </wp:cNvGraphicFramePr>
            <a:graphic>
              <a:graphicData uri="http://schemas.openxmlformats.org/drawingml/2006/picture">
                <pic:pic>
                  <pic:nvPicPr>
                    <pic:cNvPr id="0" name="class_risk_recall.png"/>
                    <pic:cNvPicPr/>
                  </pic:nvPicPr>
                  <pic:blipFill>
                    <a:blip r:embed="rId13"/>
                    <a:stretch>
                      <a:fillRect/>
                    </a:stretch>
                  </pic:blipFill>
                  <pic:spPr>
                    <a:xfrm>
                      <a:off x="0" y="0"/>
                      <a:ext cx="5669280" cy="2300495"/>
                    </a:xfrm>
                    <a:prstGeom prst="rect"/>
                  </pic:spPr>
                </pic:pic>
              </a:graphicData>
            </a:graphic>
          </wp:inline>
        </w:drawing>
      </w:r>
    </w:p>
    <w:p>
      <w:pPr>
        <w:jc w:val="center"/>
      </w:pPr>
      <w:r>
        <w:rPr>
          <w:rFonts w:ascii="Times New Roman" w:hAnsi="Times New Roman" w:eastAsia="宋体"/>
          <w:sz w:val="18"/>
        </w:rPr>
        <w:t>图4 COCO确认池B的六类别风险层Recall。该图补充总体Macro-F1，呈现不同类别的风险响应。</w:t>
      </w:r>
    </w:p>
    <w:p>
      <w:pPr>
        <w:pStyle w:val="Heading3"/>
      </w:pPr>
      <w:r>
        <w:t>5.8 标注成本与复用</w:t>
      </w:r>
    </w:p>
    <w:p>
      <w:pPr>
        <w:spacing w:line="324" w:lineRule="auto" w:after="80"/>
        <w:ind w:firstLine="420"/>
      </w:pPr>
      <w:r>
        <w:rPr>
          <w:rFonts w:ascii="Times New Roman" w:hAnsi="Times New Roman" w:eastAsia="宋体"/>
          <w:b/>
          <w:sz w:val="21"/>
        </w:rPr>
        <w:t>表9 状态标注的请求成本记录。token为已保存响应中可取得usage的累计量，包含有usage的重试响应。</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池</w:t>
            </w:r>
          </w:p>
        </w:tc>
        <w:tc>
          <w:tcPr>
            <w:tcW w:type="dxa" w:w="1176"/>
            <w:shd w:fill="D9EAF7"/>
          </w:tcPr>
          <w:p>
            <w:pPr>
              <w:spacing w:after="0"/>
            </w:pPr>
            <w:r>
              <w:rPr>
                <w:rFonts w:ascii="Times New Roman" w:hAnsi="Times New Roman" w:eastAsia="宋体"/>
                <w:b/>
                <w:sz w:val="17"/>
              </w:rPr>
              <w:t>标注器</w:t>
            </w:r>
          </w:p>
        </w:tc>
        <w:tc>
          <w:tcPr>
            <w:tcW w:type="dxa" w:w="1176"/>
            <w:shd w:fill="D9EAF7"/>
          </w:tcPr>
          <w:p>
            <w:pPr>
              <w:spacing w:after="0"/>
            </w:pPr>
            <w:r>
              <w:rPr>
                <w:rFonts w:ascii="Times New Roman" w:hAnsi="Times New Roman" w:eastAsia="宋体"/>
                <w:b/>
                <w:sz w:val="17"/>
              </w:rPr>
              <w:t>成功目标</w:t>
            </w:r>
          </w:p>
        </w:tc>
        <w:tc>
          <w:tcPr>
            <w:tcW w:type="dxa" w:w="1176"/>
            <w:shd w:fill="D9EAF7"/>
          </w:tcPr>
          <w:p>
            <w:pPr>
              <w:spacing w:after="0"/>
            </w:pPr>
            <w:r>
              <w:rPr>
                <w:rFonts w:ascii="Times New Roman" w:hAnsi="Times New Roman" w:eastAsia="宋体"/>
                <w:b/>
                <w:sz w:val="17"/>
              </w:rPr>
              <w:t>已保存响应数</w:t>
            </w:r>
          </w:p>
        </w:tc>
        <w:tc>
          <w:tcPr>
            <w:tcW w:type="dxa" w:w="1176"/>
            <w:shd w:fill="D9EAF7"/>
          </w:tcPr>
          <w:p>
            <w:pPr>
              <w:spacing w:after="0"/>
            </w:pPr>
            <w:r>
              <w:rPr>
                <w:rFonts w:ascii="Times New Roman" w:hAnsi="Times New Roman" w:eastAsia="宋体"/>
                <w:b/>
                <w:sz w:val="17"/>
              </w:rPr>
              <w:t>输入token</w:t>
            </w:r>
          </w:p>
        </w:tc>
        <w:tc>
          <w:tcPr>
            <w:tcW w:type="dxa" w:w="1176"/>
            <w:shd w:fill="D9EAF7"/>
          </w:tcPr>
          <w:p>
            <w:pPr>
              <w:spacing w:after="0"/>
            </w:pPr>
            <w:r>
              <w:rPr>
                <w:rFonts w:ascii="Times New Roman" w:hAnsi="Times New Roman" w:eastAsia="宋体"/>
                <w:b/>
                <w:sz w:val="17"/>
              </w:rPr>
              <w:t>输出token</w:t>
            </w:r>
          </w:p>
        </w:tc>
        <w:tc>
          <w:tcPr>
            <w:tcW w:type="dxa" w:w="1176"/>
            <w:shd w:fill="D9EAF7"/>
          </w:tcPr>
          <w:p>
            <w:pPr>
              <w:spacing w:after="0"/>
            </w:pPr>
            <w:r>
              <w:rPr>
                <w:rFonts w:ascii="Times New Roman" w:hAnsi="Times New Roman" w:eastAsia="宋体"/>
                <w:b/>
                <w:sz w:val="17"/>
              </w:rPr>
              <w:t>成功请求中位耗时（秒）</w:t>
            </w:r>
          </w:p>
        </w:tc>
        <w:tc>
          <w:tcPr>
            <w:tcW w:type="dxa" w:w="1176"/>
            <w:shd w:fill="D9EAF7"/>
          </w:tcPr>
          <w:p>
            <w:pPr>
              <w:spacing w:after="0"/>
            </w:pPr>
            <w:r>
              <w:rPr>
                <w:rFonts w:ascii="Times New Roman" w:hAnsi="Times New Roman" w:eastAsia="宋体"/>
                <w:b/>
                <w:sz w:val="17"/>
              </w:rPr>
              <w:t>成功请求P95（秒）</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2400</w:t>
            </w:r>
          </w:p>
        </w:tc>
        <w:tc>
          <w:tcPr>
            <w:tcW w:type="dxa" w:w="1176"/>
          </w:tcPr>
          <w:p>
            <w:pPr>
              <w:spacing w:after="0"/>
            </w:pPr>
            <w:r>
              <w:rPr>
                <w:rFonts w:ascii="Times New Roman" w:hAnsi="Times New Roman" w:eastAsia="宋体"/>
                <w:b w:val="0"/>
                <w:sz w:val="17"/>
              </w:rPr>
              <w:t>2404</w:t>
            </w:r>
          </w:p>
        </w:tc>
        <w:tc>
          <w:tcPr>
            <w:tcW w:type="dxa" w:w="1176"/>
          </w:tcPr>
          <w:p>
            <w:pPr>
              <w:spacing w:after="0"/>
            </w:pPr>
            <w:r>
              <w:rPr>
                <w:rFonts w:ascii="Times New Roman" w:hAnsi="Times New Roman" w:eastAsia="宋体"/>
                <w:b w:val="0"/>
                <w:sz w:val="17"/>
              </w:rPr>
              <w:t>8,621,403</w:t>
            </w:r>
          </w:p>
        </w:tc>
        <w:tc>
          <w:tcPr>
            <w:tcW w:type="dxa" w:w="1176"/>
          </w:tcPr>
          <w:p>
            <w:pPr>
              <w:spacing w:after="0"/>
            </w:pPr>
            <w:r>
              <w:rPr>
                <w:rFonts w:ascii="Times New Roman" w:hAnsi="Times New Roman" w:eastAsia="宋体"/>
                <w:b w:val="0"/>
                <w:sz w:val="17"/>
              </w:rPr>
              <w:t>1,485,051</w:t>
            </w:r>
          </w:p>
        </w:tc>
        <w:tc>
          <w:tcPr>
            <w:tcW w:type="dxa" w:w="1176"/>
          </w:tcPr>
          <w:p>
            <w:pPr>
              <w:spacing w:after="0"/>
            </w:pPr>
            <w:r>
              <w:rPr>
                <w:rFonts w:ascii="Times New Roman" w:hAnsi="Times New Roman" w:eastAsia="宋体"/>
                <w:b w:val="0"/>
                <w:sz w:val="17"/>
              </w:rPr>
              <w:t>4.00</w:t>
            </w:r>
          </w:p>
        </w:tc>
        <w:tc>
          <w:tcPr>
            <w:tcW w:type="dxa" w:w="1176"/>
          </w:tcPr>
          <w:p>
            <w:pPr>
              <w:spacing w:after="0"/>
            </w:pPr>
            <w:r>
              <w:rPr>
                <w:rFonts w:ascii="Times New Roman" w:hAnsi="Times New Roman" w:eastAsia="宋体"/>
                <w:b w:val="0"/>
                <w:sz w:val="17"/>
              </w:rPr>
              <w:t>4.30</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2400</w:t>
            </w:r>
          </w:p>
        </w:tc>
        <w:tc>
          <w:tcPr>
            <w:tcW w:type="dxa" w:w="1176"/>
          </w:tcPr>
          <w:p>
            <w:pPr>
              <w:spacing w:after="0"/>
            </w:pPr>
            <w:r>
              <w:rPr>
                <w:rFonts w:ascii="Times New Roman" w:hAnsi="Times New Roman" w:eastAsia="宋体"/>
                <w:b w:val="0"/>
                <w:sz w:val="17"/>
              </w:rPr>
              <w:t>2758</w:t>
            </w:r>
          </w:p>
        </w:tc>
        <w:tc>
          <w:tcPr>
            <w:tcW w:type="dxa" w:w="1176"/>
          </w:tcPr>
          <w:p>
            <w:pPr>
              <w:spacing w:after="0"/>
            </w:pPr>
            <w:r>
              <w:rPr>
                <w:rFonts w:ascii="Times New Roman" w:hAnsi="Times New Roman" w:eastAsia="宋体"/>
                <w:b w:val="0"/>
                <w:sz w:val="17"/>
              </w:rPr>
              <w:t>8,894,234</w:t>
            </w:r>
          </w:p>
        </w:tc>
        <w:tc>
          <w:tcPr>
            <w:tcW w:type="dxa" w:w="1176"/>
          </w:tcPr>
          <w:p>
            <w:pPr>
              <w:spacing w:after="0"/>
            </w:pPr>
            <w:r>
              <w:rPr>
                <w:rFonts w:ascii="Times New Roman" w:hAnsi="Times New Roman" w:eastAsia="宋体"/>
                <w:b w:val="0"/>
                <w:sz w:val="17"/>
              </w:rPr>
              <w:t>1,406,487</w:t>
            </w:r>
          </w:p>
        </w:tc>
        <w:tc>
          <w:tcPr>
            <w:tcW w:type="dxa" w:w="1176"/>
          </w:tcPr>
          <w:p>
            <w:pPr>
              <w:spacing w:after="0"/>
            </w:pPr>
            <w:r>
              <w:rPr>
                <w:rFonts w:ascii="Times New Roman" w:hAnsi="Times New Roman" w:eastAsia="宋体"/>
                <w:b w:val="0"/>
                <w:sz w:val="17"/>
              </w:rPr>
              <w:t>11.41</w:t>
            </w:r>
          </w:p>
        </w:tc>
        <w:tc>
          <w:tcPr>
            <w:tcW w:type="dxa" w:w="1176"/>
          </w:tcPr>
          <w:p>
            <w:pPr>
              <w:spacing w:after="0"/>
            </w:pPr>
            <w:r>
              <w:rPr>
                <w:rFonts w:ascii="Times New Roman" w:hAnsi="Times New Roman" w:eastAsia="宋体"/>
                <w:b w:val="0"/>
                <w:sz w:val="17"/>
              </w:rPr>
              <w:t>14.62</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2,141,410</w:t>
            </w:r>
          </w:p>
        </w:tc>
        <w:tc>
          <w:tcPr>
            <w:tcW w:type="dxa" w:w="1176"/>
          </w:tcPr>
          <w:p>
            <w:pPr>
              <w:spacing w:after="0"/>
            </w:pPr>
            <w:r>
              <w:rPr>
                <w:rFonts w:ascii="Times New Roman" w:hAnsi="Times New Roman" w:eastAsia="宋体"/>
                <w:b w:val="0"/>
                <w:sz w:val="17"/>
              </w:rPr>
              <w:t>363,204</w:t>
            </w:r>
          </w:p>
        </w:tc>
        <w:tc>
          <w:tcPr>
            <w:tcW w:type="dxa" w:w="1176"/>
          </w:tcPr>
          <w:p>
            <w:pPr>
              <w:spacing w:after="0"/>
            </w:pPr>
            <w:r>
              <w:rPr>
                <w:rFonts w:ascii="Times New Roman" w:hAnsi="Times New Roman" w:eastAsia="宋体"/>
                <w:b w:val="0"/>
                <w:sz w:val="17"/>
              </w:rPr>
              <w:t>3.94</w:t>
            </w:r>
          </w:p>
        </w:tc>
        <w:tc>
          <w:tcPr>
            <w:tcW w:type="dxa" w:w="1176"/>
          </w:tcPr>
          <w:p>
            <w:pPr>
              <w:spacing w:after="0"/>
            </w:pPr>
            <w:r>
              <w:rPr>
                <w:rFonts w:ascii="Times New Roman" w:hAnsi="Times New Roman" w:eastAsia="宋体"/>
                <w:b w:val="0"/>
                <w:sz w:val="17"/>
              </w:rPr>
              <w:t>4.30</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654</w:t>
            </w:r>
          </w:p>
        </w:tc>
        <w:tc>
          <w:tcPr>
            <w:tcW w:type="dxa" w:w="1176"/>
          </w:tcPr>
          <w:p>
            <w:pPr>
              <w:spacing w:after="0"/>
            </w:pPr>
            <w:r>
              <w:rPr>
                <w:rFonts w:ascii="Times New Roman" w:hAnsi="Times New Roman" w:eastAsia="宋体"/>
                <w:b w:val="0"/>
                <w:sz w:val="17"/>
              </w:rPr>
              <w:t>1,949,263</w:t>
            </w:r>
          </w:p>
        </w:tc>
        <w:tc>
          <w:tcPr>
            <w:tcW w:type="dxa" w:w="1176"/>
          </w:tcPr>
          <w:p>
            <w:pPr>
              <w:spacing w:after="0"/>
            </w:pPr>
            <w:r>
              <w:rPr>
                <w:rFonts w:ascii="Times New Roman" w:hAnsi="Times New Roman" w:eastAsia="宋体"/>
                <w:b w:val="0"/>
                <w:sz w:val="17"/>
              </w:rPr>
              <w:t>324,786</w:t>
            </w:r>
          </w:p>
        </w:tc>
        <w:tc>
          <w:tcPr>
            <w:tcW w:type="dxa" w:w="1176"/>
          </w:tcPr>
          <w:p>
            <w:pPr>
              <w:spacing w:after="0"/>
            </w:pPr>
            <w:r>
              <w:rPr>
                <w:rFonts w:ascii="Times New Roman" w:hAnsi="Times New Roman" w:eastAsia="宋体"/>
                <w:b w:val="0"/>
                <w:sz w:val="17"/>
              </w:rPr>
              <w:t>9.92</w:t>
            </w:r>
          </w:p>
        </w:tc>
        <w:tc>
          <w:tcPr>
            <w:tcW w:type="dxa" w:w="1176"/>
          </w:tcPr>
          <w:p>
            <w:pPr>
              <w:spacing w:after="0"/>
            </w:pPr>
            <w:r>
              <w:rPr>
                <w:rFonts w:ascii="Times New Roman" w:hAnsi="Times New Roman" w:eastAsia="宋体"/>
                <w:b w:val="0"/>
                <w:sz w:val="17"/>
              </w:rPr>
              <w:t>12.31</w:t>
            </w:r>
          </w:p>
        </w:tc>
      </w:tr>
    </w:tbl>
    <w:p/>
    <w:p>
      <w:pPr>
        <w:spacing w:line="324" w:lineRule="auto" w:after="80"/>
        <w:ind w:firstLine="420"/>
      </w:pPr>
      <w:r>
        <w:rPr>
          <w:rFonts w:ascii="Times New Roman" w:hAnsi="Times New Roman" w:eastAsia="宋体"/>
          <w:b w:val="0"/>
          <w:sz w:val="21"/>
        </w:rPr>
        <w:t>VLM标注是候选池级成本，完成后可在多个冻结模型和选样预算中复用。C的独立请求账本记录本地600次、线上660次尝试；线上已保存响应数为654，不能把响应文件数与尝试数等同。服务并行执行，因此请求时长之和不等于墙钟时间；本地服务报告时间亦不是实测GPU活跃时间。</w:t>
      </w:r>
    </w:p>
    <w:p>
      <w:pPr>
        <w:spacing w:line="324" w:lineRule="auto" w:after="80"/>
        <w:ind w:firstLine="420"/>
      </w:pPr>
      <w:r>
        <w:rPr>
          <w:rFonts w:ascii="Times New Roman" w:hAnsi="Times New Roman" w:eastAsia="宋体"/>
          <w:b w:val="0"/>
          <w:sz w:val="21"/>
        </w:rPr>
        <w:t>当前没有实际账单或可核实历史计费单价，货币费用保留为未知。缓存选样微基准仅测量代表性模型的CPU选样过程，不包含全池状态标注、嵌入提取与分类推理，不据此宣称端到端成本优势。</w:t>
      </w:r>
    </w:p>
    <w:p>
      <w:pPr>
        <w:pStyle w:val="Heading3"/>
      </w:pPr>
      <w:r>
        <w:t>5.9 Objects365独立来源确认</w:t>
      </w:r>
    </w:p>
    <w:p>
      <w:pPr>
        <w:spacing w:line="324" w:lineRule="auto" w:after="80"/>
        <w:ind w:firstLine="420"/>
      </w:pPr>
      <w:r>
        <w:rPr>
          <w:rFonts w:ascii="Times New Roman" w:hAnsi="Times New Roman" w:eastAsia="宋体"/>
          <w:b/>
          <w:sz w:val="21"/>
        </w:rPr>
        <w:t>表10 Objects365完整风险层Macro-F1（24运行均值，%）。最后一行是中点规则下Q5−Q1差，单位为百分点。</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风险层/差值</w:t>
            </w:r>
          </w:p>
        </w:tc>
        <w:tc>
          <w:tcPr>
            <w:tcW w:type="dxa" w:w="3135"/>
            <w:shd w:fill="D9EAF7"/>
          </w:tcPr>
          <w:p>
            <w:pPr>
              <w:spacing w:after="0"/>
            </w:pPr>
            <w:r>
              <w:rPr>
                <w:rFonts w:ascii="Times New Roman" w:hAnsi="Times New Roman" w:eastAsia="宋体"/>
                <w:b/>
                <w:sz w:val="17"/>
              </w:rPr>
              <w:t>D本地</w:t>
            </w:r>
          </w:p>
        </w:tc>
        <w:tc>
          <w:tcPr>
            <w:tcW w:type="dxa" w:w="3135"/>
            <w:shd w:fill="D9EAF7"/>
          </w:tcPr>
          <w:p>
            <w:pPr>
              <w:spacing w:after="0"/>
            </w:pPr>
            <w:r>
              <w:rPr>
                <w:rFonts w:ascii="Times New Roman" w:hAnsi="Times New Roman" w:eastAsia="宋体"/>
                <w:b/>
                <w:sz w:val="17"/>
              </w:rPr>
              <w:t>D线上</w:t>
            </w:r>
          </w:p>
        </w:tc>
      </w:tr>
      <w:tr>
        <w:tc>
          <w:tcPr>
            <w:tcW w:type="dxa" w:w="3135"/>
          </w:tcPr>
          <w:p>
            <w:pPr>
              <w:spacing w:after="0"/>
            </w:pPr>
            <w:r>
              <w:rPr>
                <w:rFonts w:ascii="Times New Roman" w:hAnsi="Times New Roman" w:eastAsia="宋体"/>
                <w:b w:val="0"/>
                <w:sz w:val="17"/>
              </w:rPr>
              <w:t>Q1</w:t>
            </w:r>
          </w:p>
        </w:tc>
        <w:tc>
          <w:tcPr>
            <w:tcW w:type="dxa" w:w="3135"/>
          </w:tcPr>
          <w:p>
            <w:pPr>
              <w:spacing w:after="0"/>
            </w:pPr>
            <w:r>
              <w:rPr>
                <w:rFonts w:ascii="Times New Roman" w:hAnsi="Times New Roman" w:eastAsia="宋体"/>
                <w:b w:val="0"/>
                <w:sz w:val="17"/>
              </w:rPr>
              <w:t>87.03</w:t>
            </w:r>
          </w:p>
        </w:tc>
        <w:tc>
          <w:tcPr>
            <w:tcW w:type="dxa" w:w="3135"/>
          </w:tcPr>
          <w:p>
            <w:pPr>
              <w:spacing w:after="0"/>
            </w:pPr>
            <w:r>
              <w:rPr>
                <w:rFonts w:ascii="Times New Roman" w:hAnsi="Times New Roman" w:eastAsia="宋体"/>
                <w:b w:val="0"/>
                <w:sz w:val="17"/>
              </w:rPr>
              <w:t>89.08</w:t>
            </w:r>
          </w:p>
        </w:tc>
      </w:tr>
      <w:tr>
        <w:tc>
          <w:tcPr>
            <w:tcW w:type="dxa" w:w="3135"/>
          </w:tcPr>
          <w:p>
            <w:pPr>
              <w:spacing w:after="0"/>
            </w:pPr>
            <w:r>
              <w:rPr>
                <w:rFonts w:ascii="Times New Roman" w:hAnsi="Times New Roman" w:eastAsia="宋体"/>
                <w:b w:val="0"/>
                <w:sz w:val="17"/>
              </w:rPr>
              <w:t>Q2</w:t>
            </w:r>
          </w:p>
        </w:tc>
        <w:tc>
          <w:tcPr>
            <w:tcW w:type="dxa" w:w="3135"/>
          </w:tcPr>
          <w:p>
            <w:pPr>
              <w:spacing w:after="0"/>
            </w:pPr>
            <w:r>
              <w:rPr>
                <w:rFonts w:ascii="Times New Roman" w:hAnsi="Times New Roman" w:eastAsia="宋体"/>
                <w:b w:val="0"/>
                <w:sz w:val="17"/>
              </w:rPr>
              <w:t>83.89</w:t>
            </w:r>
          </w:p>
        </w:tc>
        <w:tc>
          <w:tcPr>
            <w:tcW w:type="dxa" w:w="3135"/>
          </w:tcPr>
          <w:p>
            <w:pPr>
              <w:spacing w:after="0"/>
            </w:pPr>
            <w:r>
              <w:rPr>
                <w:rFonts w:ascii="Times New Roman" w:hAnsi="Times New Roman" w:eastAsia="宋体"/>
                <w:b w:val="0"/>
                <w:sz w:val="17"/>
              </w:rPr>
              <w:t>84.21</w:t>
            </w:r>
          </w:p>
        </w:tc>
      </w:tr>
      <w:tr>
        <w:tc>
          <w:tcPr>
            <w:tcW w:type="dxa" w:w="3135"/>
          </w:tcPr>
          <w:p>
            <w:pPr>
              <w:spacing w:after="0"/>
            </w:pPr>
            <w:r>
              <w:rPr>
                <w:rFonts w:ascii="Times New Roman" w:hAnsi="Times New Roman" w:eastAsia="宋体"/>
                <w:b w:val="0"/>
                <w:sz w:val="17"/>
              </w:rPr>
              <w:t>Q3</w:t>
            </w:r>
          </w:p>
        </w:tc>
        <w:tc>
          <w:tcPr>
            <w:tcW w:type="dxa" w:w="3135"/>
          </w:tcPr>
          <w:p>
            <w:pPr>
              <w:spacing w:after="0"/>
            </w:pPr>
            <w:r>
              <w:rPr>
                <w:rFonts w:ascii="Times New Roman" w:hAnsi="Times New Roman" w:eastAsia="宋体"/>
                <w:b w:val="0"/>
                <w:sz w:val="17"/>
              </w:rPr>
              <w:t>79.15</w:t>
            </w:r>
          </w:p>
        </w:tc>
        <w:tc>
          <w:tcPr>
            <w:tcW w:type="dxa" w:w="3135"/>
          </w:tcPr>
          <w:p>
            <w:pPr>
              <w:spacing w:after="0"/>
            </w:pPr>
            <w:r>
              <w:rPr>
                <w:rFonts w:ascii="Times New Roman" w:hAnsi="Times New Roman" w:eastAsia="宋体"/>
                <w:b w:val="0"/>
                <w:sz w:val="17"/>
              </w:rPr>
              <w:t>75.81</w:t>
            </w:r>
          </w:p>
        </w:tc>
      </w:tr>
      <w:tr>
        <w:tc>
          <w:tcPr>
            <w:tcW w:type="dxa" w:w="3135"/>
          </w:tcPr>
          <w:p>
            <w:pPr>
              <w:spacing w:after="0"/>
            </w:pPr>
            <w:r>
              <w:rPr>
                <w:rFonts w:ascii="Times New Roman" w:hAnsi="Times New Roman" w:eastAsia="宋体"/>
                <w:b w:val="0"/>
                <w:sz w:val="17"/>
              </w:rPr>
              <w:t>Q4</w:t>
            </w:r>
          </w:p>
        </w:tc>
        <w:tc>
          <w:tcPr>
            <w:tcW w:type="dxa" w:w="3135"/>
          </w:tcPr>
          <w:p>
            <w:pPr>
              <w:spacing w:after="0"/>
            </w:pPr>
            <w:r>
              <w:rPr>
                <w:rFonts w:ascii="Times New Roman" w:hAnsi="Times New Roman" w:eastAsia="宋体"/>
                <w:b w:val="0"/>
                <w:sz w:val="17"/>
              </w:rPr>
              <w:t>69.21</w:t>
            </w:r>
          </w:p>
        </w:tc>
        <w:tc>
          <w:tcPr>
            <w:tcW w:type="dxa" w:w="3135"/>
          </w:tcPr>
          <w:p>
            <w:pPr>
              <w:spacing w:after="0"/>
            </w:pPr>
            <w:r>
              <w:rPr>
                <w:rFonts w:ascii="Times New Roman" w:hAnsi="Times New Roman" w:eastAsia="宋体"/>
                <w:b w:val="0"/>
                <w:sz w:val="17"/>
              </w:rPr>
              <w:t>67.90</w:t>
            </w:r>
          </w:p>
        </w:tc>
      </w:tr>
      <w:tr>
        <w:tc>
          <w:tcPr>
            <w:tcW w:type="dxa" w:w="3135"/>
          </w:tcPr>
          <w:p>
            <w:pPr>
              <w:spacing w:after="0"/>
            </w:pPr>
            <w:r>
              <w:rPr>
                <w:rFonts w:ascii="Times New Roman" w:hAnsi="Times New Roman" w:eastAsia="宋体"/>
                <w:b w:val="0"/>
                <w:sz w:val="17"/>
              </w:rPr>
              <w:t>Q5</w:t>
            </w:r>
          </w:p>
        </w:tc>
        <w:tc>
          <w:tcPr>
            <w:tcW w:type="dxa" w:w="3135"/>
          </w:tcPr>
          <w:p>
            <w:pPr>
              <w:spacing w:after="0"/>
            </w:pPr>
            <w:r>
              <w:rPr>
                <w:rFonts w:ascii="Times New Roman" w:hAnsi="Times New Roman" w:eastAsia="宋体"/>
                <w:b w:val="0"/>
                <w:sz w:val="17"/>
              </w:rPr>
              <w:t>45.23</w:t>
            </w:r>
          </w:p>
        </w:tc>
        <w:tc>
          <w:tcPr>
            <w:tcW w:type="dxa" w:w="3135"/>
          </w:tcPr>
          <w:p>
            <w:pPr>
              <w:spacing w:after="0"/>
            </w:pPr>
            <w:r>
              <w:rPr>
                <w:rFonts w:ascii="Times New Roman" w:hAnsi="Times New Roman" w:eastAsia="宋体"/>
                <w:b w:val="0"/>
                <w:sz w:val="17"/>
              </w:rPr>
              <w:t>47.83</w:t>
            </w:r>
          </w:p>
        </w:tc>
      </w:tr>
      <w:tr>
        <w:tc>
          <w:tcPr>
            <w:tcW w:type="dxa" w:w="3135"/>
          </w:tcPr>
          <w:p>
            <w:pPr>
              <w:spacing w:after="0"/>
            </w:pPr>
            <w:r>
              <w:rPr>
                <w:rFonts w:ascii="Times New Roman" w:hAnsi="Times New Roman" w:eastAsia="宋体"/>
                <w:b w:val="0"/>
                <w:sz w:val="17"/>
              </w:rPr>
              <w:t>Q5−Q1</w:t>
            </w:r>
          </w:p>
        </w:tc>
        <w:tc>
          <w:tcPr>
            <w:tcW w:type="dxa" w:w="3135"/>
          </w:tcPr>
          <w:p>
            <w:pPr>
              <w:spacing w:after="0"/>
            </w:pPr>
            <w:r>
              <w:rPr>
                <w:rFonts w:ascii="Times New Roman" w:hAnsi="Times New Roman" w:eastAsia="宋体"/>
                <w:b w:val="0"/>
                <w:sz w:val="17"/>
              </w:rPr>
              <w:t>−41.80</w:t>
            </w:r>
          </w:p>
        </w:tc>
        <w:tc>
          <w:tcPr>
            <w:tcW w:type="dxa" w:w="3135"/>
          </w:tcPr>
          <w:p>
            <w:pPr>
              <w:spacing w:after="0"/>
            </w:pPr>
            <w:r>
              <w:rPr>
                <w:rFonts w:ascii="Times New Roman" w:hAnsi="Times New Roman" w:eastAsia="宋体"/>
                <w:b w:val="0"/>
                <w:sz w:val="17"/>
              </w:rPr>
              <w:t>−41.25</w:t>
            </w:r>
          </w:p>
        </w:tc>
      </w:tr>
    </w:tbl>
    <w:p/>
    <w:p>
      <w:pPr>
        <w:spacing w:line="324" w:lineRule="auto" w:after="80"/>
        <w:ind w:firstLine="420"/>
      </w:pPr>
      <w:r>
        <w:rPr>
          <w:rFonts w:ascii="Times New Roman" w:hAnsi="Times New Roman" w:eastAsia="宋体"/>
          <w:b w:val="0"/>
          <w:sz w:val="21"/>
        </w:rPr>
        <w:t>两种来源的24次运行均保持Q5−Q1负向，架构/种子95%区间分别为[−43.96, −39.93]和[−43.60, −39.27]个百分点，原六项Holm p均为0.04688。unknown上下界的平均差范围为−42.66至−37.97个百分点，原六项均通过校正。原确认的固定模型源图重采样区间也低于零。该结果将高低风险层差异复现到Objects365的新目标，而不是训练改变后的模型性能变化。</w:t>
      </w:r>
    </w:p>
    <w:p>
      <w:pPr>
        <w:jc w:val="center"/>
      </w:pPr>
      <w:r>
        <w:drawing>
          <wp:inline xmlns:a="http://schemas.openxmlformats.org/drawingml/2006/main" xmlns:pic="http://schemas.openxmlformats.org/drawingml/2006/picture">
            <wp:extent cx="5669280" cy="2310628"/>
            <wp:docPr id="5" name="Picture 5"/>
            <wp:cNvGraphicFramePr>
              <a:graphicFrameLocks noChangeAspect="1"/>
            </wp:cNvGraphicFramePr>
            <a:graphic>
              <a:graphicData uri="http://schemas.openxmlformats.org/drawingml/2006/picture">
                <pic:pic>
                  <pic:nvPicPr>
                    <pic:cNvPr id="0" name="risk_model_profiles.png"/>
                    <pic:cNvPicPr/>
                  </pic:nvPicPr>
                  <pic:blipFill>
                    <a:blip r:embed="rId14"/>
                    <a:stretch>
                      <a:fillRect/>
                    </a:stretch>
                  </pic:blipFill>
                  <pic:spPr>
                    <a:xfrm>
                      <a:off x="0" y="0"/>
                      <a:ext cx="5669280" cy="2310628"/>
                    </a:xfrm>
                    <a:prstGeom prst="rect"/>
                  </pic:spPr>
                </pic:pic>
              </a:graphicData>
            </a:graphic>
          </wp:inline>
        </w:drawing>
      </w:r>
    </w:p>
    <w:p>
      <w:pPr>
        <w:jc w:val="center"/>
      </w:pPr>
      <w:r>
        <w:rPr>
          <w:rFonts w:ascii="Times New Roman" w:hAnsi="Times New Roman" w:eastAsia="宋体"/>
          <w:sz w:val="18"/>
        </w:rPr>
        <w:t>图5 Objects365确认池D完整风险层Macro-F1。每层480目标，每模型为三个种子的均值；阴影为种子标准差，不是置信区间。</w:t>
      </w:r>
    </w:p>
    <w:p>
      <w:pPr>
        <w:spacing w:line="324" w:lineRule="auto" w:after="80"/>
        <w:ind w:firstLine="420"/>
      </w:pPr>
      <w:r>
        <w:rPr>
          <w:rFonts w:ascii="Times New Roman" w:hAnsi="Times New Roman" w:eastAsia="宋体"/>
          <w:b w:val="0"/>
          <w:sz w:val="21"/>
        </w:rPr>
        <w:t>D累计Coverage序列仍说明覆盖与风险应分开解释：本地频次覆盖从21.22%增至69.16%，累计F1先从78.32%升至80.01%，再降至65.91%；线上覆盖从21.39%增至70.58%，累计F1从81.36%降至66.67%。本地初期回升与最终下降共存。此序列属于原非共同配额的分层Coverage展示，不与共同配额方法集合混用，也不证明覆盖增长造成性能下降。</w:t>
      </w:r>
    </w:p>
    <w:p>
      <w:pPr>
        <w:spacing w:line="324" w:lineRule="auto" w:after="80"/>
        <w:ind w:firstLine="420"/>
      </w:pPr>
      <w:r>
        <w:rPr>
          <w:rFonts w:ascii="Times New Roman" w:hAnsi="Times New Roman" w:eastAsia="宋体"/>
          <w:b/>
          <w:sz w:val="21"/>
        </w:rPr>
        <w:t>表11 D的Coverage相对Random诊断广度AUC差。共同配额使用预定主要四项家族；精确匹配为另一补充协议。</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协议</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指标</w:t>
            </w:r>
          </w:p>
        </w:tc>
        <w:tc>
          <w:tcPr>
            <w:tcW w:type="dxa" w:w="1881"/>
            <w:shd w:fill="D9EAF7"/>
          </w:tcPr>
          <w:p>
            <w:pPr>
              <w:spacing w:after="0"/>
            </w:pPr>
            <w:r>
              <w:rPr>
                <w:rFonts w:ascii="Times New Roman" w:hAnsi="Times New Roman" w:eastAsia="宋体"/>
                <w:b/>
                <w:sz w:val="17"/>
              </w:rPr>
              <w:t>AUC差</w:t>
            </w:r>
          </w:p>
        </w:tc>
        <w:tc>
          <w:tcPr>
            <w:tcW w:type="dxa" w:w="1881"/>
            <w:shd w:fill="D9EAF7"/>
          </w:tcPr>
          <w:p>
            <w:pPr>
              <w:spacing w:after="0"/>
            </w:pPr>
            <w:r>
              <w:rPr>
                <w:rFonts w:ascii="Times New Roman" w:hAnsi="Times New Roman" w:eastAsia="宋体"/>
                <w:b/>
                <w:sz w:val="17"/>
              </w:rPr>
              <w:t>四项Holm p</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+0.0377</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+0.0262</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+0.0168</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+0.0123</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+0.0235</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+0.0078</w:t>
            </w:r>
          </w:p>
        </w:tc>
        <w:tc>
          <w:tcPr>
            <w:tcW w:type="dxa" w:w="1881"/>
          </w:tcPr>
          <w:p>
            <w:pPr>
              <w:spacing w:after="0"/>
            </w:pPr>
            <w:r>
              <w:rPr>
                <w:rFonts w:ascii="Times New Roman" w:hAnsi="Times New Roman" w:eastAsia="宋体"/>
                <w:b w:val="0"/>
                <w:sz w:val="17"/>
              </w:rPr>
              <w:t>0.07031</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+0.0066</w:t>
            </w:r>
          </w:p>
        </w:tc>
        <w:tc>
          <w:tcPr>
            <w:tcW w:type="dxa" w:w="1881"/>
          </w:tcPr>
          <w:p>
            <w:pPr>
              <w:spacing w:after="0"/>
            </w:pPr>
            <w:r>
              <w:rPr>
                <w:rFonts w:ascii="Times New Roman" w:hAnsi="Times New Roman" w:eastAsia="宋体"/>
                <w:b w:val="0"/>
                <w:sz w:val="17"/>
              </w:rPr>
              <w:t>0.20312</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+0.0041</w:t>
            </w:r>
          </w:p>
        </w:tc>
        <w:tc>
          <w:tcPr>
            <w:tcW w:type="dxa" w:w="1881"/>
          </w:tcPr>
          <w:p>
            <w:pPr>
              <w:spacing w:after="0"/>
            </w:pPr>
            <w:r>
              <w:rPr>
                <w:rFonts w:ascii="Times New Roman" w:hAnsi="Times New Roman" w:eastAsia="宋体"/>
                <w:b w:val="0"/>
                <w:sz w:val="17"/>
              </w:rPr>
              <w:t>0.12500</w:t>
            </w:r>
          </w:p>
        </w:tc>
      </w:tr>
    </w:tbl>
    <w:p/>
    <w:p>
      <w:pPr>
        <w:spacing w:line="324" w:lineRule="auto" w:after="80"/>
        <w:ind w:firstLine="420"/>
      </w:pPr>
      <w:r>
        <w:rPr>
          <w:rFonts w:ascii="Times New Roman" w:hAnsi="Times New Roman" w:eastAsia="宋体"/>
          <w:b w:val="0"/>
          <w:sz w:val="21"/>
        </w:rPr>
        <w:t>共同配额四项均获支持，但全20项Holm p为0.15625–0.18750，未通过。对DeepGini、DSA和k-center的12项均未通过原次要家族校正；线上混淆类型相对DeepGini的点差为−0.0031，不能概括成全部胜出。精确风险匹配仅本地混淆类型通过，进一步限定了“独立于风险的收益”范围。统一ViT表征时，对Random的错误簇差为本地+0.0094、线上+0.0145，主要四项p分别0.03906/0.03125；该支持不取消B/C的表征敏感性负结果。</w:t>
      </w:r>
    </w:p>
    <w:p>
      <w:pPr>
        <w:spacing w:line="324" w:lineRule="auto" w:after="80"/>
        <w:ind w:firstLine="420"/>
      </w:pPr>
      <w:r>
        <w:rPr>
          <w:rFonts w:ascii="Times New Roman" w:hAnsi="Times New Roman" w:eastAsia="宋体"/>
          <w:b/>
          <w:sz w:val="21"/>
        </w:rPr>
        <w:t>表12 D对原A冻结薄弱状态—模型组合的确认。负方向数先对每组合三个种子平均；主平均差使用原架构/运行聚合。</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冻结组合</w:t>
            </w:r>
          </w:p>
        </w:tc>
        <w:tc>
          <w:tcPr>
            <w:tcW w:type="dxa" w:w="1568"/>
            <w:shd w:fill="D9EAF7"/>
          </w:tcPr>
          <w:p>
            <w:pPr>
              <w:spacing w:after="0"/>
            </w:pPr>
            <w:r>
              <w:rPr>
                <w:rFonts w:ascii="Times New Roman" w:hAnsi="Times New Roman" w:eastAsia="宋体"/>
                <w:b/>
                <w:sz w:val="17"/>
              </w:rPr>
              <w:t>可评价组合</w:t>
            </w:r>
          </w:p>
        </w:tc>
        <w:tc>
          <w:tcPr>
            <w:tcW w:type="dxa" w:w="1568"/>
            <w:shd w:fill="D9EAF7"/>
          </w:tcPr>
          <w:p>
            <w:pPr>
              <w:spacing w:after="0"/>
            </w:pPr>
            <w:r>
              <w:rPr>
                <w:rFonts w:ascii="Times New Roman" w:hAnsi="Times New Roman" w:eastAsia="宋体"/>
                <w:b/>
                <w:sz w:val="17"/>
              </w:rPr>
              <w:t>负方向组合</w:t>
            </w:r>
          </w:p>
        </w:tc>
        <w:tc>
          <w:tcPr>
            <w:tcW w:type="dxa" w:w="1568"/>
            <w:shd w:fill="D9EAF7"/>
          </w:tcPr>
          <w:p>
            <w:pPr>
              <w:spacing w:after="0"/>
            </w:pPr>
            <w:r>
              <w:rPr>
                <w:rFonts w:ascii="Times New Roman" w:hAnsi="Times New Roman" w:eastAsia="宋体"/>
                <w:b/>
                <w:sz w:val="17"/>
              </w:rPr>
              <w:t>主平均Recall差（pp）</w:t>
            </w:r>
          </w:p>
        </w:tc>
        <w:tc>
          <w:tcPr>
            <w:tcW w:type="dxa" w:w="1568"/>
            <w:shd w:fill="D9EAF7"/>
          </w:tcPr>
          <w:p>
            <w:pPr>
              <w:spacing w:after="0"/>
            </w:pPr>
            <w:r>
              <w:rPr>
                <w:rFonts w:ascii="Times New Roman" w:hAnsi="Times New Roman" w:eastAsia="宋体"/>
                <w:b/>
                <w:sz w:val="17"/>
              </w:rPr>
              <w:t>两项Holm p</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79</w:t>
            </w:r>
          </w:p>
        </w:tc>
        <w:tc>
          <w:tcPr>
            <w:tcW w:type="dxa" w:w="1568"/>
          </w:tcPr>
          <w:p>
            <w:pPr>
              <w:spacing w:after="0"/>
            </w:pPr>
            <w:r>
              <w:rPr>
                <w:rFonts w:ascii="Times New Roman" w:hAnsi="Times New Roman" w:eastAsia="宋体"/>
                <w:b w:val="0"/>
                <w:sz w:val="17"/>
              </w:rPr>
              <w:t>69</w:t>
            </w:r>
          </w:p>
        </w:tc>
        <w:tc>
          <w:tcPr>
            <w:tcW w:type="dxa" w:w="1568"/>
          </w:tcPr>
          <w:p>
            <w:pPr>
              <w:spacing w:after="0"/>
            </w:pPr>
            <w:r>
              <w:rPr>
                <w:rFonts w:ascii="Times New Roman" w:hAnsi="Times New Roman" w:eastAsia="宋体"/>
                <w:b w:val="0"/>
                <w:sz w:val="17"/>
              </w:rPr>
              <w:t>−22.89</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81</w:t>
            </w:r>
          </w:p>
        </w:tc>
        <w:tc>
          <w:tcPr>
            <w:tcW w:type="dxa" w:w="1568"/>
          </w:tcPr>
          <w:p>
            <w:pPr>
              <w:spacing w:after="0"/>
            </w:pPr>
            <w:r>
              <w:rPr>
                <w:rFonts w:ascii="Times New Roman" w:hAnsi="Times New Roman" w:eastAsia="宋体"/>
                <w:b w:val="0"/>
                <w:sz w:val="17"/>
              </w:rPr>
              <w:t>73</w:t>
            </w:r>
          </w:p>
        </w:tc>
        <w:tc>
          <w:tcPr>
            <w:tcW w:type="dxa" w:w="1568"/>
          </w:tcPr>
          <w:p>
            <w:pPr>
              <w:spacing w:after="0"/>
            </w:pPr>
            <w:r>
              <w:rPr>
                <w:rFonts w:ascii="Times New Roman" w:hAnsi="Times New Roman" w:eastAsia="宋体"/>
                <w:b w:val="0"/>
                <w:sz w:val="17"/>
              </w:rPr>
              <w:t>−20.43</w:t>
            </w:r>
          </w:p>
        </w:tc>
        <w:tc>
          <w:tcPr>
            <w:tcW w:type="dxa" w:w="1568"/>
          </w:tcPr>
          <w:p>
            <w:pPr>
              <w:spacing w:after="0"/>
            </w:pPr>
            <w:r>
              <w:rPr>
                <w:rFonts w:ascii="Times New Roman" w:hAnsi="Times New Roman" w:eastAsia="宋体"/>
                <w:b w:val="0"/>
                <w:sz w:val="17"/>
              </w:rPr>
              <w:t>0.01562</w:t>
            </w:r>
          </w:p>
        </w:tc>
      </w:tr>
    </w:tbl>
    <w:p/>
    <w:p>
      <w:pPr>
        <w:spacing w:line="324" w:lineRule="auto" w:after="80"/>
        <w:ind w:firstLine="420"/>
      </w:pPr>
      <w:r>
        <w:rPr>
          <w:rFonts w:ascii="Times New Roman" w:hAnsi="Times New Roman" w:eastAsia="宋体"/>
          <w:b w:val="0"/>
          <w:sz w:val="21"/>
        </w:rPr>
        <w:t>新分类预测之前，48项“来源—类别—字段—状态”条件中44项达到至少20图，原175条状态—模型组合中160条可评价。多数可评价组合仍低于对应类别平均；平均落差的95%架构/种子区间为本地[−26.20, −20.10]、线上[−22.56, −18.47]个百分点。这里的主平均与按组合直接平均不同：后者为−22.14/−20.27个百分点，不能互换。D补足了VOC中支持不足的部分外部证据，但仍有不可评价和非负方向组合，不意味着全部条件迁移。</w:t>
      </w:r>
    </w:p>
    <w:p>
      <w:pPr>
        <w:spacing w:line="324" w:lineRule="auto" w:after="80"/>
        <w:ind w:firstLine="420"/>
      </w:pPr>
      <w:r>
        <w:rPr>
          <w:rFonts w:ascii="Times New Roman" w:hAnsi="Times New Roman" w:eastAsia="宋体"/>
          <w:b w:val="0"/>
          <w:sz w:val="21"/>
        </w:rPr>
        <w:t>以D原分析相同H中点及unknown维数参照匹配后，可评价组合/种子记录的描述性平均Recall差为本地−8.33、线上−7.80个百分点，比未匹配差小。该匹配参考可重复用于多个状态目标，并非一对一匹配或新的独立显著检验；它提示其他风险共现解释了部分落差，剩余关联也不能称为该状态的因果效应。</w:t>
      </w:r>
    </w:p>
    <w:p>
      <w:pPr>
        <w:spacing w:line="324" w:lineRule="auto" w:after="80"/>
        <w:ind w:firstLine="420"/>
      </w:pPr>
      <w:r>
        <w:rPr>
          <w:rFonts w:ascii="Times New Roman" w:hAnsi="Times New Roman" w:eastAsia="宋体"/>
          <w:b/>
          <w:sz w:val="21"/>
        </w:rPr>
        <w:t>表13 D完整Q5的架构平均Macro-F1（%，三个种子平均）。</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架构</w:t>
            </w:r>
          </w:p>
        </w:tc>
        <w:tc>
          <w:tcPr>
            <w:tcW w:type="dxa" w:w="3135"/>
            <w:shd w:fill="D9EAF7"/>
          </w:tcPr>
          <w:p>
            <w:pPr>
              <w:spacing w:after="0"/>
            </w:pPr>
            <w:r>
              <w:rPr>
                <w:rFonts w:ascii="Times New Roman" w:hAnsi="Times New Roman" w:eastAsia="宋体"/>
                <w:b/>
                <w:sz w:val="17"/>
              </w:rPr>
              <w:t>本地</w:t>
            </w:r>
          </w:p>
        </w:tc>
        <w:tc>
          <w:tcPr>
            <w:tcW w:type="dxa" w:w="3135"/>
            <w:shd w:fill="D9EAF7"/>
          </w:tcPr>
          <w:p>
            <w:pPr>
              <w:spacing w:after="0"/>
            </w:pPr>
            <w:r>
              <w:rPr>
                <w:rFonts w:ascii="Times New Roman" w:hAnsi="Times New Roman" w:eastAsia="宋体"/>
                <w:b/>
                <w:sz w:val="17"/>
              </w:rPr>
              <w:t>线上</w:t>
            </w:r>
          </w:p>
        </w:tc>
      </w:tr>
      <w:tr>
        <w:tc>
          <w:tcPr>
            <w:tcW w:type="dxa" w:w="3135"/>
          </w:tcPr>
          <w:p>
            <w:pPr>
              <w:spacing w:after="0"/>
            </w:pPr>
            <w:r>
              <w:rPr>
                <w:rFonts w:ascii="Times New Roman" w:hAnsi="Times New Roman" w:eastAsia="宋体"/>
                <w:b w:val="0"/>
                <w:sz w:val="17"/>
              </w:rPr>
              <w:t>ResNet-18</w:t>
            </w:r>
          </w:p>
        </w:tc>
        <w:tc>
          <w:tcPr>
            <w:tcW w:type="dxa" w:w="3135"/>
          </w:tcPr>
          <w:p>
            <w:pPr>
              <w:spacing w:after="0"/>
            </w:pPr>
            <w:r>
              <w:rPr>
                <w:rFonts w:ascii="Times New Roman" w:hAnsi="Times New Roman" w:eastAsia="宋体"/>
                <w:b w:val="0"/>
                <w:sz w:val="17"/>
              </w:rPr>
              <w:t>45.30</w:t>
            </w:r>
          </w:p>
        </w:tc>
        <w:tc>
          <w:tcPr>
            <w:tcW w:type="dxa" w:w="3135"/>
          </w:tcPr>
          <w:p>
            <w:pPr>
              <w:spacing w:after="0"/>
            </w:pPr>
            <w:r>
              <w:rPr>
                <w:rFonts w:ascii="Times New Roman" w:hAnsi="Times New Roman" w:eastAsia="宋体"/>
                <w:b w:val="0"/>
                <w:sz w:val="17"/>
              </w:rPr>
              <w:t>48.95</w:t>
            </w:r>
          </w:p>
        </w:tc>
      </w:tr>
      <w:tr>
        <w:tc>
          <w:tcPr>
            <w:tcW w:type="dxa" w:w="3135"/>
          </w:tcPr>
          <w:p>
            <w:pPr>
              <w:spacing w:after="0"/>
            </w:pPr>
            <w:r>
              <w:rPr>
                <w:rFonts w:ascii="Times New Roman" w:hAnsi="Times New Roman" w:eastAsia="宋体"/>
                <w:b w:val="0"/>
                <w:sz w:val="17"/>
              </w:rPr>
              <w:t>ResNet-50</w:t>
            </w:r>
          </w:p>
        </w:tc>
        <w:tc>
          <w:tcPr>
            <w:tcW w:type="dxa" w:w="3135"/>
          </w:tcPr>
          <w:p>
            <w:pPr>
              <w:spacing w:after="0"/>
            </w:pPr>
            <w:r>
              <w:rPr>
                <w:rFonts w:ascii="Times New Roman" w:hAnsi="Times New Roman" w:eastAsia="宋体"/>
                <w:b w:val="0"/>
                <w:sz w:val="17"/>
              </w:rPr>
              <w:t>44.59</w:t>
            </w:r>
          </w:p>
        </w:tc>
        <w:tc>
          <w:tcPr>
            <w:tcW w:type="dxa" w:w="3135"/>
          </w:tcPr>
          <w:p>
            <w:pPr>
              <w:spacing w:after="0"/>
            </w:pPr>
            <w:r>
              <w:rPr>
                <w:rFonts w:ascii="Times New Roman" w:hAnsi="Times New Roman" w:eastAsia="宋体"/>
                <w:b w:val="0"/>
                <w:sz w:val="17"/>
              </w:rPr>
              <w:t>46.57</w:t>
            </w:r>
          </w:p>
        </w:tc>
      </w:tr>
      <w:tr>
        <w:tc>
          <w:tcPr>
            <w:tcW w:type="dxa" w:w="3135"/>
          </w:tcPr>
          <w:p>
            <w:pPr>
              <w:spacing w:after="0"/>
            </w:pPr>
            <w:r>
              <w:rPr>
                <w:rFonts w:ascii="Times New Roman" w:hAnsi="Times New Roman" w:eastAsia="宋体"/>
                <w:b w:val="0"/>
                <w:sz w:val="17"/>
              </w:rPr>
              <w:t>MobileNetV3-Small</w:t>
            </w:r>
          </w:p>
        </w:tc>
        <w:tc>
          <w:tcPr>
            <w:tcW w:type="dxa" w:w="3135"/>
          </w:tcPr>
          <w:p>
            <w:pPr>
              <w:spacing w:after="0"/>
            </w:pPr>
            <w:r>
              <w:rPr>
                <w:rFonts w:ascii="Times New Roman" w:hAnsi="Times New Roman" w:eastAsia="宋体"/>
                <w:b w:val="0"/>
                <w:sz w:val="17"/>
              </w:rPr>
              <w:t>42.49</w:t>
            </w:r>
          </w:p>
        </w:tc>
        <w:tc>
          <w:tcPr>
            <w:tcW w:type="dxa" w:w="3135"/>
          </w:tcPr>
          <w:p>
            <w:pPr>
              <w:spacing w:after="0"/>
            </w:pPr>
            <w:r>
              <w:rPr>
                <w:rFonts w:ascii="Times New Roman" w:hAnsi="Times New Roman" w:eastAsia="宋体"/>
                <w:b w:val="0"/>
                <w:sz w:val="17"/>
              </w:rPr>
              <w:t>44.14</w:t>
            </w:r>
          </w:p>
        </w:tc>
      </w:tr>
      <w:tr>
        <w:tc>
          <w:tcPr>
            <w:tcW w:type="dxa" w:w="3135"/>
          </w:tcPr>
          <w:p>
            <w:pPr>
              <w:spacing w:after="0"/>
            </w:pPr>
            <w:r>
              <w:rPr>
                <w:rFonts w:ascii="Times New Roman" w:hAnsi="Times New Roman" w:eastAsia="宋体"/>
                <w:b w:val="0"/>
                <w:sz w:val="17"/>
              </w:rPr>
              <w:t>MobileNetV3-Large</w:t>
            </w:r>
          </w:p>
        </w:tc>
        <w:tc>
          <w:tcPr>
            <w:tcW w:type="dxa" w:w="3135"/>
          </w:tcPr>
          <w:p>
            <w:pPr>
              <w:spacing w:after="0"/>
            </w:pPr>
            <w:r>
              <w:rPr>
                <w:rFonts w:ascii="Times New Roman" w:hAnsi="Times New Roman" w:eastAsia="宋体"/>
                <w:b w:val="0"/>
                <w:sz w:val="17"/>
              </w:rPr>
              <w:t>45.57</w:t>
            </w:r>
          </w:p>
        </w:tc>
        <w:tc>
          <w:tcPr>
            <w:tcW w:type="dxa" w:w="3135"/>
          </w:tcPr>
          <w:p>
            <w:pPr>
              <w:spacing w:after="0"/>
            </w:pPr>
            <w:r>
              <w:rPr>
                <w:rFonts w:ascii="Times New Roman" w:hAnsi="Times New Roman" w:eastAsia="宋体"/>
                <w:b w:val="0"/>
                <w:sz w:val="17"/>
              </w:rPr>
              <w:t>48.04</w:t>
            </w:r>
          </w:p>
        </w:tc>
      </w:tr>
      <w:tr>
        <w:tc>
          <w:tcPr>
            <w:tcW w:type="dxa" w:w="3135"/>
          </w:tcPr>
          <w:p>
            <w:pPr>
              <w:spacing w:after="0"/>
            </w:pPr>
            <w:r>
              <w:rPr>
                <w:rFonts w:ascii="Times New Roman" w:hAnsi="Times New Roman" w:eastAsia="宋体"/>
                <w:b w:val="0"/>
                <w:sz w:val="17"/>
              </w:rPr>
              <w:t>DenseNet-121</w:t>
            </w:r>
          </w:p>
        </w:tc>
        <w:tc>
          <w:tcPr>
            <w:tcW w:type="dxa" w:w="3135"/>
          </w:tcPr>
          <w:p>
            <w:pPr>
              <w:spacing w:after="0"/>
            </w:pPr>
            <w:r>
              <w:rPr>
                <w:rFonts w:ascii="Times New Roman" w:hAnsi="Times New Roman" w:eastAsia="宋体"/>
                <w:b w:val="0"/>
                <w:sz w:val="17"/>
              </w:rPr>
              <w:t>39.64</w:t>
            </w:r>
          </w:p>
        </w:tc>
        <w:tc>
          <w:tcPr>
            <w:tcW w:type="dxa" w:w="3135"/>
          </w:tcPr>
          <w:p>
            <w:pPr>
              <w:spacing w:after="0"/>
            </w:pPr>
            <w:r>
              <w:rPr>
                <w:rFonts w:ascii="Times New Roman" w:hAnsi="Times New Roman" w:eastAsia="宋体"/>
                <w:b w:val="0"/>
                <w:sz w:val="17"/>
              </w:rPr>
              <w:t>42.86</w:t>
            </w:r>
          </w:p>
        </w:tc>
      </w:tr>
      <w:tr>
        <w:tc>
          <w:tcPr>
            <w:tcW w:type="dxa" w:w="3135"/>
          </w:tcPr>
          <w:p>
            <w:pPr>
              <w:spacing w:after="0"/>
            </w:pPr>
            <w:r>
              <w:rPr>
                <w:rFonts w:ascii="Times New Roman" w:hAnsi="Times New Roman" w:eastAsia="宋体"/>
                <w:b w:val="0"/>
                <w:sz w:val="17"/>
              </w:rPr>
              <w:t>EfficientNet-B0</w:t>
            </w:r>
          </w:p>
        </w:tc>
        <w:tc>
          <w:tcPr>
            <w:tcW w:type="dxa" w:w="3135"/>
          </w:tcPr>
          <w:p>
            <w:pPr>
              <w:spacing w:after="0"/>
            </w:pPr>
            <w:r>
              <w:rPr>
                <w:rFonts w:ascii="Times New Roman" w:hAnsi="Times New Roman" w:eastAsia="宋体"/>
                <w:b w:val="0"/>
                <w:sz w:val="17"/>
              </w:rPr>
              <w:t>46.24</w:t>
            </w:r>
          </w:p>
        </w:tc>
        <w:tc>
          <w:tcPr>
            <w:tcW w:type="dxa" w:w="3135"/>
          </w:tcPr>
          <w:p>
            <w:pPr>
              <w:spacing w:after="0"/>
            </w:pPr>
            <w:r>
              <w:rPr>
                <w:rFonts w:ascii="Times New Roman" w:hAnsi="Times New Roman" w:eastAsia="宋体"/>
                <w:b w:val="0"/>
                <w:sz w:val="17"/>
              </w:rPr>
              <w:t>48.87</w:t>
            </w:r>
          </w:p>
        </w:tc>
      </w:tr>
      <w:tr>
        <w:tc>
          <w:tcPr>
            <w:tcW w:type="dxa" w:w="3135"/>
          </w:tcPr>
          <w:p>
            <w:pPr>
              <w:spacing w:after="0"/>
            </w:pPr>
            <w:r>
              <w:rPr>
                <w:rFonts w:ascii="Times New Roman" w:hAnsi="Times New Roman" w:eastAsia="宋体"/>
                <w:b w:val="0"/>
                <w:sz w:val="17"/>
              </w:rPr>
              <w:t>ConvNeXt-Tiny</w:t>
            </w:r>
          </w:p>
        </w:tc>
        <w:tc>
          <w:tcPr>
            <w:tcW w:type="dxa" w:w="3135"/>
          </w:tcPr>
          <w:p>
            <w:pPr>
              <w:spacing w:after="0"/>
            </w:pPr>
            <w:r>
              <w:rPr>
                <w:rFonts w:ascii="Times New Roman" w:hAnsi="Times New Roman" w:eastAsia="宋体"/>
                <w:b w:val="0"/>
                <w:sz w:val="17"/>
              </w:rPr>
              <w:t>51.60</w:t>
            </w:r>
          </w:p>
        </w:tc>
        <w:tc>
          <w:tcPr>
            <w:tcW w:type="dxa" w:w="3135"/>
          </w:tcPr>
          <w:p>
            <w:pPr>
              <w:spacing w:after="0"/>
            </w:pPr>
            <w:r>
              <w:rPr>
                <w:rFonts w:ascii="Times New Roman" w:hAnsi="Times New Roman" w:eastAsia="宋体"/>
                <w:b w:val="0"/>
                <w:sz w:val="17"/>
              </w:rPr>
              <w:t>54.03</w:t>
            </w:r>
          </w:p>
        </w:tc>
      </w:tr>
      <w:tr>
        <w:tc>
          <w:tcPr>
            <w:tcW w:type="dxa" w:w="3135"/>
          </w:tcPr>
          <w:p>
            <w:pPr>
              <w:spacing w:after="0"/>
            </w:pPr>
            <w:r>
              <w:rPr>
                <w:rFonts w:ascii="Times New Roman" w:hAnsi="Times New Roman" w:eastAsia="宋体"/>
                <w:b w:val="0"/>
                <w:sz w:val="17"/>
              </w:rPr>
              <w:t>Swin-T</w:t>
            </w:r>
          </w:p>
        </w:tc>
        <w:tc>
          <w:tcPr>
            <w:tcW w:type="dxa" w:w="3135"/>
          </w:tcPr>
          <w:p>
            <w:pPr>
              <w:spacing w:after="0"/>
            </w:pPr>
            <w:r>
              <w:rPr>
                <w:rFonts w:ascii="Times New Roman" w:hAnsi="Times New Roman" w:eastAsia="宋体"/>
                <w:b w:val="0"/>
                <w:sz w:val="17"/>
              </w:rPr>
              <w:t>46.36</w:t>
            </w:r>
          </w:p>
        </w:tc>
        <w:tc>
          <w:tcPr>
            <w:tcW w:type="dxa" w:w="3135"/>
          </w:tcPr>
          <w:p>
            <w:pPr>
              <w:spacing w:after="0"/>
            </w:pPr>
            <w:r>
              <w:rPr>
                <w:rFonts w:ascii="Times New Roman" w:hAnsi="Times New Roman" w:eastAsia="宋体"/>
                <w:b w:val="0"/>
                <w:sz w:val="17"/>
              </w:rPr>
              <w:t>49.16</w:t>
            </w:r>
          </w:p>
        </w:tc>
      </w:tr>
    </w:tbl>
    <w:p/>
    <w:p>
      <w:pPr>
        <w:spacing w:line="324" w:lineRule="auto" w:after="80"/>
        <w:ind w:firstLine="420"/>
      </w:pPr>
      <w:r>
        <w:rPr>
          <w:rFonts w:ascii="Times New Roman" w:hAnsi="Times New Roman" w:eastAsia="宋体"/>
          <w:b w:val="0"/>
          <w:sz w:val="21"/>
        </w:rPr>
        <w:t>ConvNeXt-Tiny和Swin-T仍是本池Q5均值的前两位，但其绝对性能也明显低于B/C。这是候选池条件下的能力比较，不等于总体最佳模型或样本来源导致下降的因果证明。后续一致筛选无法完整评价排名稳定性，见5.10。</w:t>
      </w:r>
    </w:p>
    <w:p>
      <w:pPr>
        <w:spacing w:line="324" w:lineRule="auto" w:after="80"/>
        <w:ind w:firstLine="420"/>
      </w:pPr>
      <w:r>
        <w:rPr>
          <w:rFonts w:ascii="Times New Roman" w:hAnsi="Times New Roman" w:eastAsia="宋体"/>
          <w:b w:val="0"/>
          <w:sz w:val="21"/>
        </w:rPr>
        <w:t>D请求账本记录本地2409次尝试、线上2826次尝试，其中线上2770次HTTP 200；HTTP成功不等于结构校验成功。账本可取得usage的累计输入/输出token分别为本地8702873/1473127、线上9606914/1356609，含重试和被技术替换目标。本地/线上全部尝试的中位耗时约4.00/10.13秒，P95约4.34/13.84秒；这里是全部尝试口径，不与表9成功请求时延直接等同。并行时延和非活动等待不等于实际GPU活跃时间，货币费用未知。数据准备及评测技术失败与修订保留在日志，不能将一次续跑描述为从未失败。</w:t>
      </w:r>
    </w:p>
    <w:p>
      <w:pPr>
        <w:pStyle w:val="Heading3"/>
      </w:pPr>
      <w:r>
        <w:t>5.10 标签分歧敏感性揭示支持量边界</w:t>
      </w:r>
    </w:p>
    <w:p>
      <w:pPr>
        <w:spacing w:line="324" w:lineRule="auto" w:after="80"/>
        <w:ind w:firstLine="420"/>
      </w:pPr>
      <w:r>
        <w:rPr>
          <w:rFonts w:ascii="Times New Roman" w:hAnsi="Times New Roman" w:eastAsia="宋体"/>
          <w:b/>
          <w:sz w:val="21"/>
        </w:rPr>
        <w:t>表14 一致筛选的唯一目标保留数。Q5列为本地原层中的保留数；全部一致组均不满足六类Q1/Q5各至少5图的门槛。</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全目标</w:t>
            </w:r>
          </w:p>
        </w:tc>
        <w:tc>
          <w:tcPr>
            <w:tcW w:type="dxa" w:w="1344"/>
            <w:shd w:fill="D9EAF7"/>
          </w:tcPr>
          <w:p>
            <w:pPr>
              <w:spacing w:after="0"/>
            </w:pPr>
            <w:r>
              <w:rPr>
                <w:rFonts w:ascii="Times New Roman" w:hAnsi="Times New Roman" w:eastAsia="宋体"/>
                <w:b/>
                <w:sz w:val="17"/>
              </w:rPr>
              <w:t>风险字段一致</w:t>
            </w:r>
          </w:p>
        </w:tc>
        <w:tc>
          <w:tcPr>
            <w:tcW w:type="dxa" w:w="1344"/>
            <w:shd w:fill="D9EAF7"/>
          </w:tcPr>
          <w:p>
            <w:pPr>
              <w:spacing w:after="0"/>
            </w:pPr>
            <w:r>
              <w:rPr>
                <w:rFonts w:ascii="Times New Roman" w:hAnsi="Times New Roman" w:eastAsia="宋体"/>
                <w:b/>
                <w:sz w:val="17"/>
              </w:rPr>
              <w:t>保留率</w:t>
            </w:r>
          </w:p>
        </w:tc>
        <w:tc>
          <w:tcPr>
            <w:tcW w:type="dxa" w:w="1344"/>
            <w:shd w:fill="D9EAF7"/>
          </w:tcPr>
          <w:p>
            <w:pPr>
              <w:spacing w:after="0"/>
            </w:pPr>
            <w:r>
              <w:rPr>
                <w:rFonts w:ascii="Times New Roman" w:hAnsi="Times New Roman" w:eastAsia="宋体"/>
                <w:b/>
                <w:sz w:val="17"/>
              </w:rPr>
              <w:t>14字段一致</w:t>
            </w:r>
          </w:p>
        </w:tc>
        <w:tc>
          <w:tcPr>
            <w:tcW w:type="dxa" w:w="1344"/>
            <w:shd w:fill="D9EAF7"/>
          </w:tcPr>
          <w:p>
            <w:pPr>
              <w:spacing w:after="0"/>
            </w:pPr>
            <w:r>
              <w:rPr>
                <w:rFonts w:ascii="Times New Roman" w:hAnsi="Times New Roman" w:eastAsia="宋体"/>
                <w:b/>
                <w:sz w:val="17"/>
              </w:rPr>
              <w:t>保留率</w:t>
            </w:r>
          </w:p>
        </w:tc>
        <w:tc>
          <w:tcPr>
            <w:tcW w:type="dxa" w:w="1344"/>
            <w:shd w:fill="D9EAF7"/>
          </w:tcPr>
          <w:p>
            <w:pPr>
              <w:spacing w:after="0"/>
            </w:pPr>
            <w:r>
              <w:rPr>
                <w:rFonts w:ascii="Times New Roman" w:hAnsi="Times New Roman" w:eastAsia="宋体"/>
                <w:b/>
                <w:sz w:val="17"/>
              </w:rPr>
              <w:t>风险一致组Q5目标</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166</w:t>
            </w:r>
          </w:p>
        </w:tc>
        <w:tc>
          <w:tcPr>
            <w:tcW w:type="dxa" w:w="1344"/>
          </w:tcPr>
          <w:p>
            <w:pPr>
              <w:spacing w:after="0"/>
            </w:pPr>
            <w:r>
              <w:rPr>
                <w:rFonts w:ascii="Times New Roman" w:hAnsi="Times New Roman" w:eastAsia="宋体"/>
                <w:b w:val="0"/>
                <w:sz w:val="17"/>
              </w:rPr>
              <w:t>6.92%</w:t>
            </w:r>
          </w:p>
        </w:tc>
        <w:tc>
          <w:tcPr>
            <w:tcW w:type="dxa" w:w="1344"/>
          </w:tcPr>
          <w:p>
            <w:pPr>
              <w:spacing w:after="0"/>
            </w:pPr>
            <w:r>
              <w:rPr>
                <w:rFonts w:ascii="Times New Roman" w:hAnsi="Times New Roman" w:eastAsia="宋体"/>
                <w:b w:val="0"/>
                <w:sz w:val="17"/>
              </w:rPr>
              <w:t>4</w:t>
            </w:r>
          </w:p>
        </w:tc>
        <w:tc>
          <w:tcPr>
            <w:tcW w:type="dxa" w:w="1344"/>
          </w:tcPr>
          <w:p>
            <w:pPr>
              <w:spacing w:after="0"/>
            </w:pPr>
            <w:r>
              <w:rPr>
                <w:rFonts w:ascii="Times New Roman" w:hAnsi="Times New Roman" w:eastAsia="宋体"/>
                <w:b w:val="0"/>
                <w:sz w:val="17"/>
              </w:rPr>
              <w:t>0.17%</w:t>
            </w:r>
          </w:p>
        </w:tc>
        <w:tc>
          <w:tcPr>
            <w:tcW w:type="dxa" w:w="1344"/>
          </w:tcPr>
          <w:p>
            <w:pPr>
              <w:spacing w:after="0"/>
            </w:pPr>
            <w:r>
              <w:rPr>
                <w:rFonts w:ascii="Times New Roman" w:hAnsi="Times New Roman" w:eastAsia="宋体"/>
                <w:b w:val="0"/>
                <w:sz w:val="17"/>
              </w:rPr>
              <w:t>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56</w:t>
            </w:r>
          </w:p>
        </w:tc>
        <w:tc>
          <w:tcPr>
            <w:tcW w:type="dxa" w:w="1344"/>
          </w:tcPr>
          <w:p>
            <w:pPr>
              <w:spacing w:after="0"/>
            </w:pPr>
            <w:r>
              <w:rPr>
                <w:rFonts w:ascii="Times New Roman" w:hAnsi="Times New Roman" w:eastAsia="宋体"/>
                <w:b w:val="0"/>
                <w:sz w:val="17"/>
              </w:rPr>
              <w:t>9.33%</w:t>
            </w:r>
          </w:p>
        </w:tc>
        <w:tc>
          <w:tcPr>
            <w:tcW w:type="dxa" w:w="1344"/>
          </w:tcPr>
          <w:p>
            <w:pPr>
              <w:spacing w:after="0"/>
            </w:pPr>
            <w:r>
              <w:rPr>
                <w:rFonts w:ascii="Times New Roman" w:hAnsi="Times New Roman" w:eastAsia="宋体"/>
                <w:b w:val="0"/>
                <w:sz w:val="17"/>
              </w:rPr>
              <w:t>0</w:t>
            </w:r>
          </w:p>
        </w:tc>
        <w:tc>
          <w:tcPr>
            <w:tcW w:type="dxa" w:w="1344"/>
          </w:tcPr>
          <w:p>
            <w:pPr>
              <w:spacing w:after="0"/>
            </w:pPr>
            <w:r>
              <w:rPr>
                <w:rFonts w:ascii="Times New Roman" w:hAnsi="Times New Roman" w:eastAsia="宋体"/>
                <w:b w:val="0"/>
                <w:sz w:val="17"/>
              </w:rPr>
              <w:t>0.00%</w:t>
            </w:r>
          </w:p>
        </w:tc>
        <w:tc>
          <w:tcPr>
            <w:tcW w:type="dxa" w:w="1344"/>
          </w:tcPr>
          <w:p>
            <w:pPr>
              <w:spacing w:after="0"/>
            </w:pPr>
            <w:r>
              <w:rPr>
                <w:rFonts w:ascii="Times New Roman" w:hAnsi="Times New Roman" w:eastAsia="宋体"/>
                <w:b w:val="0"/>
                <w:sz w:val="17"/>
              </w:rPr>
              <w:t>5</w:t>
            </w:r>
          </w:p>
        </w:tc>
      </w:tr>
      <w:tr>
        <w:tc>
          <w:tcPr>
            <w:tcW w:type="dxa" w:w="1344"/>
          </w:tcPr>
          <w:p>
            <w:pPr>
              <w:spacing w:after="0"/>
            </w:pPr>
            <w:r>
              <w:rPr>
                <w:rFonts w:ascii="Times New Roman" w:hAnsi="Times New Roman" w:eastAsia="宋体"/>
                <w:b w:val="0"/>
                <w:sz w:val="17"/>
              </w:rPr>
              <w:t>D</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187</w:t>
            </w:r>
          </w:p>
        </w:tc>
        <w:tc>
          <w:tcPr>
            <w:tcW w:type="dxa" w:w="1344"/>
          </w:tcPr>
          <w:p>
            <w:pPr>
              <w:spacing w:after="0"/>
            </w:pPr>
            <w:r>
              <w:rPr>
                <w:rFonts w:ascii="Times New Roman" w:hAnsi="Times New Roman" w:eastAsia="宋体"/>
                <w:b w:val="0"/>
                <w:sz w:val="17"/>
              </w:rPr>
              <w:t>7.79%</w:t>
            </w:r>
          </w:p>
        </w:tc>
        <w:tc>
          <w:tcPr>
            <w:tcW w:type="dxa" w:w="1344"/>
          </w:tcPr>
          <w:p>
            <w:pPr>
              <w:spacing w:after="0"/>
            </w:pPr>
            <w:r>
              <w:rPr>
                <w:rFonts w:ascii="Times New Roman" w:hAnsi="Times New Roman" w:eastAsia="宋体"/>
                <w:b w:val="0"/>
                <w:sz w:val="17"/>
              </w:rPr>
              <w:t>8</w:t>
            </w:r>
          </w:p>
        </w:tc>
        <w:tc>
          <w:tcPr>
            <w:tcW w:type="dxa" w:w="1344"/>
          </w:tcPr>
          <w:p>
            <w:pPr>
              <w:spacing w:after="0"/>
            </w:pPr>
            <w:r>
              <w:rPr>
                <w:rFonts w:ascii="Times New Roman" w:hAnsi="Times New Roman" w:eastAsia="宋体"/>
                <w:b w:val="0"/>
                <w:sz w:val="17"/>
              </w:rPr>
              <w:t>0.33%</w:t>
            </w:r>
          </w:p>
        </w:tc>
        <w:tc>
          <w:tcPr>
            <w:tcW w:type="dxa" w:w="1344"/>
          </w:tcPr>
          <w:p>
            <w:pPr>
              <w:spacing w:after="0"/>
            </w:pPr>
            <w:r>
              <w:rPr>
                <w:rFonts w:ascii="Times New Roman" w:hAnsi="Times New Roman" w:eastAsia="宋体"/>
                <w:b w:val="0"/>
                <w:sz w:val="17"/>
              </w:rPr>
              <w:t>5</w:t>
            </w:r>
          </w:p>
        </w:tc>
      </w:tr>
    </w:tbl>
    <w:p/>
    <w:p>
      <w:pPr>
        <w:spacing w:line="324" w:lineRule="auto" w:after="80"/>
        <w:ind w:firstLine="420"/>
      </w:pPr>
      <w:r>
        <w:rPr>
          <w:rFonts w:ascii="Times New Roman" w:hAnsi="Times New Roman" w:eastAsia="宋体"/>
          <w:b w:val="0"/>
          <w:sz w:val="21"/>
        </w:rPr>
        <w:t>风险一致目标在本地原Q1分别有81、31、97图，原Q5均只有5图，且有类别零支持。要求所有风险字段一致的筛选同时改变了风险与类别分布，不能只报告筛选后较高F1作为标签可靠性证据。14字段严格同时一致还累积了多字段分歧，不直接等于单字段错误率。完整逐字段分歧/unknown、类别与层级分布在补充CSV中保留。</w:t>
      </w:r>
    </w:p>
    <w:p>
      <w:pPr>
        <w:spacing w:line="324" w:lineRule="auto" w:after="80"/>
        <w:ind w:firstLine="420"/>
      </w:pPr>
      <w:r>
        <w:rPr>
          <w:rFonts w:ascii="Times New Roman" w:hAnsi="Times New Roman" w:eastAsia="宋体"/>
          <w:b w:val="0"/>
          <w:sz w:val="21"/>
        </w:rPr>
        <w:t>上述一致子集的六类高低层差异和模型排序均不可评价，因此本研究</w:t>
      </w:r>
      <w:r>
        <w:rPr>
          <w:rFonts w:ascii="Times New Roman" w:hAnsi="Times New Roman" w:eastAsia="宋体"/>
          <w:b/>
          <w:sz w:val="21"/>
        </w:rPr>
        <w:t>没有证明风险差或排名在全字段一致筛选下保持稳健</w:t>
      </w:r>
      <w:r>
        <w:rPr>
          <w:rFonts w:ascii="Times New Roman" w:hAnsi="Times New Roman" w:eastAsia="宋体"/>
          <w:b w:val="0"/>
          <w:sz w:val="21"/>
        </w:rPr>
        <w:t>。我们不降低门槛、不重新划分风险层，也不将无法评价写成性能差异消失。全池源图重采样仍保留原负向方向，但它不能填补一致子集缺失的证据。</w:t>
      </w:r>
    </w:p>
    <w:p>
      <w:pPr>
        <w:spacing w:line="324" w:lineRule="auto" w:after="80"/>
        <w:ind w:firstLine="420"/>
      </w:pPr>
      <w:r>
        <w:rPr>
          <w:rFonts w:ascii="Times New Roman" w:hAnsi="Times New Roman" w:eastAsia="宋体"/>
          <w:b/>
          <w:sz w:val="21"/>
        </w:rPr>
        <w:t>表15 原冻结弱状态在逐字段一致子集中的方向敏感性。先平均每组合三个种子，差值为状态Recall减该字段一致类别参考Recall。</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池</w:t>
            </w:r>
          </w:p>
        </w:tc>
        <w:tc>
          <w:tcPr>
            <w:tcW w:type="dxa" w:w="1176"/>
            <w:shd w:fill="D9EAF7"/>
          </w:tcPr>
          <w:p>
            <w:pPr>
              <w:spacing w:after="0"/>
            </w:pPr>
            <w:r>
              <w:rPr>
                <w:rFonts w:ascii="Times New Roman" w:hAnsi="Times New Roman" w:eastAsia="宋体"/>
                <w:b/>
                <w:sz w:val="17"/>
              </w:rPr>
              <w:t>来源</w:t>
            </w:r>
          </w:p>
        </w:tc>
        <w:tc>
          <w:tcPr>
            <w:tcW w:type="dxa" w:w="1176"/>
            <w:shd w:fill="D9EAF7"/>
          </w:tcPr>
          <w:p>
            <w:pPr>
              <w:spacing w:after="0"/>
            </w:pPr>
            <w:r>
              <w:rPr>
                <w:rFonts w:ascii="Times New Roman" w:hAnsi="Times New Roman" w:eastAsia="宋体"/>
                <w:b/>
                <w:sz w:val="17"/>
              </w:rPr>
              <w:t>可评价组合</w:t>
            </w:r>
          </w:p>
        </w:tc>
        <w:tc>
          <w:tcPr>
            <w:tcW w:type="dxa" w:w="1176"/>
            <w:shd w:fill="D9EAF7"/>
          </w:tcPr>
          <w:p>
            <w:pPr>
              <w:spacing w:after="0"/>
            </w:pPr>
            <w:r>
              <w:rPr>
                <w:rFonts w:ascii="Times New Roman" w:hAnsi="Times New Roman" w:eastAsia="宋体"/>
                <w:b/>
                <w:sz w:val="17"/>
              </w:rPr>
              <w:t>原同组合负向</w:t>
            </w:r>
          </w:p>
        </w:tc>
        <w:tc>
          <w:tcPr>
            <w:tcW w:type="dxa" w:w="1176"/>
            <w:shd w:fill="D9EAF7"/>
          </w:tcPr>
          <w:p>
            <w:pPr>
              <w:spacing w:after="0"/>
            </w:pPr>
            <w:r>
              <w:rPr>
                <w:rFonts w:ascii="Times New Roman" w:hAnsi="Times New Roman" w:eastAsia="宋体"/>
                <w:b/>
                <w:sz w:val="17"/>
              </w:rPr>
              <w:t>一致子集负向</w:t>
            </w:r>
          </w:p>
        </w:tc>
        <w:tc>
          <w:tcPr>
            <w:tcW w:type="dxa" w:w="1176"/>
            <w:shd w:fill="D9EAF7"/>
          </w:tcPr>
          <w:p>
            <w:pPr>
              <w:spacing w:after="0"/>
            </w:pPr>
            <w:r>
              <w:rPr>
                <w:rFonts w:ascii="Times New Roman" w:hAnsi="Times New Roman" w:eastAsia="宋体"/>
                <w:b/>
                <w:sz w:val="17"/>
              </w:rPr>
              <w:t>方向改变</w:t>
            </w:r>
          </w:p>
        </w:tc>
        <w:tc>
          <w:tcPr>
            <w:tcW w:type="dxa" w:w="1176"/>
            <w:shd w:fill="D9EAF7"/>
          </w:tcPr>
          <w:p>
            <w:pPr>
              <w:spacing w:after="0"/>
            </w:pPr>
            <w:r>
              <w:rPr>
                <w:rFonts w:ascii="Times New Roman" w:hAnsi="Times New Roman" w:eastAsia="宋体"/>
                <w:b/>
                <w:sz w:val="17"/>
              </w:rPr>
              <w:t>原同组合平均差（pp）</w:t>
            </w:r>
          </w:p>
        </w:tc>
        <w:tc>
          <w:tcPr>
            <w:tcW w:type="dxa" w:w="1176"/>
            <w:shd w:fill="D9EAF7"/>
          </w:tcPr>
          <w:p>
            <w:pPr>
              <w:spacing w:after="0"/>
            </w:pPr>
            <w:r>
              <w:rPr>
                <w:rFonts w:ascii="Times New Roman" w:hAnsi="Times New Roman" w:eastAsia="宋体"/>
                <w:b/>
                <w:sz w:val="17"/>
              </w:rPr>
              <w:t>一致子集平均差（pp）</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43</w:t>
            </w:r>
          </w:p>
        </w:tc>
        <w:tc>
          <w:tcPr>
            <w:tcW w:type="dxa" w:w="1176"/>
          </w:tcPr>
          <w:p>
            <w:pPr>
              <w:spacing w:after="0"/>
            </w:pPr>
            <w:r>
              <w:rPr>
                <w:rFonts w:ascii="Times New Roman" w:hAnsi="Times New Roman" w:eastAsia="宋体"/>
                <w:b w:val="0"/>
                <w:sz w:val="17"/>
              </w:rPr>
              <w:t>35</w:t>
            </w:r>
          </w:p>
        </w:tc>
        <w:tc>
          <w:tcPr>
            <w:tcW w:type="dxa" w:w="1176"/>
          </w:tcPr>
          <w:p>
            <w:pPr>
              <w:spacing w:after="0"/>
            </w:pPr>
            <w:r>
              <w:rPr>
                <w:rFonts w:ascii="Times New Roman" w:hAnsi="Times New Roman" w:eastAsia="宋体"/>
                <w:b w:val="0"/>
                <w:sz w:val="17"/>
              </w:rPr>
              <w:t>36</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−20.23</w:t>
            </w:r>
          </w:p>
        </w:tc>
        <w:tc>
          <w:tcPr>
            <w:tcW w:type="dxa" w:w="1176"/>
          </w:tcPr>
          <w:p>
            <w:pPr>
              <w:spacing w:after="0"/>
            </w:pPr>
            <w:r>
              <w:rPr>
                <w:rFonts w:ascii="Times New Roman" w:hAnsi="Times New Roman" w:eastAsia="宋体"/>
                <w:b w:val="0"/>
                <w:sz w:val="17"/>
              </w:rPr>
              <w:t>−20.84</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49</w:t>
            </w:r>
          </w:p>
        </w:tc>
        <w:tc>
          <w:tcPr>
            <w:tcW w:type="dxa" w:w="1176"/>
          </w:tcPr>
          <w:p>
            <w:pPr>
              <w:spacing w:after="0"/>
            </w:pPr>
            <w:r>
              <w:rPr>
                <w:rFonts w:ascii="Times New Roman" w:hAnsi="Times New Roman" w:eastAsia="宋体"/>
                <w:b w:val="0"/>
                <w:sz w:val="17"/>
              </w:rPr>
              <w:t>44</w:t>
            </w:r>
          </w:p>
        </w:tc>
        <w:tc>
          <w:tcPr>
            <w:tcW w:type="dxa" w:w="1176"/>
          </w:tcPr>
          <w:p>
            <w:pPr>
              <w:spacing w:after="0"/>
            </w:pPr>
            <w:r>
              <w:rPr>
                <w:rFonts w:ascii="Times New Roman" w:hAnsi="Times New Roman" w:eastAsia="宋体"/>
                <w:b w:val="0"/>
                <w:sz w:val="17"/>
              </w:rPr>
              <w:t>43</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−21.24</w:t>
            </w:r>
          </w:p>
        </w:tc>
        <w:tc>
          <w:tcPr>
            <w:tcW w:type="dxa" w:w="1176"/>
          </w:tcPr>
          <w:p>
            <w:pPr>
              <w:spacing w:after="0"/>
            </w:pPr>
            <w:r>
              <w:rPr>
                <w:rFonts w:ascii="Times New Roman" w:hAnsi="Times New Roman" w:eastAsia="宋体"/>
                <w:b w:val="0"/>
                <w:sz w:val="17"/>
              </w:rPr>
              <w:t>−21.73</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w:t>
            </w:r>
          </w:p>
        </w:tc>
        <w:tc>
          <w:tcPr>
            <w:tcW w:type="dxa" w:w="1176"/>
          </w:tcPr>
          <w:p>
            <w:pPr>
              <w:spacing w:after="0"/>
            </w:pPr>
            <w:r>
              <w:rPr>
                <w:rFonts w:ascii="Times New Roman" w:hAnsi="Times New Roman" w:eastAsia="宋体"/>
                <w:b w:val="0"/>
                <w:sz w:val="17"/>
              </w:rPr>
              <w:t>—</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w:t>
            </w:r>
          </w:p>
        </w:tc>
        <w:tc>
          <w:tcPr>
            <w:tcW w:type="dxa" w:w="1176"/>
          </w:tcPr>
          <w:p>
            <w:pPr>
              <w:spacing w:after="0"/>
            </w:pPr>
            <w:r>
              <w:rPr>
                <w:rFonts w:ascii="Times New Roman" w:hAnsi="Times New Roman" w:eastAsia="宋体"/>
                <w:b w:val="0"/>
                <w:sz w:val="17"/>
              </w:rPr>
              <w:t>—</w:t>
            </w:r>
          </w:p>
        </w:tc>
      </w:tr>
      <w:tr>
        <w:tc>
          <w:tcPr>
            <w:tcW w:type="dxa" w:w="1176"/>
          </w:tcPr>
          <w:p>
            <w:pPr>
              <w:spacing w:after="0"/>
            </w:pPr>
            <w:r>
              <w:rPr>
                <w:rFonts w:ascii="Times New Roman" w:hAnsi="Times New Roman" w:eastAsia="宋体"/>
                <w:b w:val="0"/>
                <w:sz w:val="17"/>
              </w:rPr>
              <w:t>D</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69</w:t>
            </w:r>
          </w:p>
        </w:tc>
        <w:tc>
          <w:tcPr>
            <w:tcW w:type="dxa" w:w="1176"/>
          </w:tcPr>
          <w:p>
            <w:pPr>
              <w:spacing w:after="0"/>
            </w:pPr>
            <w:r>
              <w:rPr>
                <w:rFonts w:ascii="Times New Roman" w:hAnsi="Times New Roman" w:eastAsia="宋体"/>
                <w:b w:val="0"/>
                <w:sz w:val="17"/>
              </w:rPr>
              <w:t>59</w:t>
            </w:r>
          </w:p>
        </w:tc>
        <w:tc>
          <w:tcPr>
            <w:tcW w:type="dxa" w:w="1176"/>
          </w:tcPr>
          <w:p>
            <w:pPr>
              <w:spacing w:after="0"/>
            </w:pPr>
            <w:r>
              <w:rPr>
                <w:rFonts w:ascii="Times New Roman" w:hAnsi="Times New Roman" w:eastAsia="宋体"/>
                <w:b w:val="0"/>
                <w:sz w:val="17"/>
              </w:rPr>
              <w:t>60</w:t>
            </w:r>
          </w:p>
        </w:tc>
        <w:tc>
          <w:tcPr>
            <w:tcW w:type="dxa" w:w="1176"/>
          </w:tcPr>
          <w:p>
            <w:pPr>
              <w:spacing w:after="0"/>
            </w:pPr>
            <w:r>
              <w:rPr>
                <w:rFonts w:ascii="Times New Roman" w:hAnsi="Times New Roman" w:eastAsia="宋体"/>
                <w:b w:val="0"/>
                <w:sz w:val="17"/>
              </w:rPr>
              <w:t>3</w:t>
            </w:r>
          </w:p>
        </w:tc>
        <w:tc>
          <w:tcPr>
            <w:tcW w:type="dxa" w:w="1176"/>
          </w:tcPr>
          <w:p>
            <w:pPr>
              <w:spacing w:after="0"/>
            </w:pPr>
            <w:r>
              <w:rPr>
                <w:rFonts w:ascii="Times New Roman" w:hAnsi="Times New Roman" w:eastAsia="宋体"/>
                <w:b w:val="0"/>
                <w:sz w:val="17"/>
              </w:rPr>
              <w:t>−20.30</w:t>
            </w:r>
          </w:p>
        </w:tc>
        <w:tc>
          <w:tcPr>
            <w:tcW w:type="dxa" w:w="1176"/>
          </w:tcPr>
          <w:p>
            <w:pPr>
              <w:spacing w:after="0"/>
            </w:pPr>
            <w:r>
              <w:rPr>
                <w:rFonts w:ascii="Times New Roman" w:hAnsi="Times New Roman" w:eastAsia="宋体"/>
                <w:b w:val="0"/>
                <w:sz w:val="17"/>
              </w:rPr>
              <w:t>−22.05</w:t>
            </w:r>
          </w:p>
        </w:tc>
      </w:tr>
      <w:tr>
        <w:tc>
          <w:tcPr>
            <w:tcW w:type="dxa" w:w="1176"/>
          </w:tcPr>
          <w:p>
            <w:pPr>
              <w:spacing w:after="0"/>
            </w:pPr>
            <w:r>
              <w:rPr>
                <w:rFonts w:ascii="Times New Roman" w:hAnsi="Times New Roman" w:eastAsia="宋体"/>
                <w:b w:val="0"/>
                <w:sz w:val="17"/>
              </w:rPr>
              <w:t>D</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62</w:t>
            </w:r>
          </w:p>
        </w:tc>
        <w:tc>
          <w:tcPr>
            <w:tcW w:type="dxa" w:w="1176"/>
          </w:tcPr>
          <w:p>
            <w:pPr>
              <w:spacing w:after="0"/>
            </w:pPr>
            <w:r>
              <w:rPr>
                <w:rFonts w:ascii="Times New Roman" w:hAnsi="Times New Roman" w:eastAsia="宋体"/>
                <w:b w:val="0"/>
                <w:sz w:val="17"/>
              </w:rPr>
              <w:t>56</w:t>
            </w:r>
          </w:p>
        </w:tc>
        <w:tc>
          <w:tcPr>
            <w:tcW w:type="dxa" w:w="1176"/>
          </w:tcPr>
          <w:p>
            <w:pPr>
              <w:spacing w:after="0"/>
            </w:pPr>
            <w:r>
              <w:rPr>
                <w:rFonts w:ascii="Times New Roman" w:hAnsi="Times New Roman" w:eastAsia="宋体"/>
                <w:b w:val="0"/>
                <w:sz w:val="17"/>
              </w:rPr>
              <w:t>57</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−19.94</w:t>
            </w:r>
          </w:p>
        </w:tc>
        <w:tc>
          <w:tcPr>
            <w:tcW w:type="dxa" w:w="1176"/>
          </w:tcPr>
          <w:p>
            <w:pPr>
              <w:spacing w:after="0"/>
            </w:pPr>
            <w:r>
              <w:rPr>
                <w:rFonts w:ascii="Times New Roman" w:hAnsi="Times New Roman" w:eastAsia="宋体"/>
                <w:b w:val="0"/>
                <w:sz w:val="17"/>
              </w:rPr>
              <w:t>−23.05</w:t>
            </w:r>
          </w:p>
        </w:tc>
      </w:tr>
    </w:tbl>
    <w:p/>
    <w:p>
      <w:pPr>
        <w:spacing w:line="324" w:lineRule="auto" w:after="80"/>
        <w:ind w:firstLine="420"/>
      </w:pPr>
      <w:r>
        <w:rPr>
          <w:rFonts w:ascii="Times New Roman" w:hAnsi="Times New Roman" w:eastAsia="宋体"/>
          <w:b w:val="0"/>
          <w:sz w:val="21"/>
        </w:rPr>
        <w:t>每组合要求至少20个状态目标和20个非该状态参考。全体结果只在相同可评价组合集合上重算；例如D本地69个组合中，原59个负向，筛选后60个负向，有3个方向改变，而不是原79个可评价组合整体保持不变。两个来源在一致字段上使用相同目标集合，但各自的A冻结组合清单不同，因此表15的组合数不必相同。VOC在此额外门槛下无可评价组合，不能据此推断全部条件不复现。</w:t>
      </w:r>
    </w:p>
    <w:p>
      <w:pPr>
        <w:jc w:val="center"/>
      </w:pPr>
      <w:r>
        <w:drawing>
          <wp:inline xmlns:a="http://schemas.openxmlformats.org/drawingml/2006/main" xmlns:pic="http://schemas.openxmlformats.org/drawingml/2006/picture">
            <wp:extent cx="5669280" cy="3192839"/>
            <wp:docPr id="6" name="Picture 6"/>
            <wp:cNvGraphicFramePr>
              <a:graphicFrameLocks noChangeAspect="1"/>
            </wp:cNvGraphicFramePr>
            <a:graphic>
              <a:graphicData uri="http://schemas.openxmlformats.org/drawingml/2006/picture">
                <pic:pic>
                  <pic:nvPicPr>
                    <pic:cNvPr id="0" name="label_sensitivity.png"/>
                    <pic:cNvPicPr/>
                  </pic:nvPicPr>
                  <pic:blipFill>
                    <a:blip r:embed="rId15"/>
                    <a:stretch>
                      <a:fillRect/>
                    </a:stretch>
                  </pic:blipFill>
                  <pic:spPr>
                    <a:xfrm>
                      <a:off x="0" y="0"/>
                      <a:ext cx="5669280" cy="3192839"/>
                    </a:xfrm>
                    <a:prstGeom prst="rect"/>
                  </pic:spPr>
                </pic:pic>
              </a:graphicData>
            </a:graphic>
          </wp:inline>
        </w:drawing>
      </w:r>
    </w:p>
    <w:p>
      <w:pPr>
        <w:jc w:val="center"/>
      </w:pPr>
      <w:r>
        <w:rPr>
          <w:rFonts w:ascii="Times New Roman" w:hAnsi="Times New Roman" w:eastAsia="宋体"/>
          <w:sz w:val="18"/>
        </w:rPr>
        <w:t>图6 标签分歧敏感性。上排为目标保留率，下排为Q5−Q1及固定模型源图95%区间；一致组因类别/层级支持不足标为NA。圆点为本地、方点为线上，筛选后原层不重划。</w:t>
      </w:r>
    </w:p>
    <w:p>
      <w:pPr>
        <w:spacing w:line="324" w:lineRule="auto" w:after="80"/>
        <w:ind w:firstLine="420"/>
      </w:pPr>
      <w:r>
        <w:rPr>
          <w:rFonts w:ascii="Times New Roman" w:hAnsi="Times New Roman" w:eastAsia="宋体"/>
          <w:b w:val="0"/>
          <w:sz w:val="21"/>
        </w:rPr>
        <w:t>逐字段一致子集支持B/D中多数可评价薄弱组合仍有负向条件差异，但筛选目标可能具有不同难度，双模型也可能共同错误。这是标签分歧敏感性结果，不是状态真值验证，不构成普遍排名稳健性或独立因果解释。</w:t>
      </w:r>
    </w:p>
    <w:p>
      <w:pPr>
        <w:pStyle w:val="Heading3"/>
      </w:pPr>
      <w:r>
        <w:t>5.11 完整池模型排名对标注配置的敏感性</w:t>
      </w:r>
    </w:p>
    <w:p>
      <w:pPr>
        <w:spacing w:line="324" w:lineRule="auto" w:after="80"/>
        <w:ind w:firstLine="420"/>
      </w:pPr>
      <w:r>
        <w:rPr>
          <w:rFonts w:ascii="Times New Roman" w:hAnsi="Times New Roman" w:eastAsia="宋体"/>
          <w:b w:val="0"/>
          <w:sz w:val="21"/>
        </w:rPr>
        <w:t>严格一致子集支持不足，并不妨碍在完整候选池上比较两种自动标签定义的排名。表16统计每池六种配置全部15对比较；排名基于架构三个种子的高风险Macro-F1均值。</w:t>
      </w:r>
    </w:p>
    <w:p>
      <w:pPr>
        <w:spacing w:line="324" w:lineRule="auto" w:after="80"/>
        <w:ind w:firstLine="420"/>
      </w:pPr>
      <w:r>
        <w:rPr>
          <w:rFonts w:ascii="Times New Roman" w:hAnsi="Times New Roman" w:eastAsia="宋体"/>
          <w:b/>
          <w:sz w:val="21"/>
        </w:rPr>
        <w:t>表16 完整池六配置的模型排序敏感性。tau为Kendall tau-b；名次变化仅比较配置点估计。</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每类Q5目标</w:t>
            </w:r>
          </w:p>
        </w:tc>
        <w:tc>
          <w:tcPr>
            <w:tcW w:type="dxa" w:w="1568"/>
            <w:shd w:fill="D9EAF7"/>
          </w:tcPr>
          <w:p>
            <w:pPr>
              <w:spacing w:after="0"/>
            </w:pPr>
            <w:r>
              <w:rPr>
                <w:rFonts w:ascii="Times New Roman" w:hAnsi="Times New Roman" w:eastAsia="宋体"/>
                <w:b/>
                <w:sz w:val="17"/>
              </w:rPr>
              <w:t>最小tau</w:t>
            </w:r>
          </w:p>
        </w:tc>
        <w:tc>
          <w:tcPr>
            <w:tcW w:type="dxa" w:w="1568"/>
            <w:shd w:fill="D9EAF7"/>
          </w:tcPr>
          <w:p>
            <w:pPr>
              <w:spacing w:after="0"/>
            </w:pPr>
            <w:r>
              <w:rPr>
                <w:rFonts w:ascii="Times New Roman" w:hAnsi="Times New Roman" w:eastAsia="宋体"/>
                <w:b/>
                <w:sz w:val="17"/>
              </w:rPr>
              <w:t>最大tau</w:t>
            </w:r>
          </w:p>
        </w:tc>
        <w:tc>
          <w:tcPr>
            <w:tcW w:type="dxa" w:w="1568"/>
            <w:shd w:fill="D9EAF7"/>
          </w:tcPr>
          <w:p>
            <w:pPr>
              <w:spacing w:after="0"/>
            </w:pPr>
            <w:r>
              <w:rPr>
                <w:rFonts w:ascii="Times New Roman" w:hAnsi="Times New Roman" w:eastAsia="宋体"/>
                <w:b/>
                <w:sz w:val="17"/>
              </w:rPr>
              <w:t>前两名集合相同的配置对</w:t>
            </w:r>
          </w:p>
        </w:tc>
        <w:tc>
          <w:tcPr>
            <w:tcW w:type="dxa" w:w="1568"/>
            <w:shd w:fill="D9EAF7"/>
          </w:tcPr>
          <w:p>
            <w:pPr>
              <w:spacing w:after="0"/>
            </w:pPr>
            <w:r>
              <w:rPr>
                <w:rFonts w:ascii="Times New Roman" w:hAnsi="Times New Roman" w:eastAsia="宋体"/>
                <w:b/>
                <w:sz w:val="17"/>
              </w:rPr>
              <w:t>最大名次变化</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80</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15/15</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20</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15/15</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80</w:t>
            </w:r>
          </w:p>
        </w:tc>
        <w:tc>
          <w:tcPr>
            <w:tcW w:type="dxa" w:w="1568"/>
          </w:tcPr>
          <w:p>
            <w:pPr>
              <w:spacing w:after="0"/>
            </w:pPr>
            <w:r>
              <w:rPr>
                <w:rFonts w:ascii="Times New Roman" w:hAnsi="Times New Roman" w:eastAsia="宋体"/>
                <w:b w:val="0"/>
                <w:sz w:val="17"/>
              </w:rPr>
              <w:t>0.786</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15/15</w:t>
            </w:r>
          </w:p>
        </w:tc>
        <w:tc>
          <w:tcPr>
            <w:tcW w:type="dxa" w:w="1568"/>
          </w:tcPr>
          <w:p>
            <w:pPr>
              <w:spacing w:after="0"/>
            </w:pPr>
            <w:r>
              <w:rPr>
                <w:rFonts w:ascii="Times New Roman" w:hAnsi="Times New Roman" w:eastAsia="宋体"/>
                <w:b w:val="0"/>
                <w:sz w:val="17"/>
              </w:rPr>
              <w:t>2</w:t>
            </w:r>
          </w:p>
        </w:tc>
      </w:tr>
    </w:tbl>
    <w:p/>
    <w:p>
      <w:pPr>
        <w:spacing w:line="324" w:lineRule="auto" w:after="80"/>
        <w:ind w:firstLine="420"/>
      </w:pPr>
      <w:r>
        <w:rPr>
          <w:rFonts w:ascii="Times New Roman" w:hAnsi="Times New Roman" w:eastAsia="宋体"/>
          <w:b w:val="0"/>
          <w:sz w:val="21"/>
        </w:rPr>
        <w:t>18种池/配置的平均排名第一均为ConvNeXt-Tiny，第二均为Swin-T。两种来源中点配置的排序tau为B/C/D的0.929/0.929/0.857；但其Q5目标Jaccard仅0.397/0.420/0.457，说明前列平均排序一致不要求两种来源选出相同高风险目标。</w:t>
      </w:r>
    </w:p>
    <w:p>
      <w:pPr>
        <w:spacing w:line="324" w:lineRule="auto" w:after="80"/>
        <w:ind w:firstLine="420"/>
      </w:pPr>
      <w:r>
        <w:rPr>
          <w:rFonts w:ascii="Times New Roman" w:hAnsi="Times New Roman" w:eastAsia="宋体"/>
          <w:b w:val="0"/>
          <w:sz w:val="21"/>
        </w:rPr>
        <w:t>源图不确定性使平均名次与可靠先后有所区别。六配置中，ConvNeXt-Tiny进入前两名的重采样频率范围为B的100.00%、C的99.50%–99.95%、D的99.95%–100.00%；Swin-T分别为98.50%–99.80%、88.35%–97.90%、35.05%–73.90%。这些范围是各配置频率的外包络，不是合并置信区间。D中Swin-T的平均第二名仍有较大抽样不确定性；B/C中两个前列模型的配对F1差区间在全部六配置下包含零。D对应区间均为正，但属于未新增多重校正的描述性区间，不宣称通用架构优越性。</w:t>
      </w:r>
    </w:p>
    <w:p>
      <w:pPr>
        <w:jc w:val="center"/>
      </w:pPr>
      <w:r>
        <w:drawing>
          <wp:inline xmlns:a="http://schemas.openxmlformats.org/drawingml/2006/main" xmlns:pic="http://schemas.openxmlformats.org/drawingml/2006/picture">
            <wp:extent cx="5669280" cy="3221008"/>
            <wp:docPr id="7" name="Picture 7"/>
            <wp:cNvGraphicFramePr>
              <a:graphicFrameLocks noChangeAspect="1"/>
            </wp:cNvGraphicFramePr>
            <a:graphic>
              <a:graphicData uri="http://schemas.openxmlformats.org/drawingml/2006/picture">
                <pic:pic>
                  <pic:nvPicPr>
                    <pic:cNvPr id="0" name="rank_sensitivity.png"/>
                    <pic:cNvPicPr/>
                  </pic:nvPicPr>
                  <pic:blipFill>
                    <a:blip r:embed="rId16"/>
                    <a:stretch>
                      <a:fillRect/>
                    </a:stretch>
                  </pic:blipFill>
                  <pic:spPr>
                    <a:xfrm>
                      <a:off x="0" y="0"/>
                      <a:ext cx="5669280" cy="3221008"/>
                    </a:xfrm>
                    <a:prstGeom prst="rect"/>
                  </pic:spPr>
                </pic:pic>
              </a:graphicData>
            </a:graphic>
          </wp:inline>
        </w:drawing>
      </w:r>
    </w:p>
    <w:p>
      <w:pPr>
        <w:jc w:val="center"/>
      </w:pPr>
      <w:r>
        <w:rPr>
          <w:rFonts w:ascii="Times New Roman" w:hAnsi="Times New Roman" w:eastAsia="宋体"/>
          <w:sz w:val="18"/>
        </w:rPr>
        <w:t>图7 完整池排名与源图重采样的前两名频率。上排为三种子平均分数的点估计名次，下排为2000次联合源图重采样中进入前两名的频率，显示值四舍五入至整数。L/O为本地/线上，low/mid/high为unknown下界/中点/上界。该频率不是模型在真实世界最佳的概率。</w:t>
      </w:r>
    </w:p>
    <w:p>
      <w:pPr>
        <w:spacing w:line="324" w:lineRule="auto" w:after="80"/>
        <w:ind w:firstLine="420"/>
      </w:pPr>
      <w:r>
        <w:rPr>
          <w:rFonts w:ascii="Times New Roman" w:hAnsi="Times New Roman" w:eastAsia="宋体"/>
          <w:b w:val="0"/>
          <w:sz w:val="21"/>
        </w:rPr>
        <w:t>这支持完整池下的来源/unknown配置敏感性分析，并未解决第5.10节全字段一致子集的不可评价问题。二者分别改变风险层定义与筛选测试总体，应保持区分。</w:t>
      </w:r>
    </w:p>
    <w:p>
      <w:pPr>
        <w:pStyle w:val="Heading3"/>
      </w:pPr>
      <w:r>
        <w:t>5.12 官方二值属性参考与程序尺度核验</w:t>
      </w:r>
    </w:p>
    <w:p>
      <w:pPr>
        <w:spacing w:line="324" w:lineRule="auto" w:after="80"/>
        <w:ind w:firstLine="420"/>
      </w:pPr>
      <w:r>
        <w:rPr>
          <w:rFonts w:ascii="Times New Roman" w:hAnsi="Times New Roman" w:eastAsia="宋体"/>
          <w:b/>
          <w:sz w:val="21"/>
        </w:rPr>
        <w:t>表17 A中Open Images二值属性参考核验。指标条件于非unknown目标，正类为有遮挡/有截断；F1不是对象分类F1。</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D9EAF7"/>
          </w:tcPr>
          <w:p>
            <w:pPr>
              <w:spacing w:after="0"/>
            </w:pPr>
            <w:r>
              <w:rPr>
                <w:rFonts w:ascii="Times New Roman" w:hAnsi="Times New Roman" w:eastAsia="宋体"/>
                <w:b/>
                <w:sz w:val="17"/>
              </w:rPr>
              <w:t>字段</w:t>
            </w:r>
          </w:p>
        </w:tc>
        <w:tc>
          <w:tcPr>
            <w:tcW w:type="dxa" w:w="1045"/>
            <w:shd w:fill="D9EAF7"/>
          </w:tcPr>
          <w:p>
            <w:pPr>
              <w:spacing w:after="0"/>
            </w:pPr>
            <w:r>
              <w:rPr>
                <w:rFonts w:ascii="Times New Roman" w:hAnsi="Times New Roman" w:eastAsia="宋体"/>
                <w:b/>
                <w:sz w:val="17"/>
              </w:rPr>
              <w:t>来源</w:t>
            </w:r>
          </w:p>
        </w:tc>
        <w:tc>
          <w:tcPr>
            <w:tcW w:type="dxa" w:w="1045"/>
            <w:shd w:fill="D9EAF7"/>
          </w:tcPr>
          <w:p>
            <w:pPr>
              <w:spacing w:after="0"/>
            </w:pPr>
            <w:r>
              <w:rPr>
                <w:rFonts w:ascii="Times New Roman" w:hAnsi="Times New Roman" w:eastAsia="宋体"/>
                <w:b/>
                <w:sz w:val="17"/>
              </w:rPr>
              <w:t>有效/计划目标</w:t>
            </w:r>
          </w:p>
        </w:tc>
        <w:tc>
          <w:tcPr>
            <w:tcW w:type="dxa" w:w="1045"/>
            <w:shd w:fill="D9EAF7"/>
          </w:tcPr>
          <w:p>
            <w:pPr>
              <w:spacing w:after="0"/>
            </w:pPr>
            <w:r>
              <w:rPr>
                <w:rFonts w:ascii="Times New Roman" w:hAnsi="Times New Roman" w:eastAsia="宋体"/>
                <w:b/>
                <w:sz w:val="17"/>
              </w:rPr>
              <w:t>参考一致率（%）</w:t>
            </w:r>
          </w:p>
        </w:tc>
        <w:tc>
          <w:tcPr>
            <w:tcW w:type="dxa" w:w="1045"/>
            <w:shd w:fill="D9EAF7"/>
          </w:tcPr>
          <w:p>
            <w:pPr>
              <w:spacing w:after="0"/>
            </w:pPr>
            <w:r>
              <w:rPr>
                <w:rFonts w:ascii="Times New Roman" w:hAnsi="Times New Roman" w:eastAsia="宋体"/>
                <w:b/>
                <w:sz w:val="17"/>
              </w:rPr>
              <w:t>Precision（%）</w:t>
            </w:r>
          </w:p>
        </w:tc>
        <w:tc>
          <w:tcPr>
            <w:tcW w:type="dxa" w:w="1045"/>
            <w:shd w:fill="D9EAF7"/>
          </w:tcPr>
          <w:p>
            <w:pPr>
              <w:spacing w:after="0"/>
            </w:pPr>
            <w:r>
              <w:rPr>
                <w:rFonts w:ascii="Times New Roman" w:hAnsi="Times New Roman" w:eastAsia="宋体"/>
                <w:b/>
                <w:sz w:val="17"/>
              </w:rPr>
              <w:t>Recall（%）</w:t>
            </w:r>
          </w:p>
        </w:tc>
        <w:tc>
          <w:tcPr>
            <w:tcW w:type="dxa" w:w="1045"/>
            <w:shd w:fill="D9EAF7"/>
          </w:tcPr>
          <w:p>
            <w:pPr>
              <w:spacing w:after="0"/>
            </w:pPr>
            <w:r>
              <w:rPr>
                <w:rFonts w:ascii="Times New Roman" w:hAnsi="Times New Roman" w:eastAsia="宋体"/>
                <w:b/>
                <w:sz w:val="17"/>
              </w:rPr>
              <w:t>F1（%）</w:t>
            </w:r>
          </w:p>
        </w:tc>
        <w:tc>
          <w:tcPr>
            <w:tcW w:type="dxa" w:w="1045"/>
            <w:shd w:fill="D9EAF7"/>
          </w:tcPr>
          <w:p>
            <w:pPr>
              <w:spacing w:after="0"/>
            </w:pPr>
            <w:r>
              <w:rPr>
                <w:rFonts w:ascii="Times New Roman" w:hAnsi="Times New Roman" w:eastAsia="宋体"/>
                <w:b/>
                <w:sz w:val="17"/>
              </w:rPr>
              <w:t>Specificity（%）</w:t>
            </w:r>
          </w:p>
        </w:tc>
        <w:tc>
          <w:tcPr>
            <w:tcW w:type="dxa" w:w="1045"/>
            <w:shd w:fill="D9EAF7"/>
          </w:tcPr>
          <w:p>
            <w:pPr>
              <w:spacing w:after="0"/>
            </w:pPr>
            <w:r>
              <w:rPr>
                <w:rFonts w:ascii="Times New Roman" w:hAnsi="Times New Roman" w:eastAsia="宋体"/>
                <w:b/>
                <w:sz w:val="17"/>
              </w:rPr>
              <w:t>Kappa</w:t>
            </w:r>
          </w:p>
        </w:tc>
      </w:tr>
      <w:tr>
        <w:tc>
          <w:tcPr>
            <w:tcW w:type="dxa" w:w="1045"/>
          </w:tcPr>
          <w:p>
            <w:pPr>
              <w:spacing w:after="0"/>
            </w:pPr>
            <w:r>
              <w:rPr>
                <w:rFonts w:ascii="Times New Roman" w:hAnsi="Times New Roman" w:eastAsia="宋体"/>
                <w:b w:val="0"/>
                <w:sz w:val="17"/>
              </w:rPr>
              <w:t>遮挡</w:t>
            </w:r>
          </w:p>
        </w:tc>
        <w:tc>
          <w:tcPr>
            <w:tcW w:type="dxa" w:w="1045"/>
          </w:tcPr>
          <w:p>
            <w:pPr>
              <w:spacing w:after="0"/>
            </w:pPr>
            <w:r>
              <w:rPr>
                <w:rFonts w:ascii="Times New Roman" w:hAnsi="Times New Roman" w:eastAsia="宋体"/>
                <w:b w:val="0"/>
                <w:sz w:val="17"/>
              </w:rPr>
              <w:t>本地</w:t>
            </w:r>
          </w:p>
        </w:tc>
        <w:tc>
          <w:tcPr>
            <w:tcW w:type="dxa" w:w="1045"/>
          </w:tcPr>
          <w:p>
            <w:pPr>
              <w:spacing w:after="0"/>
            </w:pPr>
            <w:r>
              <w:rPr>
                <w:rFonts w:ascii="Times New Roman" w:hAnsi="Times New Roman" w:eastAsia="宋体"/>
                <w:b w:val="0"/>
                <w:sz w:val="17"/>
              </w:rPr>
              <w:t>2289/2289</w:t>
            </w:r>
          </w:p>
        </w:tc>
        <w:tc>
          <w:tcPr>
            <w:tcW w:type="dxa" w:w="1045"/>
          </w:tcPr>
          <w:p>
            <w:pPr>
              <w:spacing w:after="0"/>
            </w:pPr>
            <w:r>
              <w:rPr>
                <w:rFonts w:ascii="Times New Roman" w:hAnsi="Times New Roman" w:eastAsia="宋体"/>
                <w:b w:val="0"/>
                <w:sz w:val="17"/>
              </w:rPr>
              <w:t>61.16</w:t>
            </w:r>
          </w:p>
        </w:tc>
        <w:tc>
          <w:tcPr>
            <w:tcW w:type="dxa" w:w="1045"/>
          </w:tcPr>
          <w:p>
            <w:pPr>
              <w:spacing w:after="0"/>
            </w:pPr>
            <w:r>
              <w:rPr>
                <w:rFonts w:ascii="Times New Roman" w:hAnsi="Times New Roman" w:eastAsia="宋体"/>
                <w:b w:val="0"/>
                <w:sz w:val="17"/>
              </w:rPr>
              <w:t>56.21</w:t>
            </w:r>
          </w:p>
        </w:tc>
        <w:tc>
          <w:tcPr>
            <w:tcW w:type="dxa" w:w="1045"/>
          </w:tcPr>
          <w:p>
            <w:pPr>
              <w:spacing w:after="0"/>
            </w:pPr>
            <w:r>
              <w:rPr>
                <w:rFonts w:ascii="Times New Roman" w:hAnsi="Times New Roman" w:eastAsia="宋体"/>
                <w:b w:val="0"/>
                <w:sz w:val="17"/>
              </w:rPr>
              <w:t>82.43</w:t>
            </w:r>
          </w:p>
        </w:tc>
        <w:tc>
          <w:tcPr>
            <w:tcW w:type="dxa" w:w="1045"/>
          </w:tcPr>
          <w:p>
            <w:pPr>
              <w:spacing w:after="0"/>
            </w:pPr>
            <w:r>
              <w:rPr>
                <w:rFonts w:ascii="Times New Roman" w:hAnsi="Times New Roman" w:eastAsia="宋体"/>
                <w:b w:val="0"/>
                <w:sz w:val="17"/>
              </w:rPr>
              <w:t>66.84</w:t>
            </w:r>
          </w:p>
        </w:tc>
        <w:tc>
          <w:tcPr>
            <w:tcW w:type="dxa" w:w="1045"/>
          </w:tcPr>
          <w:p>
            <w:pPr>
              <w:spacing w:after="0"/>
            </w:pPr>
            <w:r>
              <w:rPr>
                <w:rFonts w:ascii="Times New Roman" w:hAnsi="Times New Roman" w:eastAsia="宋体"/>
                <w:b w:val="0"/>
                <w:sz w:val="17"/>
              </w:rPr>
              <w:t>41.93</w:t>
            </w:r>
          </w:p>
        </w:tc>
        <w:tc>
          <w:tcPr>
            <w:tcW w:type="dxa" w:w="1045"/>
          </w:tcPr>
          <w:p>
            <w:pPr>
              <w:spacing w:after="0"/>
            </w:pPr>
            <w:r>
              <w:rPr>
                <w:rFonts w:ascii="Times New Roman" w:hAnsi="Times New Roman" w:eastAsia="宋体"/>
                <w:b w:val="0"/>
                <w:sz w:val="17"/>
              </w:rPr>
              <w:t>0.238</w:t>
            </w:r>
          </w:p>
        </w:tc>
      </w:tr>
      <w:tr>
        <w:tc>
          <w:tcPr>
            <w:tcW w:type="dxa" w:w="1045"/>
          </w:tcPr>
          <w:p>
            <w:pPr>
              <w:spacing w:after="0"/>
            </w:pPr>
            <w:r>
              <w:rPr>
                <w:rFonts w:ascii="Times New Roman" w:hAnsi="Times New Roman" w:eastAsia="宋体"/>
                <w:b w:val="0"/>
                <w:sz w:val="17"/>
              </w:rPr>
              <w:t>遮挡</w:t>
            </w:r>
          </w:p>
        </w:tc>
        <w:tc>
          <w:tcPr>
            <w:tcW w:type="dxa" w:w="1045"/>
          </w:tcPr>
          <w:p>
            <w:pPr>
              <w:spacing w:after="0"/>
            </w:pPr>
            <w:r>
              <w:rPr>
                <w:rFonts w:ascii="Times New Roman" w:hAnsi="Times New Roman" w:eastAsia="宋体"/>
                <w:b w:val="0"/>
                <w:sz w:val="17"/>
              </w:rPr>
              <w:t>线上</w:t>
            </w:r>
          </w:p>
        </w:tc>
        <w:tc>
          <w:tcPr>
            <w:tcW w:type="dxa" w:w="1045"/>
          </w:tcPr>
          <w:p>
            <w:pPr>
              <w:spacing w:after="0"/>
            </w:pPr>
            <w:r>
              <w:rPr>
                <w:rFonts w:ascii="Times New Roman" w:hAnsi="Times New Roman" w:eastAsia="宋体"/>
                <w:b w:val="0"/>
                <w:sz w:val="17"/>
              </w:rPr>
              <w:t>2284/2289</w:t>
            </w:r>
          </w:p>
        </w:tc>
        <w:tc>
          <w:tcPr>
            <w:tcW w:type="dxa" w:w="1045"/>
          </w:tcPr>
          <w:p>
            <w:pPr>
              <w:spacing w:after="0"/>
            </w:pPr>
            <w:r>
              <w:rPr>
                <w:rFonts w:ascii="Times New Roman" w:hAnsi="Times New Roman" w:eastAsia="宋体"/>
                <w:b w:val="0"/>
                <w:sz w:val="17"/>
              </w:rPr>
              <w:t>66.07</w:t>
            </w:r>
          </w:p>
        </w:tc>
        <w:tc>
          <w:tcPr>
            <w:tcW w:type="dxa" w:w="1045"/>
          </w:tcPr>
          <w:p>
            <w:pPr>
              <w:spacing w:after="0"/>
            </w:pPr>
            <w:r>
              <w:rPr>
                <w:rFonts w:ascii="Times New Roman" w:hAnsi="Times New Roman" w:eastAsia="宋体"/>
                <w:b w:val="0"/>
                <w:sz w:val="17"/>
              </w:rPr>
              <w:t>60.50</w:t>
            </w:r>
          </w:p>
        </w:tc>
        <w:tc>
          <w:tcPr>
            <w:tcW w:type="dxa" w:w="1045"/>
          </w:tcPr>
          <w:p>
            <w:pPr>
              <w:spacing w:after="0"/>
            </w:pPr>
            <w:r>
              <w:rPr>
                <w:rFonts w:ascii="Times New Roman" w:hAnsi="Times New Roman" w:eastAsia="宋体"/>
                <w:b w:val="0"/>
                <w:sz w:val="17"/>
              </w:rPr>
              <w:t>82.10</w:t>
            </w:r>
          </w:p>
        </w:tc>
        <w:tc>
          <w:tcPr>
            <w:tcW w:type="dxa" w:w="1045"/>
          </w:tcPr>
          <w:p>
            <w:pPr>
              <w:spacing w:after="0"/>
            </w:pPr>
            <w:r>
              <w:rPr>
                <w:rFonts w:ascii="Times New Roman" w:hAnsi="Times New Roman" w:eastAsia="宋体"/>
                <w:b w:val="0"/>
                <w:sz w:val="17"/>
              </w:rPr>
              <w:t>69.67</w:t>
            </w:r>
          </w:p>
        </w:tc>
        <w:tc>
          <w:tcPr>
            <w:tcW w:type="dxa" w:w="1045"/>
          </w:tcPr>
          <w:p>
            <w:pPr>
              <w:spacing w:after="0"/>
            </w:pPr>
            <w:r>
              <w:rPr>
                <w:rFonts w:ascii="Times New Roman" w:hAnsi="Times New Roman" w:eastAsia="宋体"/>
                <w:b w:val="0"/>
                <w:sz w:val="17"/>
              </w:rPr>
              <w:t>51.58</w:t>
            </w:r>
          </w:p>
        </w:tc>
        <w:tc>
          <w:tcPr>
            <w:tcW w:type="dxa" w:w="1045"/>
          </w:tcPr>
          <w:p>
            <w:pPr>
              <w:spacing w:after="0"/>
            </w:pPr>
            <w:r>
              <w:rPr>
                <w:rFonts w:ascii="Times New Roman" w:hAnsi="Times New Roman" w:eastAsia="宋体"/>
                <w:b w:val="0"/>
                <w:sz w:val="17"/>
              </w:rPr>
              <w:t>0.331</w:t>
            </w:r>
          </w:p>
        </w:tc>
      </w:tr>
      <w:tr>
        <w:tc>
          <w:tcPr>
            <w:tcW w:type="dxa" w:w="1045"/>
          </w:tcPr>
          <w:p>
            <w:pPr>
              <w:spacing w:after="0"/>
            </w:pPr>
            <w:r>
              <w:rPr>
                <w:rFonts w:ascii="Times New Roman" w:hAnsi="Times New Roman" w:eastAsia="宋体"/>
                <w:b w:val="0"/>
                <w:sz w:val="17"/>
              </w:rPr>
              <w:t>截断</w:t>
            </w:r>
          </w:p>
        </w:tc>
        <w:tc>
          <w:tcPr>
            <w:tcW w:type="dxa" w:w="1045"/>
          </w:tcPr>
          <w:p>
            <w:pPr>
              <w:spacing w:after="0"/>
            </w:pPr>
            <w:r>
              <w:rPr>
                <w:rFonts w:ascii="Times New Roman" w:hAnsi="Times New Roman" w:eastAsia="宋体"/>
                <w:b w:val="0"/>
                <w:sz w:val="17"/>
              </w:rPr>
              <w:t>本地</w:t>
            </w:r>
          </w:p>
        </w:tc>
        <w:tc>
          <w:tcPr>
            <w:tcW w:type="dxa" w:w="1045"/>
          </w:tcPr>
          <w:p>
            <w:pPr>
              <w:spacing w:after="0"/>
            </w:pPr>
            <w:r>
              <w:rPr>
                <w:rFonts w:ascii="Times New Roman" w:hAnsi="Times New Roman" w:eastAsia="宋体"/>
                <w:b w:val="0"/>
                <w:sz w:val="17"/>
              </w:rPr>
              <w:t>2289/2289</w:t>
            </w:r>
          </w:p>
        </w:tc>
        <w:tc>
          <w:tcPr>
            <w:tcW w:type="dxa" w:w="1045"/>
          </w:tcPr>
          <w:p>
            <w:pPr>
              <w:spacing w:after="0"/>
            </w:pPr>
            <w:r>
              <w:rPr>
                <w:rFonts w:ascii="Times New Roman" w:hAnsi="Times New Roman" w:eastAsia="宋体"/>
                <w:b w:val="0"/>
                <w:sz w:val="17"/>
              </w:rPr>
              <w:t>67.50</w:t>
            </w:r>
          </w:p>
        </w:tc>
        <w:tc>
          <w:tcPr>
            <w:tcW w:type="dxa" w:w="1045"/>
          </w:tcPr>
          <w:p>
            <w:pPr>
              <w:spacing w:after="0"/>
            </w:pPr>
            <w:r>
              <w:rPr>
                <w:rFonts w:ascii="Times New Roman" w:hAnsi="Times New Roman" w:eastAsia="宋体"/>
                <w:b w:val="0"/>
                <w:sz w:val="17"/>
              </w:rPr>
              <w:t>52.07</w:t>
            </w:r>
          </w:p>
        </w:tc>
        <w:tc>
          <w:tcPr>
            <w:tcW w:type="dxa" w:w="1045"/>
          </w:tcPr>
          <w:p>
            <w:pPr>
              <w:spacing w:after="0"/>
            </w:pPr>
            <w:r>
              <w:rPr>
                <w:rFonts w:ascii="Times New Roman" w:hAnsi="Times New Roman" w:eastAsia="宋体"/>
                <w:b w:val="0"/>
                <w:sz w:val="17"/>
              </w:rPr>
              <w:t>88.12</w:t>
            </w:r>
          </w:p>
        </w:tc>
        <w:tc>
          <w:tcPr>
            <w:tcW w:type="dxa" w:w="1045"/>
          </w:tcPr>
          <w:p>
            <w:pPr>
              <w:spacing w:after="0"/>
            </w:pPr>
            <w:r>
              <w:rPr>
                <w:rFonts w:ascii="Times New Roman" w:hAnsi="Times New Roman" w:eastAsia="宋体"/>
                <w:b w:val="0"/>
                <w:sz w:val="17"/>
              </w:rPr>
              <w:t>65.46</w:t>
            </w:r>
          </w:p>
        </w:tc>
        <w:tc>
          <w:tcPr>
            <w:tcW w:type="dxa" w:w="1045"/>
          </w:tcPr>
          <w:p>
            <w:pPr>
              <w:spacing w:after="0"/>
            </w:pPr>
            <w:r>
              <w:rPr>
                <w:rFonts w:ascii="Times New Roman" w:hAnsi="Times New Roman" w:eastAsia="宋体"/>
                <w:b w:val="0"/>
                <w:sz w:val="17"/>
              </w:rPr>
              <w:t>56.41</w:t>
            </w:r>
          </w:p>
        </w:tc>
        <w:tc>
          <w:tcPr>
            <w:tcW w:type="dxa" w:w="1045"/>
          </w:tcPr>
          <w:p>
            <w:pPr>
              <w:spacing w:after="0"/>
            </w:pPr>
            <w:r>
              <w:rPr>
                <w:rFonts w:ascii="Times New Roman" w:hAnsi="Times New Roman" w:eastAsia="宋体"/>
                <w:b w:val="0"/>
                <w:sz w:val="17"/>
              </w:rPr>
              <w:t>0.384</w:t>
            </w:r>
          </w:p>
        </w:tc>
      </w:tr>
      <w:tr>
        <w:tc>
          <w:tcPr>
            <w:tcW w:type="dxa" w:w="1045"/>
          </w:tcPr>
          <w:p>
            <w:pPr>
              <w:spacing w:after="0"/>
            </w:pPr>
            <w:r>
              <w:rPr>
                <w:rFonts w:ascii="Times New Roman" w:hAnsi="Times New Roman" w:eastAsia="宋体"/>
                <w:b w:val="0"/>
                <w:sz w:val="17"/>
              </w:rPr>
              <w:t>截断</w:t>
            </w:r>
          </w:p>
        </w:tc>
        <w:tc>
          <w:tcPr>
            <w:tcW w:type="dxa" w:w="1045"/>
          </w:tcPr>
          <w:p>
            <w:pPr>
              <w:spacing w:after="0"/>
            </w:pPr>
            <w:r>
              <w:rPr>
                <w:rFonts w:ascii="Times New Roman" w:hAnsi="Times New Roman" w:eastAsia="宋体"/>
                <w:b w:val="0"/>
                <w:sz w:val="17"/>
              </w:rPr>
              <w:t>线上</w:t>
            </w:r>
          </w:p>
        </w:tc>
        <w:tc>
          <w:tcPr>
            <w:tcW w:type="dxa" w:w="1045"/>
          </w:tcPr>
          <w:p>
            <w:pPr>
              <w:spacing w:after="0"/>
            </w:pPr>
            <w:r>
              <w:rPr>
                <w:rFonts w:ascii="Times New Roman" w:hAnsi="Times New Roman" w:eastAsia="宋体"/>
                <w:b w:val="0"/>
                <w:sz w:val="17"/>
              </w:rPr>
              <w:t>2287/2289</w:t>
            </w:r>
          </w:p>
        </w:tc>
        <w:tc>
          <w:tcPr>
            <w:tcW w:type="dxa" w:w="1045"/>
          </w:tcPr>
          <w:p>
            <w:pPr>
              <w:spacing w:after="0"/>
            </w:pPr>
            <w:r>
              <w:rPr>
                <w:rFonts w:ascii="Times New Roman" w:hAnsi="Times New Roman" w:eastAsia="宋体"/>
                <w:b w:val="0"/>
                <w:sz w:val="17"/>
              </w:rPr>
              <w:t>79.62</w:t>
            </w:r>
          </w:p>
        </w:tc>
        <w:tc>
          <w:tcPr>
            <w:tcW w:type="dxa" w:w="1045"/>
          </w:tcPr>
          <w:p>
            <w:pPr>
              <w:spacing w:after="0"/>
            </w:pPr>
            <w:r>
              <w:rPr>
                <w:rFonts w:ascii="Times New Roman" w:hAnsi="Times New Roman" w:eastAsia="宋体"/>
                <w:b w:val="0"/>
                <w:sz w:val="17"/>
              </w:rPr>
              <w:t>66.73</w:t>
            </w:r>
          </w:p>
        </w:tc>
        <w:tc>
          <w:tcPr>
            <w:tcW w:type="dxa" w:w="1045"/>
          </w:tcPr>
          <w:p>
            <w:pPr>
              <w:spacing w:after="0"/>
            </w:pPr>
            <w:r>
              <w:rPr>
                <w:rFonts w:ascii="Times New Roman" w:hAnsi="Times New Roman" w:eastAsia="宋体"/>
                <w:b w:val="0"/>
                <w:sz w:val="17"/>
              </w:rPr>
              <w:t>83.25</w:t>
            </w:r>
          </w:p>
        </w:tc>
        <w:tc>
          <w:tcPr>
            <w:tcW w:type="dxa" w:w="1045"/>
          </w:tcPr>
          <w:p>
            <w:pPr>
              <w:spacing w:after="0"/>
            </w:pPr>
            <w:r>
              <w:rPr>
                <w:rFonts w:ascii="Times New Roman" w:hAnsi="Times New Roman" w:eastAsia="宋体"/>
                <w:b w:val="0"/>
                <w:sz w:val="17"/>
              </w:rPr>
              <w:t>74.08</w:t>
            </w:r>
          </w:p>
        </w:tc>
        <w:tc>
          <w:tcPr>
            <w:tcW w:type="dxa" w:w="1045"/>
          </w:tcPr>
          <w:p>
            <w:pPr>
              <w:spacing w:after="0"/>
            </w:pPr>
            <w:r>
              <w:rPr>
                <w:rFonts w:ascii="Times New Roman" w:hAnsi="Times New Roman" w:eastAsia="宋体"/>
                <w:b w:val="0"/>
                <w:sz w:val="17"/>
              </w:rPr>
              <w:t>77.67</w:t>
            </w:r>
          </w:p>
        </w:tc>
        <w:tc>
          <w:tcPr>
            <w:tcW w:type="dxa" w:w="1045"/>
          </w:tcPr>
          <w:p>
            <w:pPr>
              <w:spacing w:after="0"/>
            </w:pPr>
            <w:r>
              <w:rPr>
                <w:rFonts w:ascii="Times New Roman" w:hAnsi="Times New Roman" w:eastAsia="宋体"/>
                <w:b w:val="0"/>
                <w:sz w:val="17"/>
              </w:rPr>
              <w:t>0.576</w:t>
            </w:r>
          </w:p>
        </w:tc>
      </w:tr>
    </w:tbl>
    <w:p/>
    <w:p>
      <w:pPr>
        <w:spacing w:line="324" w:lineRule="auto" w:after="80"/>
        <w:ind w:firstLine="420"/>
      </w:pPr>
      <w:r>
        <w:rPr>
          <w:rFonts w:ascii="Times New Roman" w:hAnsi="Times New Roman" w:eastAsia="宋体"/>
          <w:b w:val="0"/>
          <w:sz w:val="21"/>
        </w:rPr>
        <w:t>官方参考目标中五类各400图，sheep仅289图；因此同时给出类别等权指标。遮挡本地/线上类别平均F1为66.37%/68.93%，截断为65.69%/74.08%。目标加权F1的2000次类别源图区间分别为遮挡本地[64.70, 68.83]%、线上[67.62, 71.70]%，截断本地[63.12, 67.72]%、线上[71.81, 76.26]%。所有类别混淆矩阵、Wilson一致率区间、Balanced Accuracy及来源配对差保留在补充结果。官方遮挡和截断属性分别描述被其他对象遮挡、对象延伸超出图像边界，属于二值参考。</w:t>
      </w:r>
      <w:r>
        <w:rPr>
          <w:rFonts w:ascii="Times New Roman" w:hAnsi="Times New Roman" w:eastAsia="宋体"/>
          <w:b w:val="0"/>
          <w:sz w:val="21"/>
        </w:rPr>
        <w:t>Open Images属性定义（https://storage.googleapis.com/openimages/web/download_v7.html）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遮挡二值参考的Recall高于Precision，Specificity较低，表现为相对官方参考有较多阳性误报。线上截断参考一致性较好，但字段与来源差异不能归并为全状态准确率。已有官方标签提供部分外部参考，并不验证完整严重度等级、朝向或其他共享字段。</w:t>
      </w:r>
    </w:p>
    <w:p>
      <w:pPr>
        <w:jc w:val="center"/>
      </w:pPr>
      <w:r>
        <w:drawing>
          <wp:inline xmlns:a="http://schemas.openxmlformats.org/drawingml/2006/main" xmlns:pic="http://schemas.openxmlformats.org/drawingml/2006/picture">
            <wp:extent cx="5669280" cy="3014534"/>
            <wp:docPr id="8" name="Picture 8"/>
            <wp:cNvGraphicFramePr>
              <a:graphicFrameLocks noChangeAspect="1"/>
            </wp:cNvGraphicFramePr>
            <a:graphic>
              <a:graphicData uri="http://schemas.openxmlformats.org/drawingml/2006/picture">
                <pic:pic>
                  <pic:nvPicPr>
                    <pic:cNvPr id="0" name="attribute_reference.png"/>
                    <pic:cNvPicPr/>
                  </pic:nvPicPr>
                  <pic:blipFill>
                    <a:blip r:embed="rId17"/>
                    <a:stretch>
                      <a:fillRect/>
                    </a:stretch>
                  </pic:blipFill>
                  <pic:spPr>
                    <a:xfrm>
                      <a:off x="0" y="0"/>
                      <a:ext cx="5669280" cy="3014534"/>
                    </a:xfrm>
                    <a:prstGeom prst="rect"/>
                  </pic:spPr>
                </pic:pic>
              </a:graphicData>
            </a:graphic>
          </wp:inline>
        </w:drawing>
      </w:r>
    </w:p>
    <w:p>
      <w:pPr>
        <w:jc w:val="center"/>
      </w:pPr>
      <w:r>
        <w:rPr>
          <w:rFonts w:ascii="Times New Roman" w:hAnsi="Times New Roman" w:eastAsia="宋体"/>
          <w:sz w:val="18"/>
        </w:rPr>
        <w:t>图8 官方二值属性参考F1及95%源图区间。圆点为本地，方点为线上；上六行为逐类别，下两行为目标加权与类别等权汇总。unknown单列并排除于相应来源的指标计算。</w:t>
      </w:r>
    </w:p>
    <w:p>
      <w:pPr>
        <w:spacing w:line="324" w:lineRule="auto" w:after="80"/>
        <w:ind w:firstLine="420"/>
      </w:pPr>
      <w:r>
        <w:rPr>
          <w:rFonts w:ascii="Times New Roman" w:hAnsi="Times New Roman" w:eastAsia="宋体"/>
          <w:b w:val="0"/>
          <w:sz w:val="21"/>
        </w:rPr>
        <w:t>A/B/C/D合计7800个目标的尺度枚举与框坐标面积复算全部一致，裁到图像边界后也无尺度标签变化。D四个官方框存在最多0.0006714像素的边界舍入超出，符合原资格的0.001像素容差。本轮首次严格边界断言因此停止，随后以独立恢复脚本沿用原资格；失败记录及修订哈希保留。尺度结果是程序一致性，不能替代其余视觉字段的语义核验。</w:t>
      </w:r>
    </w:p>
    <w:p>
      <w:pPr>
        <w:pStyle w:val="Heading2"/>
      </w:pPr>
      <w:r>
        <w:t>6 讨论</w:t>
      </w:r>
    </w:p>
    <w:p>
      <w:pPr>
        <w:pStyle w:val="Heading3"/>
      </w:pPr>
      <w:r>
        <w:t>6.1 研究支持什么样的测试结论</w:t>
      </w:r>
    </w:p>
    <w:p>
      <w:pPr>
        <w:spacing w:line="324" w:lineRule="auto" w:after="80"/>
        <w:ind w:firstLine="420"/>
      </w:pPr>
      <w:r>
        <w:rPr>
          <w:rFonts w:ascii="Times New Roman" w:hAnsi="Times New Roman" w:eastAsia="宋体"/>
          <w:b w:val="0"/>
          <w:sz w:val="21"/>
        </w:rPr>
        <w:t>最充分的证据来自完整风险层比较：在六类、八种模型及COCO/VOC2007/Objects365三个确认来源中，两种自动风险分层的最高层F1均低于最低层。风险规则不读取分类器输出，因此不是直接按错误排序产生的差异。Objects365中多数冻结弱状态还保留负向方向，补充了单池探索和VOC低支持分析。</w:t>
      </w:r>
    </w:p>
    <w:p>
      <w:pPr>
        <w:spacing w:line="324" w:lineRule="auto" w:after="80"/>
        <w:ind w:firstLine="420"/>
      </w:pPr>
      <w:r>
        <w:rPr>
          <w:rFonts w:ascii="Times New Roman" w:hAnsi="Times New Roman" w:eastAsia="宋体"/>
          <w:b w:val="0"/>
          <w:sz w:val="21"/>
        </w:rPr>
        <w:t>其测试意义在于将模型评价从一个总体分数展开为条件响应。总体分数仍然有用，但测试者可以同时看到高风险层表现、类别响应及具体状态落差，从而判断现有测试证据是否包含关注的条件。本文没有证明风险评分已经刻画所有难度，也没有提出一个可以替代全部测试充分性的单一分数。</w:t>
      </w:r>
    </w:p>
    <w:p>
      <w:pPr>
        <w:pStyle w:val="Heading3"/>
      </w:pPr>
      <w:r>
        <w:t>6.2 覆盖、难度与性能为何不应合并为一个指标</w:t>
      </w:r>
    </w:p>
    <w:p>
      <w:pPr>
        <w:spacing w:line="324" w:lineRule="auto" w:after="80"/>
        <w:ind w:firstLine="420"/>
      </w:pPr>
      <w:r>
        <w:rPr>
          <w:rFonts w:ascii="Times New Roman" w:hAnsi="Times New Roman" w:eastAsia="宋体"/>
          <w:b w:val="0"/>
          <w:sz w:val="21"/>
        </w:rPr>
        <w:t>覆盖描述状态证据的广度与频次，风险描述一组预定义困难条件，性能描述固定模型在当前样本构成下的正确性。三者相关但不相同。向测试集加入更多容易识别的新状态，可能同时提高覆盖与F1；加入更多困难状态，可能提高覆盖并降低F1。Precision还会受到类别间误报流向影响，不能预设它必须与Recall同向。</w:t>
      </w:r>
    </w:p>
    <w:p>
      <w:pPr>
        <w:spacing w:line="324" w:lineRule="auto" w:after="80"/>
        <w:ind w:firstLine="420"/>
      </w:pPr>
      <w:r>
        <w:rPr>
          <w:rFonts w:ascii="Times New Roman" w:hAnsi="Times New Roman" w:eastAsia="宋体"/>
          <w:b w:val="0"/>
          <w:sz w:val="21"/>
        </w:rPr>
        <w:t>因此，本文没有将F1下降设为测试策略有效性的充分条件。一个策略即使挑出很少几种重复困难样本，也可能取得较高错误率；另一个策略可能错误较少但揭示更广的失败类型。等错误数诊断对照正是为了区分这两种情况。</w:t>
      </w:r>
    </w:p>
    <w:p>
      <w:pPr>
        <w:pStyle w:val="Heading3"/>
      </w:pPr>
      <w:r>
        <w:t>6.3 Coverage的附加价值是有条件的</w:t>
      </w:r>
    </w:p>
    <w:p>
      <w:pPr>
        <w:spacing w:line="324" w:lineRule="auto" w:after="80"/>
        <w:ind w:firstLine="420"/>
      </w:pPr>
      <w:r>
        <w:rPr>
          <w:rFonts w:ascii="Times New Roman" w:hAnsi="Times New Roman" w:eastAsia="宋体"/>
          <w:b w:val="0"/>
          <w:sz w:val="21"/>
        </w:rPr>
        <w:t>共同配额协议表明，覆盖选样在部分设置下增加混淆类型和错误簇的广度。VOC的本地来源未复现该收益，VOC精确风险匹配四项也未通过校正；统一ViT表征改变了错误簇结论。因此，现有证据支持把Coverage作为测试组织与解释工具，并报告它何时提供额外信息，而不足以将其称为独立于所有难度、表征和数据来源的诊断方法。</w:t>
      </w:r>
    </w:p>
    <w:p>
      <w:pPr>
        <w:spacing w:line="324" w:lineRule="auto" w:after="80"/>
        <w:ind w:firstLine="420"/>
      </w:pPr>
      <w:r>
        <w:rPr>
          <w:rFonts w:ascii="Times New Roman" w:hAnsi="Times New Roman" w:eastAsia="宋体"/>
          <w:b w:val="0"/>
          <w:sz w:val="21"/>
        </w:rPr>
        <w:t>Objects365共同配额的四项主要比较均支持正向，但精确风险匹配仅一项通过，强基线及全20项统一检验未通过。新来源确认扩大的是风险层关联与部分状态诊断的经验范围，而不是取消原负结果或证明Coverage全面优越。</w:t>
      </w:r>
    </w:p>
    <w:p>
      <w:pPr>
        <w:spacing w:line="324" w:lineRule="auto" w:after="80"/>
        <w:ind w:firstLine="420"/>
      </w:pPr>
      <w:r>
        <w:rPr>
          <w:rFonts w:ascii="Times New Roman" w:hAnsi="Times New Roman" w:eastAsia="宋体"/>
          <w:b w:val="0"/>
          <w:sz w:val="21"/>
        </w:rPr>
        <w:t>双标注器差异可能来自状态枚举理解、未知处理或同一图像的视觉描述差异，当前缺乏人工状态真值，无法确定哪一种标注更正确。线上结果更有利于某项比较，也不能据此选择性删除本地结果。</w:t>
      </w:r>
    </w:p>
    <w:p>
      <w:pPr>
        <w:pStyle w:val="Heading3"/>
      </w:pPr>
      <w:r>
        <w:t>6.4 模型能力比较应结合水平、响应与条件</w:t>
      </w:r>
    </w:p>
    <w:p>
      <w:pPr>
        <w:spacing w:line="324" w:lineRule="auto" w:after="80"/>
        <w:ind w:firstLine="420"/>
      </w:pPr>
      <w:r>
        <w:rPr>
          <w:rFonts w:ascii="Times New Roman" w:hAnsi="Times New Roman" w:eastAsia="宋体"/>
          <w:b w:val="0"/>
          <w:sz w:val="21"/>
        </w:rPr>
        <w:t>高风险层性能回答“模型在较困难条件下能识别多少”，风险差回答“从较低风险到较高风险变化有多大”，状态诊断回答“哪些具体条件需要关注”。三者提供互补信息。完整池六配置保持ConvNeXt-Tiny和Swin-T的平均前两名，但源图重采样显示D中第二名不稳定。模型选择应同时报告条件定义与先后不确定性，不能只依据平均排序给出通用最佳模型。</w:t>
      </w:r>
    </w:p>
    <w:p>
      <w:pPr>
        <w:pStyle w:val="Heading3"/>
      </w:pPr>
      <w:r>
        <w:t>6.5 状态复现需要足够的条件证据</w:t>
      </w:r>
    </w:p>
    <w:p>
      <w:pPr>
        <w:spacing w:line="324" w:lineRule="auto" w:after="80"/>
        <w:ind w:firstLine="420"/>
      </w:pPr>
      <w:r>
        <w:rPr>
          <w:rFonts w:ascii="Times New Roman" w:hAnsi="Times New Roman" w:eastAsia="宋体"/>
          <w:b w:val="0"/>
          <w:sz w:val="21"/>
        </w:rPr>
        <w:t>状态诊断的可复现性依赖候选池中相应状态是否有足够样本。VOC确认池统一较小，沿用至少20个目标的支持门槛后，仅少数冻结组合可评价。降低门槛或事后重挑状态可以增加表面可评价数量，却会改变原确认问题。本文保留原门槛，将VOC中的状态复现列为证据不足，不用单个负向案例代替确认。</w:t>
      </w:r>
    </w:p>
    <w:p>
      <w:pPr>
        <w:spacing w:line="324" w:lineRule="auto" w:after="80"/>
        <w:ind w:firstLine="420"/>
      </w:pPr>
      <w:r>
        <w:rPr>
          <w:rFonts w:ascii="Times New Roman" w:hAnsi="Times New Roman" w:eastAsia="宋体"/>
          <w:b w:val="0"/>
          <w:sz w:val="21"/>
        </w:rPr>
        <w:t>Objects365提高了冻结状态可评价率：160/175组合达到原支持门槛，但仅多数而非全部保持负向。严格多字段一致又使六类极端风险层失去足够支持，说明“增加确认样本”与“缩小标签歧义”是不同问题。实践上可以报告逐字段一致的条件证据，并显式保留未确认字段；不能将一致子集称为清洁真值数据集。</w:t>
      </w:r>
    </w:p>
    <w:p>
      <w:pPr>
        <w:pStyle w:val="Heading2"/>
      </w:pPr>
      <w:r>
        <w:t>7 有效性威胁与适用范围</w:t>
      </w:r>
    </w:p>
    <w:p>
      <w:pPr>
        <w:spacing w:line="324" w:lineRule="auto" w:after="80"/>
        <w:ind w:firstLine="420"/>
      </w:pPr>
      <w:r>
        <w:rPr>
          <w:rFonts w:ascii="Times New Roman" w:hAnsi="Times New Roman" w:eastAsia="宋体"/>
          <w:b/>
          <w:sz w:val="21"/>
        </w:rPr>
        <w:t>构念有效性。</w:t>
      </w:r>
      <w:r>
        <w:rPr>
          <w:rFonts w:ascii="Times New Roman" w:hAnsi="Times New Roman" w:eastAsia="宋体"/>
          <w:b w:val="0"/>
          <w:sz w:val="21"/>
        </w:rPr>
        <w:t xml:space="preserve"> 可见视觉状态是有限描述，频次覆盖不是完整状态组合覆盖，也不代表真实场景全部条件。风险五维存在相关性，固定权重未独立校准，分位层具有相对性。错误簇是表征代理而非缺陷根因，统一表征敏感性结果表明其定义影响结论。</w:t>
      </w:r>
    </w:p>
    <w:p>
      <w:pPr>
        <w:spacing w:line="324" w:lineRule="auto" w:after="80"/>
        <w:ind w:firstLine="420"/>
      </w:pPr>
      <w:r>
        <w:rPr>
          <w:rFonts w:ascii="Times New Roman" w:hAnsi="Times New Roman" w:eastAsia="宋体"/>
          <w:b/>
          <w:sz w:val="21"/>
        </w:rPr>
        <w:t>内部有效性。</w:t>
      </w:r>
      <w:r>
        <w:rPr>
          <w:rFonts w:ascii="Times New Roman" w:hAnsi="Times New Roman" w:eastAsia="宋体"/>
          <w:b w:val="0"/>
          <w:sz w:val="21"/>
        </w:rPr>
        <w:t xml:space="preserve"> VLM标签经过结构校验及部分字段的官方二值属性参考对照，未验证本研究人工语义准确率。该对照显示字段和来源间的分歧，不能证明全部严重程度等级或其他状态准确。分类器使用裁剪图，VLM同时使用原图、标记图和放大图，可见信息并不相同。遮挡、场景和目标尺度也可能共现；匹配标量风险不能隔离全部混杂因素。重复检测及历史清单排除不保证消除全部近重复，预训练重叠未被排除。</w:t>
      </w:r>
    </w:p>
    <w:p>
      <w:pPr>
        <w:spacing w:line="324" w:lineRule="auto" w:after="80"/>
        <w:ind w:firstLine="420"/>
      </w:pPr>
      <w:r>
        <w:rPr>
          <w:rFonts w:ascii="Times New Roman" w:hAnsi="Times New Roman" w:eastAsia="宋体"/>
          <w:b w:val="0"/>
          <w:sz w:val="21"/>
        </w:rPr>
        <w:t>一致筛选存在强选择偏差和低保留率。四风险字段一致组不足以完整评价六类高低层；逐字段一致状态结果仅针对有支持的组合，不能补充全部自动状态真值。未进行本研究的人类状态复核，缺少人类真值仍是构念有效性限制。</w:t>
      </w:r>
    </w:p>
    <w:p>
      <w:pPr>
        <w:spacing w:line="324" w:lineRule="auto" w:after="80"/>
        <w:ind w:firstLine="420"/>
      </w:pPr>
      <w:r>
        <w:rPr>
          <w:rFonts w:ascii="Times New Roman" w:hAnsi="Times New Roman" w:eastAsia="宋体"/>
          <w:b/>
          <w:sz w:val="21"/>
        </w:rPr>
        <w:t>统计结论有效性。</w:t>
      </w:r>
      <w:r>
        <w:rPr>
          <w:rFonts w:ascii="Times New Roman" w:hAnsi="Times New Roman" w:eastAsia="宋体"/>
          <w:b w:val="0"/>
          <w:sz w:val="21"/>
        </w:rPr>
        <w:t xml:space="preserve"> 八架构限制了精确p值分辨率和强基线校正能力。三个种子描述同一架构训练变动，不是24个独立架构。固定池下层级bootstrap与固定模型面板下图像bootstrap覆盖不同不确定性；非线性等错误数诊断的重复权重重采样亦可能引入偏差。本文保留效应方向、区间、预定家族与完整敏感性结果，不以某个区间或p值替代全部证据。</w:t>
      </w:r>
    </w:p>
    <w:p>
      <w:pPr>
        <w:spacing w:line="324" w:lineRule="auto" w:after="80"/>
        <w:ind w:firstLine="420"/>
      </w:pPr>
      <w:r>
        <w:rPr>
          <w:rFonts w:ascii="Times New Roman" w:hAnsi="Times New Roman" w:eastAsia="宋体"/>
          <w:b w:val="0"/>
          <w:sz w:val="21"/>
        </w:rPr>
        <w:t>后续逐图二项混合模型在预定迭代上限内未收敛，AUC混合模型亦有奇异/边界警告；它们保留为执行诊断，不提供新的确认结论，也不替代正文主检验。拟增加的未用Open Images池因sheep历史排重后数量不足未执行，不计入外部确认结果。</w:t>
      </w:r>
    </w:p>
    <w:p>
      <w:pPr>
        <w:spacing w:line="324" w:lineRule="auto" w:after="80"/>
        <w:ind w:firstLine="420"/>
      </w:pPr>
      <w:r>
        <w:rPr>
          <w:rFonts w:ascii="Times New Roman" w:hAnsi="Times New Roman" w:eastAsia="宋体"/>
          <w:b w:val="0"/>
          <w:sz w:val="21"/>
        </w:rPr>
        <w:t>标签一致子集为事后分析，多个共享字段筛选与支持门槛决定其可评价范围；不为这些子集新增显著性主张。字段一致组合方向及平均差是描述性结果。固定模型源图区间不代表架构总体、VLM版本或真实部署场景的全部不确定性。</w:t>
      </w:r>
    </w:p>
    <w:p>
      <w:pPr>
        <w:spacing w:line="324" w:lineRule="auto" w:after="80"/>
        <w:ind w:firstLine="420"/>
      </w:pPr>
      <w:r>
        <w:rPr>
          <w:rFonts w:ascii="Times New Roman" w:hAnsi="Times New Roman" w:eastAsia="宋体"/>
          <w:b w:val="0"/>
          <w:sz w:val="21"/>
        </w:rPr>
        <w:t>完整池排名重采样固定各配置风险层，不估计标签误差或风险阈值估计的不确定性。配对F1区间未新增多重校正，前两名频率不表示真实世界最优概率。官方属性对照仅覆盖二值语义，且其参考标注并非无误差；缺少等义参考的字段仍未验证。</w:t>
      </w:r>
    </w:p>
    <w:p>
      <w:pPr>
        <w:spacing w:line="324" w:lineRule="auto" w:after="80"/>
        <w:ind w:firstLine="420"/>
      </w:pPr>
      <w:r>
        <w:rPr>
          <w:rFonts w:ascii="Times New Roman" w:hAnsi="Times New Roman" w:eastAsia="宋体"/>
          <w:b/>
          <w:sz w:val="21"/>
        </w:rPr>
        <w:t>外部有效性。</w:t>
      </w:r>
      <w:r>
        <w:rPr>
          <w:rFonts w:ascii="Times New Roman" w:hAnsi="Times New Roman" w:eastAsia="宋体"/>
          <w:b w:val="0"/>
          <w:sz w:val="21"/>
        </w:rPr>
        <w:t xml:space="preserve"> 实验涉及六类对象及三个确认数据来源，类别包含多种动物、person及car，但仍不能代表全部视觉任务。person是目标类别，不等于独立人脸识别任务；本文没有将历史人脸实验混入六类主统计。研究采用固定框分类，未验证目标检测、分割、开放集识别或实际部署中的目标定位错误。Objects365是官方目标标签与预定分包前缀条件下的确认，不是官方检测排行榜或自然总体估计；不同框级标注资格与视角分布可能影响性能差。</w:t>
      </w:r>
    </w:p>
    <w:p>
      <w:pPr>
        <w:spacing w:line="324" w:lineRule="auto" w:after="80"/>
        <w:ind w:firstLine="420"/>
      </w:pPr>
      <w:r>
        <w:rPr>
          <w:rFonts w:ascii="Times New Roman" w:hAnsi="Times New Roman" w:eastAsia="宋体"/>
          <w:b/>
          <w:sz w:val="21"/>
        </w:rPr>
        <w:t>流程与选择偏差。</w:t>
      </w:r>
      <w:r>
        <w:rPr>
          <w:rFonts w:ascii="Times New Roman" w:hAnsi="Times New Roman" w:eastAsia="宋体"/>
          <w:b w:val="0"/>
          <w:sz w:val="21"/>
        </w:rPr>
        <w:t xml:space="preserve"> 风险规则最初来自探索，后续确认沿用冻结规则。全候选池预标注和按类别配额选样是已标注测试池设置，不覆盖完全未知流式输入。VOC2007合并原生trainval与test以构建本研究评测池，不能作为官方划分的标准模型比较。A中的历史技术替换与C的来源调整均记录，后者在新预测前完成；这些记录不能消除所有来源选择偏差。</w:t>
      </w:r>
    </w:p>
    <w:p>
      <w:pPr>
        <w:spacing w:line="324" w:lineRule="auto" w:after="80"/>
        <w:ind w:firstLine="420"/>
      </w:pPr>
      <w:r>
        <w:rPr>
          <w:rFonts w:ascii="Times New Roman" w:hAnsi="Times New Roman" w:eastAsia="宋体"/>
          <w:b w:val="0"/>
          <w:sz w:val="21"/>
        </w:rPr>
        <w:t>D因元数据数量更改split与下载预算，并替换一个技术失败目标；上述变更都有新预测前规则或明确技术失败记录。它们不依据分类收益，却仍影响最终候选分布。这里的“冻结确认”指后续执行规则与权重冻结，不意味从项目最初开始没有任何探索和技术修订。</w:t>
      </w:r>
    </w:p>
    <w:p>
      <w:pPr>
        <w:pStyle w:val="Heading2"/>
      </w:pPr>
      <w:r>
        <w:t>8 结论</w:t>
      </w:r>
    </w:p>
    <w:p>
      <w:pPr>
        <w:spacing w:line="324" w:lineRule="auto" w:after="80"/>
        <w:ind w:firstLine="420"/>
      </w:pPr>
      <w:r>
        <w:rPr>
          <w:rFonts w:ascii="Times New Roman" w:hAnsi="Times New Roman" w:eastAsia="宋体"/>
          <w:b w:val="0"/>
          <w:sz w:val="21"/>
        </w:rPr>
        <w:t>本文研究了基于视觉状态覆盖与风险分层的多类别图像分类模型测试。在固定训练数据与模型参数条件下，通过双自动标注器、类别平衡风险层、预算梯度及诊断对照，将测试条件覆盖、风险构成与测得性能分开评价。</w:t>
      </w:r>
    </w:p>
    <w:p>
      <w:pPr>
        <w:spacing w:line="324" w:lineRule="auto" w:after="80"/>
        <w:ind w:firstLine="420"/>
      </w:pPr>
      <w:r>
        <w:rPr>
          <w:rFonts w:ascii="Times New Roman" w:hAnsi="Times New Roman" w:eastAsia="宋体"/>
          <w:b w:val="0"/>
          <w:sz w:val="21"/>
        </w:rPr>
        <w:t>在COCO、VOC2007和Objects365的5400个确认目标上，预定义自动视觉风险层区分了固定模型表现：两种来源的全部24运行均有Q5低于Q1。Objects365中的多数可评价冻结弱状态保持负向Recall差，扩大了条件诊断的跨来源证据。Coverage相对Random的额外诊断广度具有条件性，对强基线与更严格控制的普遍优势未确立。</w:t>
      </w:r>
    </w:p>
    <w:p>
      <w:pPr>
        <w:spacing w:line="324" w:lineRule="auto" w:after="80"/>
        <w:ind w:firstLine="420"/>
      </w:pPr>
      <w:r>
        <w:rPr>
          <w:rFonts w:ascii="Times New Roman" w:hAnsi="Times New Roman" w:eastAsia="宋体"/>
          <w:b w:val="0"/>
          <w:sz w:val="21"/>
        </w:rPr>
        <w:t>标签分歧分析进一步限定了证据：严格多字段一致筛选不足以完整评价六类高低风险层和模型排名，逐字段一致子集中的多数可评价薄弱组合仍保持负向。自动状态真值和因果根因均未验证。上述限制决定本文定位为可追溯测试协议与经验诊断，而不是自动标签准确率保证或通用最优测试算法。</w:t>
      </w:r>
    </w:p>
    <w:p>
      <w:pPr>
        <w:spacing w:line="324" w:lineRule="auto" w:after="80"/>
        <w:ind w:firstLine="420"/>
      </w:pPr>
      <w:r>
        <w:rPr>
          <w:rFonts w:ascii="Times New Roman" w:hAnsi="Times New Roman" w:eastAsia="宋体"/>
          <w:b w:val="0"/>
          <w:sz w:val="21"/>
        </w:rPr>
        <w:t>完整池补强显示，来源与unknown规则下的平均前列模型保持一致，但先后抽样不确定性随数据来源变化。官方遮挡/截断参考核验呈现字段相关的可靠性差异，进一步支持按字段报告状态证据质量。本文的研究目标是测试条件与模型能力诊断，Coverage全面优于其他策略并非成立条件。</w:t>
      </w:r>
    </w:p>
    <w:p>
      <w:pPr>
        <w:spacing w:line="324" w:lineRule="auto" w:after="80"/>
        <w:ind w:firstLine="420"/>
      </w:pPr>
      <w:r>
        <w:rPr>
          <w:rFonts w:ascii="Times New Roman" w:hAnsi="Times New Roman" w:eastAsia="宋体"/>
          <w:b w:val="0"/>
          <w:sz w:val="21"/>
        </w:rPr>
        <w:t>研究表明，视觉状态与风险分层能够为总体性能评价补充条件化的能力证据和状态诊断。实践中应共同报告测试条件、风险层表现、状态支持量及失败类型，并保留局部回升、未复现状态和不显著对照，避免以覆盖率或F1单独概括模型测试质量。</w:t>
      </w:r>
    </w:p>
    <w:p>
      <w:pPr>
        <w:pStyle w:val="Heading2"/>
      </w:pPr>
      <w:r>
        <w:t>参考文献</w:t>
      </w:r>
    </w:p>
    <w:p>
      <w:pPr>
        <w:spacing w:line="324" w:lineRule="auto" w:after="80"/>
        <w:ind w:firstLine="420"/>
      </w:pPr>
      <w:r>
        <w:rPr>
          <w:rFonts w:ascii="Times New Roman" w:hAnsi="Times New Roman" w:eastAsia="宋体"/>
          <w:b w:val="0"/>
          <w:sz w:val="21"/>
        </w:rPr>
        <w:t xml:space="preserve">[1] Pei K, Cao Y, Yang J, Jana S. DeepXplore: Automated Whitebox Testing of Deep Learning Systems. SOSP, 2017. </w:t>
      </w:r>
      <w:r>
        <w:rPr>
          <w:rFonts w:ascii="Times New Roman" w:hAnsi="Times New Roman" w:eastAsia="宋体"/>
          <w:b w:val="0"/>
          <w:sz w:val="21"/>
        </w:rPr>
        <w:t>原文（https://arxiv.org/abs/1705.06640）</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[2] Ma L, et al. DeepGauge: Multi-Granularity Testing Criteria for Deep Learning Systems. ASE, 2018. </w:t>
      </w:r>
      <w:r>
        <w:rPr>
          <w:rFonts w:ascii="Times New Roman" w:hAnsi="Times New Roman" w:eastAsia="宋体"/>
          <w:b w:val="0"/>
          <w:sz w:val="21"/>
        </w:rPr>
        <w:t>原文（https://arxiv.org/abs/1803.07519）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[3] Kim J, Feldt R, Yoo S. Guiding Deep Learning System Testing using Surprise Adequacy. ICSE, 2019. </w:t>
      </w:r>
      <w:r>
        <w:rPr>
          <w:rFonts w:ascii="Times New Roman" w:hAnsi="Times New Roman" w:eastAsia="宋体"/>
          <w:b w:val="0"/>
          <w:sz w:val="21"/>
        </w:rPr>
        <w:t>原文（https://arxiv.org/abs/1808.08444）</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[4] Harel-Canada F, Wang L, Gulzar M A, Gu Q, Kim M. Is Neuron Coverage a Meaningful Measure for Testing Deep Neural Networks? ESEC/FSE, 2020. DOI: 10.1145/3368089.3409754. </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[5] Dola S, Dwyer M B, Soffa M L. Input Distribution Coverage: Measuring Feature Interaction Adequacy in Neural Network Testing. ACM Transactions on Software Engineering and Methodology, 32(3), 2023. DOI: 10.1145/3576040. </w:t>
      </w:r>
      <w:r>
        <w:rPr>
          <w:rFonts w:ascii="Times New Roman" w:hAnsi="Times New Roman" w:eastAsia="宋体"/>
          <w:b w:val="0"/>
          <w:sz w:val="21"/>
        </w:rPr>
        <w:t>DOI（https://doi.org/10.1145/3576040）</w:t>
      </w:r>
      <w:r>
        <w:rPr>
          <w:rFonts w:ascii="Times New Roman" w:hAnsi="Times New Roman" w:eastAsia="宋体"/>
          <w:b w:val="0"/>
          <w:sz w:val="21"/>
        </w:rPr>
        <w:t>；</w:t>
      </w:r>
      <w:r>
        <w:rPr>
          <w:rFonts w:ascii="Times New Roman" w:hAnsi="Times New Roman" w:eastAsia="宋体"/>
          <w:b w:val="0"/>
          <w:sz w:val="21"/>
        </w:rPr>
        <w:t>作者学位论文第5章中的对应方法（https://www.cs.virginia.edu/~soffa/research/dissertations/swaroopa_thesis.pdf）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[6] Feng Y, Shi Q, Gao X, Wan J, Fang C, Chen Z. DeepGini: Prioritizing Massive Tests to Enhance the Robustness of Deep Neural Networks. ISSTA, 2020. </w:t>
      </w:r>
      <w:r>
        <w:rPr>
          <w:rFonts w:ascii="Times New Roman" w:hAnsi="Times New Roman" w:eastAsia="宋体"/>
          <w:b w:val="0"/>
          <w:sz w:val="21"/>
        </w:rPr>
        <w:t>原文（https://arxiv.org/abs/1903.00661）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[7] Sener O, Savarese S. Active Learning for Convolutional Neural Networks: A Core-Set Approach. ICLR, 2018. </w:t>
      </w:r>
      <w:r>
        <w:rPr>
          <w:rFonts w:ascii="Times New Roman" w:hAnsi="Times New Roman" w:eastAsia="宋体"/>
          <w:b w:val="0"/>
          <w:sz w:val="21"/>
        </w:rPr>
        <w:t>原文（https://arxiv.org/abs/1708.00489）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[8] Aghababaeyan Z, Abdellatif M, Briand L, Ramesh S, Bagherzadeh M. Black-Box Testing of Deep Neural Networks Through Test Case Diversity. IEEE Transactions on Software Engineering, 2023. DOI: 10.1109/TSE.2023.3243522. </w:t>
      </w:r>
      <w:r>
        <w:rPr>
          <w:rFonts w:ascii="Times New Roman" w:hAnsi="Times New Roman" w:eastAsia="宋体"/>
          <w:b w:val="0"/>
          <w:sz w:val="21"/>
        </w:rPr>
        <w:t>原文（https://arxiv.org/abs/2112.12591）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[9] Aghababaeyan Z, Abdellatif M, Dadkhah M, Briand L. DeepGD: A Multi-Objective Black-Box Test Selection Approach for Deep Neural Networks. 2024修订版，DOI: 10.1145/3644388. </w:t>
      </w:r>
      <w:r>
        <w:rPr>
          <w:rFonts w:ascii="Times New Roman" w:hAnsi="Times New Roman" w:eastAsia="宋体"/>
          <w:b w:val="0"/>
          <w:sz w:val="21"/>
        </w:rPr>
        <w:t>原文（https://arxiv.org/abs/2303.04878）</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[10] Lin T Y, et al. Microsoft COCO: Common Objects in Context. arXiv:1405.0312. </w:t>
      </w:r>
      <w:r>
        <w:rPr>
          <w:rFonts w:ascii="Times New Roman" w:hAnsi="Times New Roman" w:eastAsia="宋体"/>
          <w:b w:val="0"/>
          <w:sz w:val="21"/>
        </w:rPr>
        <w:t>原文（https://arxiv.org/abs/1405.0312）</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[11] PASCAL VOC. The PASCAL Visual Object Classes Challenge 2007. </w:t>
      </w:r>
      <w:r>
        <w:rPr>
          <w:rFonts w:ascii="Times New Roman" w:hAnsi="Times New Roman" w:eastAsia="宋体"/>
          <w:b w:val="0"/>
          <w:sz w:val="21"/>
        </w:rPr>
        <w:t>官方数据与任务说明（https://www.robots.ox.ac.uk/~vgg/projects/pascal/VOC/voc2007/index.html）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[12] Objects365 Consortium. Objects365数据下载与标注说明；本研究使用v2发布接口。 </w:t>
      </w:r>
      <w:r>
        <w:rPr>
          <w:rFonts w:ascii="Times New Roman" w:hAnsi="Times New Roman" w:eastAsia="宋体"/>
          <w:b w:val="0"/>
          <w:sz w:val="21"/>
        </w:rPr>
        <w:t>官方页面（https://www.objects365.org/download.html）</w:t>
      </w:r>
      <w:r>
        <w:rPr>
          <w:rFonts w:ascii="Times New Roman" w:hAnsi="Times New Roman" w:eastAsia="宋体"/>
          <w:b w:val="0"/>
          <w:sz w:val="21"/>
        </w:rPr>
        <w:t>；</w:t>
      </w:r>
      <w:r>
        <w:rPr>
          <w:rFonts w:ascii="Times New Roman" w:hAnsi="Times New Roman" w:eastAsia="宋体"/>
          <w:b w:val="0"/>
          <w:sz w:val="21"/>
        </w:rPr>
        <w:t>MMDetection维护者公开下载实现（https://github.com/open-mmlab/mmdetection/blob/main/tools/misc/download_dataset.py）</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[13] Open Images. Open Images V7 Download: Bounding-box attributes and data formats. </w:t>
      </w:r>
      <w:r>
        <w:rPr>
          <w:rFonts w:ascii="Times New Roman" w:hAnsi="Times New Roman" w:eastAsia="宋体"/>
          <w:b w:val="0"/>
          <w:sz w:val="21"/>
        </w:rPr>
        <w:t>官方说明（https://storage.googleapis.com/openimages/web/download_v7.html）</w:t>
      </w:r>
      <w:r>
        <w:rPr>
          <w:rFonts w:ascii="Times New Roman" w:hAnsi="Times New Roman" w:eastAsia="宋体"/>
          <w:b w:val="0"/>
          <w:sz w:val="21"/>
        </w:rPr>
        <w:t>。</w:t>
      </w:r>
    </w:p>
    <w:p>
      <w:pPr>
        <w:pStyle w:val="Heading2"/>
      </w:pPr>
      <w:r>
        <w:t>附录A：结果追踪与复算材料</w:t>
      </w:r>
    </w:p>
    <w:p>
      <w:pPr>
        <w:spacing w:line="324" w:lineRule="auto" w:after="80"/>
        <w:ind w:firstLine="420"/>
      </w:pPr>
      <w:r>
        <w:rPr>
          <w:rFonts w:ascii="Times New Roman" w:hAnsi="Times New Roman" w:eastAsia="宋体"/>
          <w:b w:val="0"/>
          <w:sz w:val="21"/>
        </w:rPr>
        <w:t>本附录提供本地审阅链接，不表示实验已作为公开复现包发布。原始图片的许可与下载方式沿用数据来源要求。</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正文证据</w:t>
            </w:r>
          </w:p>
        </w:tc>
        <w:tc>
          <w:tcPr>
            <w:tcW w:type="dxa" w:w="4703"/>
            <w:shd w:fill="D9EAF7"/>
          </w:tcPr>
          <w:p>
            <w:pPr>
              <w:spacing w:after="0"/>
            </w:pPr>
            <w:r>
              <w:rPr>
                <w:rFonts w:ascii="Times New Roman" w:hAnsi="Times New Roman" w:eastAsia="宋体"/>
                <w:b/>
                <w:sz w:val="17"/>
              </w:rPr>
              <w:t>原始材料</w:t>
            </w:r>
          </w:p>
        </w:tc>
      </w:tr>
      <w:tr>
        <w:tc>
          <w:tcPr>
            <w:tcW w:type="dxa" w:w="4703"/>
          </w:tcPr>
          <w:p>
            <w:pPr>
              <w:spacing w:after="0"/>
            </w:pPr>
            <w:r>
              <w:rPr>
                <w:rFonts w:ascii="Times New Roman" w:hAnsi="Times New Roman" w:eastAsia="宋体"/>
                <w:b w:val="0"/>
                <w:sz w:val="17"/>
              </w:rPr>
              <w:t>数据、冻结规则及预算</w:t>
            </w:r>
          </w:p>
        </w:tc>
        <w:tc>
          <w:tcPr>
            <w:tcW w:type="dxa" w:w="4703"/>
          </w:tcPr>
          <w:p>
            <w:pPr>
              <w:spacing w:after="0"/>
            </w:pPr>
            <w:r>
              <w:rPr>
                <w:rFonts w:ascii="Times New Roman" w:hAnsi="Times New Roman" w:eastAsia="宋体"/>
                <w:b w:val="0"/>
                <w:sz w:val="17"/>
              </w:rPr>
              <w:t>COCO确认协议（/home/hcf/.codex/worktrees/2fec/QE/docs/sixclass_independent_confirmation_protocol_20261004.md）、VOC外部确认协议（/home/hcf/.codex/worktrees/2fec/QE/docs/sixclass_voc_external_confirmation_protocol_20261005.md）</w:t>
            </w:r>
          </w:p>
        </w:tc>
      </w:tr>
      <w:tr>
        <w:tc>
          <w:tcPr>
            <w:tcW w:type="dxa" w:w="4703"/>
          </w:tcPr>
          <w:p>
            <w:pPr>
              <w:spacing w:after="0"/>
            </w:pPr>
            <w:r>
              <w:rPr>
                <w:rFonts w:ascii="Times New Roman" w:hAnsi="Times New Roman" w:eastAsia="宋体"/>
                <w:b w:val="0"/>
                <w:sz w:val="17"/>
              </w:rPr>
              <w:t>表1、表2：B完整层与差值</w:t>
            </w:r>
          </w:p>
        </w:tc>
        <w:tc>
          <w:tcPr>
            <w:tcW w:type="dxa" w:w="4703"/>
          </w:tcPr>
          <w:p>
            <w:pPr>
              <w:spacing w:after="0"/>
            </w:pPr>
            <w:r>
              <w:rPr>
                <w:rFonts w:ascii="Times New Roman" w:hAnsi="Times New Roman" w:eastAsia="宋体"/>
                <w:b w:val="0"/>
                <w:sz w:val="17"/>
              </w:rPr>
              <w:t>完整层指标（/home/hcf/.codex/worktrees/2fec/QE/artifacts/sixclass_independent_confirmation_20261004/confirmation/tables/full_stratum_metrics.csv）、风险差值（/home/hcf/.codex/worktrees/2fec/QE/artifacts/sixclass_independent_confirmation_20261004/confirmation/tables/difficulty_contrasts.csv）</w:t>
            </w:r>
          </w:p>
        </w:tc>
      </w:tr>
      <w:tr>
        <w:tc>
          <w:tcPr>
            <w:tcW w:type="dxa" w:w="4703"/>
          </w:tcPr>
          <w:p>
            <w:pPr>
              <w:spacing w:after="0"/>
            </w:pPr>
            <w:r>
              <w:rPr>
                <w:rFonts w:ascii="Times New Roman" w:hAnsi="Times New Roman" w:eastAsia="宋体"/>
                <w:b w:val="0"/>
                <w:sz w:val="17"/>
              </w:rPr>
              <w:t>表1、表2：C完整层与差值</w:t>
            </w:r>
          </w:p>
        </w:tc>
        <w:tc>
          <w:tcPr>
            <w:tcW w:type="dxa" w:w="4703"/>
          </w:tcPr>
          <w:p>
            <w:pPr>
              <w:spacing w:after="0"/>
            </w:pPr>
            <w:r>
              <w:rPr>
                <w:rFonts w:ascii="Times New Roman" w:hAnsi="Times New Roman" w:eastAsia="宋体"/>
                <w:b w:val="0"/>
                <w:sz w:val="17"/>
              </w:rPr>
              <w:t>完整层指标（/home/hcf/.codex/worktrees/2fec/QE/artifacts/sixclass_voc_external_confirmation_20261005/confirmation/tables/full_stratum_metrics.csv）、风险差值（/home/hcf/.codex/worktrees/2fec/QE/artifacts/sixclass_voc_external_confirmation_20261005/confirmation/tables/difficulty_contrasts.csv）</w:t>
            </w:r>
          </w:p>
        </w:tc>
      </w:tr>
      <w:tr>
        <w:tc>
          <w:tcPr>
            <w:tcW w:type="dxa" w:w="4703"/>
          </w:tcPr>
          <w:p>
            <w:pPr>
              <w:spacing w:after="0"/>
            </w:pPr>
            <w:r>
              <w:rPr>
                <w:rFonts w:ascii="Times New Roman" w:hAnsi="Times New Roman" w:eastAsia="宋体"/>
                <w:b w:val="0"/>
                <w:sz w:val="17"/>
              </w:rPr>
              <w:t>表3：累计曲线</w:t>
            </w:r>
          </w:p>
        </w:tc>
        <w:tc>
          <w:tcPr>
            <w:tcW w:type="dxa" w:w="4703"/>
          </w:tcPr>
          <w:p>
            <w:pPr>
              <w:spacing w:after="0"/>
            </w:pPr>
            <w:r>
              <w:rPr>
                <w:rFonts w:ascii="Times New Roman" w:hAnsi="Times New Roman" w:eastAsia="宋体"/>
                <w:b w:val="0"/>
                <w:sz w:val="17"/>
              </w:rPr>
              <w:t>B累计指标（/home/hcf/.codex/worktrees/2fec/QE/artifacts/sixclass_independent_confirmation_20261004/confirmation/tables/cumulative_metrics.csv）、C累计指标（/home/hcf/.codex/worktrees/2fec/QE/artifacts/sixclass_voc_external_confirmation_20261005/confirmation/tables/cumulative_metrics.csv）</w:t>
            </w:r>
          </w:p>
        </w:tc>
      </w:tr>
      <w:tr>
        <w:tc>
          <w:tcPr>
            <w:tcW w:type="dxa" w:w="4703"/>
          </w:tcPr>
          <w:p>
            <w:pPr>
              <w:spacing w:after="0"/>
            </w:pPr>
            <w:r>
              <w:rPr>
                <w:rFonts w:ascii="Times New Roman" w:hAnsi="Times New Roman" w:eastAsia="宋体"/>
                <w:b w:val="0"/>
                <w:sz w:val="17"/>
              </w:rPr>
              <w:t>表4与强基线</w:t>
            </w:r>
          </w:p>
        </w:tc>
        <w:tc>
          <w:tcPr>
            <w:tcW w:type="dxa" w:w="4703"/>
          </w:tcPr>
          <w:p>
            <w:pPr>
              <w:spacing w:after="0"/>
            </w:pPr>
            <w:r>
              <w:rPr>
                <w:rFonts w:ascii="Times New Roman" w:hAnsi="Times New Roman" w:eastAsia="宋体"/>
                <w:b w:val="0"/>
                <w:sz w:val="17"/>
              </w:rPr>
              <w:t>B全部方法比较（/home/hcf/.codex/worktrees/2fec/QE/artifacts/sixclass_independent_confirmation_20261004/comparison/tables/comparisons.csv）、C全部方法比较（/home/hcf/.codex/worktrees/2fec/QE/artifacts/sixclass_voc_external_confirmation_20261005/comparison/tables/comparisons.csv）</w:t>
            </w:r>
          </w:p>
        </w:tc>
      </w:tr>
      <w:tr>
        <w:tc>
          <w:tcPr>
            <w:tcW w:type="dxa" w:w="4703"/>
          </w:tcPr>
          <w:p>
            <w:pPr>
              <w:spacing w:after="0"/>
            </w:pPr>
            <w:r>
              <w:rPr>
                <w:rFonts w:ascii="Times New Roman" w:hAnsi="Times New Roman" w:eastAsia="宋体"/>
                <w:b w:val="0"/>
                <w:sz w:val="17"/>
              </w:rPr>
              <w:t>表5：精确风险匹配</w:t>
            </w:r>
          </w:p>
        </w:tc>
        <w:tc>
          <w:tcPr>
            <w:tcW w:type="dxa" w:w="4703"/>
          </w:tcPr>
          <w:p>
            <w:pPr>
              <w:spacing w:after="0"/>
            </w:pPr>
            <w:r>
              <w:rPr>
                <w:rFonts w:ascii="Times New Roman" w:hAnsi="Times New Roman" w:eastAsia="宋体"/>
                <w:b w:val="0"/>
                <w:sz w:val="17"/>
              </w:rPr>
              <w:t>B比较（/home/hcf/.codex/worktrees/2fec/QE/artifacts/sixclass_independent_confirmation_20261004/confirmation/tables/matched_equal_error_comparisons.csv）、C比较（/home/hcf/.codex/worktrees/2fec/QE/artifacts/sixclass_voc_external_confirmation_20261005/confirmation/tables/matched_equal_error_comparisons.csv）</w:t>
            </w:r>
          </w:p>
        </w:tc>
      </w:tr>
      <w:tr>
        <w:tc>
          <w:tcPr>
            <w:tcW w:type="dxa" w:w="4703"/>
          </w:tcPr>
          <w:p>
            <w:pPr>
              <w:spacing w:after="0"/>
            </w:pPr>
            <w:r>
              <w:rPr>
                <w:rFonts w:ascii="Times New Roman" w:hAnsi="Times New Roman" w:eastAsia="宋体"/>
                <w:b w:val="0"/>
                <w:sz w:val="17"/>
              </w:rPr>
              <w:t>表6：模型高风险能力</w:t>
            </w:r>
          </w:p>
        </w:tc>
        <w:tc>
          <w:tcPr>
            <w:tcW w:type="dxa" w:w="4703"/>
          </w:tcPr>
          <w:p>
            <w:pPr>
              <w:spacing w:after="0"/>
            </w:pPr>
            <w:r>
              <w:rPr>
                <w:rFonts w:ascii="Times New Roman" w:hAnsi="Times New Roman" w:eastAsia="宋体"/>
                <w:b w:val="0"/>
                <w:sz w:val="17"/>
              </w:rPr>
              <w:t>B模型响应（/home/hcf/.codex/worktrees/2fec/QE/artifacts/sixclass_independent_confirmation_20261004/confirmation/tables/model_robustness.csv）、C模型响应（/home/hcf/.codex/worktrees/2fec/QE/artifacts/sixclass_voc_external_confirmation_20261005/confirmation/tables/model_robustness.csv）</w:t>
            </w:r>
          </w:p>
        </w:tc>
      </w:tr>
      <w:tr>
        <w:tc>
          <w:tcPr>
            <w:tcW w:type="dxa" w:w="4703"/>
          </w:tcPr>
          <w:p>
            <w:pPr>
              <w:spacing w:after="0"/>
            </w:pPr>
            <w:r>
              <w:rPr>
                <w:rFonts w:ascii="Times New Roman" w:hAnsi="Times New Roman" w:eastAsia="宋体"/>
                <w:b w:val="0"/>
                <w:sz w:val="17"/>
              </w:rPr>
              <w:t>表7：冻结状态迁移</w:t>
            </w:r>
          </w:p>
        </w:tc>
        <w:tc>
          <w:tcPr>
            <w:tcW w:type="dxa" w:w="4703"/>
          </w:tcPr>
          <w:p>
            <w:pPr>
              <w:spacing w:after="0"/>
            </w:pPr>
            <w:r>
              <w:rPr>
                <w:rFonts w:ascii="Times New Roman" w:hAnsi="Times New Roman" w:eastAsia="宋体"/>
                <w:b w:val="0"/>
                <w:sz w:val="17"/>
              </w:rPr>
              <w:t>B迁移汇总（/home/hcf/.codex/worktrees/2fec/QE/artifacts/sixclass_independent_confirmation_20261004/transfer/summary.json）、C迁移汇总（/home/hcf/.codex/worktrees/2fec/QE/artifacts/sixclass_voc_external_confirmation_20261005/transfer/summary.json）</w:t>
            </w:r>
          </w:p>
        </w:tc>
      </w:tr>
      <w:tr>
        <w:tc>
          <w:tcPr>
            <w:tcW w:type="dxa" w:w="4703"/>
          </w:tcPr>
          <w:p>
            <w:pPr>
              <w:spacing w:after="0"/>
            </w:pPr>
            <w:r>
              <w:rPr>
                <w:rFonts w:ascii="Times New Roman" w:hAnsi="Times New Roman" w:eastAsia="宋体"/>
                <w:b w:val="0"/>
                <w:sz w:val="17"/>
              </w:rPr>
              <w:t>表8：状态案例</w:t>
            </w:r>
          </w:p>
        </w:tc>
        <w:tc>
          <w:tcPr>
            <w:tcW w:type="dxa" w:w="4703"/>
          </w:tcPr>
          <w:p>
            <w:pPr>
              <w:spacing w:after="0"/>
            </w:pPr>
            <w:r>
              <w:rPr>
                <w:rFonts w:ascii="Times New Roman" w:hAnsi="Times New Roman" w:eastAsia="宋体"/>
                <w:b w:val="0"/>
                <w:sz w:val="17"/>
              </w:rPr>
              <w:t>全350条状态验证记录（/home/hcf/.codex/worktrees/2fec/QE/artifacts/empirical_evidence_strengthening_20261005/state_case_metrics.csv）、所选案例（/home/hcf/.codex/worktrees/2fec/QE/artifacts/empirical_evidence_strengthening_20261005/selected_state_cases.csv）、含正确样本与反例的图片案例（/home/hcf/.codex/worktrees/2fec/QE/artifacts/empirical_evidence_strengthening_20261005/diagnostic_cases.html）</w:t>
            </w:r>
          </w:p>
        </w:tc>
      </w:tr>
      <w:tr>
        <w:tc>
          <w:tcPr>
            <w:tcW w:type="dxa" w:w="4703"/>
          </w:tcPr>
          <w:p>
            <w:pPr>
              <w:spacing w:after="0"/>
            </w:pPr>
            <w:r>
              <w:rPr>
                <w:rFonts w:ascii="Times New Roman" w:hAnsi="Times New Roman" w:eastAsia="宋体"/>
                <w:b w:val="0"/>
                <w:sz w:val="17"/>
              </w:rPr>
              <w:t>表9：标注成本</w:t>
            </w:r>
          </w:p>
        </w:tc>
        <w:tc>
          <w:tcPr>
            <w:tcW w:type="dxa" w:w="4703"/>
          </w:tcPr>
          <w:p>
            <w:pPr>
              <w:spacing w:after="0"/>
            </w:pPr>
            <w:r>
              <w:rPr>
                <w:rFonts w:ascii="Times New Roman" w:hAnsi="Times New Roman" w:eastAsia="宋体"/>
                <w:b w:val="0"/>
                <w:sz w:val="17"/>
              </w:rPr>
              <w:t>成本汇总（/home/hcf/.codex/worktrees/2fec/QE/artifacts/empirical_evidence_strengthening_20261005/cost_summary.csv）、阶段耗时（/home/hcf/.codex/worktrees/2fec/QE/artifacts/empirical_evidence_strengthening_20261005/stage_durations.csv）</w:t>
            </w:r>
          </w:p>
        </w:tc>
      </w:tr>
      <w:tr>
        <w:tc>
          <w:tcPr>
            <w:tcW w:type="dxa" w:w="4703"/>
          </w:tcPr>
          <w:p>
            <w:pPr>
              <w:spacing w:after="0"/>
            </w:pPr>
            <w:r>
              <w:rPr>
                <w:rFonts w:ascii="Times New Roman" w:hAnsi="Times New Roman" w:eastAsia="宋体"/>
                <w:b w:val="0"/>
                <w:sz w:val="17"/>
              </w:rPr>
              <w:t>全部正负结果与表征敏感性</w:t>
            </w:r>
          </w:p>
        </w:tc>
        <w:tc>
          <w:tcPr>
            <w:tcW w:type="dxa" w:w="4703"/>
          </w:tcPr>
          <w:p>
            <w:pPr>
              <w:spacing w:after="0"/>
            </w:pPr>
            <w:r>
              <w:rPr>
                <w:rFonts w:ascii="Times New Roman" w:hAnsi="Times New Roman" w:eastAsia="宋体"/>
                <w:b w:val="0"/>
                <w:sz w:val="17"/>
              </w:rPr>
              <w:t>80项完整结果索引（/home/hcf/.codex/worktrees/2fec/QE/artifacts/empirical_evidence_strengthening_20261005/full_outcome_index.csv）</w:t>
            </w:r>
          </w:p>
        </w:tc>
      </w:tr>
      <w:tr>
        <w:tc>
          <w:tcPr>
            <w:tcW w:type="dxa" w:w="4703"/>
          </w:tcPr>
          <w:p>
            <w:pPr>
              <w:spacing w:after="0"/>
            </w:pPr>
            <w:r>
              <w:rPr>
                <w:rFonts w:ascii="Times New Roman" w:hAnsi="Times New Roman" w:eastAsia="宋体"/>
                <w:b w:val="0"/>
                <w:sz w:val="17"/>
              </w:rPr>
              <w:t>表10–13：Objects365完整新来源证据</w:t>
            </w:r>
          </w:p>
        </w:tc>
        <w:tc>
          <w:tcPr>
            <w:tcW w:type="dxa" w:w="4703"/>
          </w:tcPr>
          <w:p>
            <w:pPr>
              <w:spacing w:after="0"/>
            </w:pPr>
            <w:r>
              <w:rPr>
                <w:rFonts w:ascii="Times New Roman" w:hAnsi="Times New Roman" w:eastAsia="宋体"/>
                <w:b w:val="0"/>
                <w:sz w:val="17"/>
              </w:rPr>
              <w:t>D结果报告（/home/hcf/.codex/worktrees/2fec/QE/artifacts/objects365_independent_confirmation_20261005/report_zh.md）、完整层指标（/home/hcf/.codex/worktrees/2fec/QE/artifacts/objects365_independent_confirmation_20261005/confirmation/tables/full_stratum_metrics.csv）、主方法比较（/home/hcf/.codex/worktrees/2fec/QE/artifacts/objects365_independent_confirmation_20261005/comparison/tables/comparisons.csv）、原风险匹配比较（/home/hcf/.codex/worktrees/2fec/QE/artifacts/objects365_independent_confirmation_20261005/confirmation/tables/matched_equal_error_comparisons.csv）</w:t>
            </w:r>
          </w:p>
        </w:tc>
      </w:tr>
      <w:tr>
        <w:tc>
          <w:tcPr>
            <w:tcW w:type="dxa" w:w="4703"/>
          </w:tcPr>
          <w:p>
            <w:pPr>
              <w:spacing w:after="0"/>
            </w:pPr>
            <w:r>
              <w:rPr>
                <w:rFonts w:ascii="Times New Roman" w:hAnsi="Times New Roman" w:eastAsia="宋体"/>
                <w:b w:val="0"/>
                <w:sz w:val="17"/>
              </w:rPr>
              <w:t>D全部基线及统一表征</w:t>
            </w:r>
          </w:p>
        </w:tc>
        <w:tc>
          <w:tcPr>
            <w:tcW w:type="dxa" w:w="4703"/>
          </w:tcPr>
          <w:p>
            <w:pPr>
              <w:spacing w:after="0"/>
            </w:pPr>
            <w:r>
              <w:rPr>
                <w:rFonts w:ascii="Times New Roman" w:hAnsi="Times New Roman" w:eastAsia="宋体"/>
                <w:b w:val="0"/>
                <w:sz w:val="17"/>
              </w:rPr>
              <w:t>统一ViT比较（/home/hcf/.codex/worktrees/2fec/QE/artifacts/objects365_independent_confirmation_20261005/robustness/tables/vit_cluster_comparisons.csv）、来源交叉（/home/hcf/.codex/worktrees/2fec/QE/artifacts/objects365_independent_confirmation_20261005/robustness/tables/cross_source_risk_state.csv）</w:t>
            </w:r>
          </w:p>
        </w:tc>
      </w:tr>
      <w:tr>
        <w:tc>
          <w:tcPr>
            <w:tcW w:type="dxa" w:w="4703"/>
          </w:tcPr>
          <w:p>
            <w:pPr>
              <w:spacing w:after="0"/>
            </w:pPr>
            <w:r>
              <w:rPr>
                <w:rFonts w:ascii="Times New Roman" w:hAnsi="Times New Roman" w:eastAsia="宋体"/>
                <w:b w:val="0"/>
                <w:sz w:val="17"/>
              </w:rPr>
              <w:t>D状态确认、成本和来源修订</w:t>
            </w:r>
          </w:p>
        </w:tc>
        <w:tc>
          <w:tcPr>
            <w:tcW w:type="dxa" w:w="4703"/>
          </w:tcPr>
          <w:p>
            <w:pPr>
              <w:spacing w:after="0"/>
            </w:pPr>
            <w:r>
              <w:rPr>
                <w:rFonts w:ascii="Times New Roman" w:hAnsi="Times New Roman" w:eastAsia="宋体"/>
                <w:b w:val="0"/>
                <w:sz w:val="17"/>
              </w:rPr>
              <w:t>原状态组合逐运行验证（/home/hcf/.codex/worktrees/2fec/QE/artifacts/objects365_independent_confirmation_20261005/transfer/tables/state_validation.csv）、请求账本（/home/hcf/.codex/worktrees/2fec/QE/artifacts/objects365_independent_confirmation_20261005/cost/request_attempts.jsonl）、完整D协议（/home/hcf/.codex/worktrees/2fec/QE/docs/objects365_independent_confirmation_protocol_20261005.md）</w:t>
            </w:r>
          </w:p>
        </w:tc>
      </w:tr>
      <w:tr>
        <w:tc>
          <w:tcPr>
            <w:tcW w:type="dxa" w:w="4703"/>
          </w:tcPr>
          <w:p>
            <w:pPr>
              <w:spacing w:after="0"/>
            </w:pPr>
            <w:r>
              <w:rPr>
                <w:rFonts w:ascii="Times New Roman" w:hAnsi="Times New Roman" w:eastAsia="宋体"/>
                <w:b w:val="0"/>
                <w:sz w:val="17"/>
              </w:rPr>
              <w:t>表14、15：标签分歧敏感性</w:t>
            </w:r>
          </w:p>
        </w:tc>
        <w:tc>
          <w:tcPr>
            <w:tcW w:type="dxa" w:w="4703"/>
          </w:tcPr>
          <w:p>
            <w:pPr>
              <w:spacing w:after="0"/>
            </w:pPr>
            <w:r>
              <w:rPr>
                <w:rFonts w:ascii="Times New Roman" w:hAnsi="Times New Roman" w:eastAsia="宋体"/>
                <w:b w:val="0"/>
                <w:sz w:val="17"/>
              </w:rPr>
              <w:t>完整报告（/home/hcf/.codex/worktrees/2fec/QE/artifacts/label_disagreement_sensitivity_20261005/report_zh.md）、风险差与支持（/home/hcf/.codex/worktrees/2fec/QE/artifacts/label_disagreement_sensitivity_20261005/tables/risk_summary.csv）、类别/层/面积分布（/home/hcf/.codex/worktrees/2fec/QE/artifacts/label_disagreement_sensitivity_20261005/tables/retention_distribution.csv）、字段一致状态汇总（/home/hcf/.codex/worktrees/2fec/QE/artifacts/label_disagreement_sensitivity_20261005/tables/state_summary.csv）</w:t>
            </w:r>
          </w:p>
        </w:tc>
      </w:tr>
      <w:tr>
        <w:tc>
          <w:tcPr>
            <w:tcW w:type="dxa" w:w="4703"/>
          </w:tcPr>
          <w:p>
            <w:pPr>
              <w:spacing w:after="0"/>
            </w:pPr>
            <w:r>
              <w:rPr>
                <w:rFonts w:ascii="Times New Roman" w:hAnsi="Times New Roman" w:eastAsia="宋体"/>
                <w:b w:val="0"/>
                <w:sz w:val="17"/>
              </w:rPr>
              <w:t>部分属性参考、真实案例与测试资产</w:t>
            </w:r>
          </w:p>
        </w:tc>
        <w:tc>
          <w:tcPr>
            <w:tcW w:type="dxa" w:w="4703"/>
          </w:tcPr>
          <w:p>
            <w:pPr>
              <w:spacing w:after="0"/>
            </w:pPr>
            <w:r>
              <w:rPr>
                <w:rFonts w:ascii="Times New Roman" w:hAnsi="Times New Roman" w:eastAsia="宋体"/>
                <w:b w:val="0"/>
                <w:sz w:val="17"/>
              </w:rPr>
              <w:t>官方属性参考（/home/hcf/.codex/worktrees/2fec/QE/artifacts/automatic_strengthening_20261005/automatic_audit/reference_summary.csv）、真实成功/失败/反例面板（/home/hcf/.codex/worktrees/2fec/QE/artifacts/automatic_strengthening_20261005/figures/diagnostic_success_failure_counterexamples.svg）、99个回归测试断言（/home/hcf/.codex/worktrees/2fec/QE/artifacts/automatic_strengthening_20261005/regression_suite.csv）</w:t>
            </w:r>
          </w:p>
        </w:tc>
      </w:tr>
    </w:tbl>
    <w:p/>
    <w:p>
      <w:pPr>
        <w:spacing w:line="324" w:lineRule="auto" w:after="80"/>
        <w:ind w:firstLine="420"/>
      </w:pPr>
      <w:r>
        <w:rPr>
          <w:rFonts w:ascii="Times New Roman" w:hAnsi="Times New Roman" w:eastAsia="宋体"/>
          <w:b w:val="0"/>
          <w:sz w:val="21"/>
        </w:rPr>
        <w:t>图5和图6同时提供可编辑SVG及保留生成源代码的输出目录。已有99个断言在同输入、同权重重新推理中99/99重现原预测；这表示执行复现，不表示99个分类均正确或形成新独立测试样本。复算本轮标签敏感性执行scripts/analyze_label_disagreement_sensitivity.py，最终论文数值核对执行scripts/audit_integrated_visual_state_paper.py。</w:t>
      </w:r>
    </w:p>
    <w:p>
      <w:pPr>
        <w:spacing w:line="324" w:lineRule="auto" w:after="80"/>
        <w:ind w:firstLine="420"/>
      </w:pPr>
      <w:r>
        <w:rPr>
          <w:rFonts w:ascii="Times New Roman" w:hAnsi="Times New Roman" w:eastAsia="宋体"/>
          <w:b w:val="0"/>
          <w:sz w:val="21"/>
        </w:rPr>
        <w:t>排名与属性补强：</w:t>
      </w:r>
      <w:r>
        <w:rPr>
          <w:rFonts w:ascii="Times New Roman" w:hAnsi="Times New Roman" w:eastAsia="宋体"/>
          <w:b w:val="0"/>
          <w:sz w:val="21"/>
        </w:rPr>
        <w:t>完整报告（/home/hcf/.codex/worktrees/2fec/QE/artifacts/ranking_attribute_validation_20261005/report_zh.md）</w:t>
      </w:r>
      <w:r>
        <w:rPr>
          <w:rFonts w:ascii="Times New Roman" w:hAnsi="Times New Roman" w:eastAsia="宋体"/>
          <w:b w:val="0"/>
          <w:sz w:val="21"/>
        </w:rPr>
        <w:t>、</w:t>
      </w:r>
      <w:r>
        <w:rPr>
          <w:rFonts w:ascii="Times New Roman" w:hAnsi="Times New Roman" w:eastAsia="宋体"/>
          <w:b w:val="0"/>
          <w:sz w:val="21"/>
        </w:rPr>
        <w:t>全部模型排名及区间（/home/hcf/.codex/worktrees/2fec/QE/artifacts/ranking_attribute_validation_20261005/tables/model_ranks.csv）</w:t>
      </w:r>
      <w:r>
        <w:rPr>
          <w:rFonts w:ascii="Times New Roman" w:hAnsi="Times New Roman" w:eastAsia="宋体"/>
          <w:b w:val="0"/>
          <w:sz w:val="21"/>
        </w:rPr>
        <w:t>、</w:t>
      </w:r>
      <w:r>
        <w:rPr>
          <w:rFonts w:ascii="Times New Roman" w:hAnsi="Times New Roman" w:eastAsia="宋体"/>
          <w:b w:val="0"/>
          <w:sz w:val="21"/>
        </w:rPr>
        <w:t>配置排序比较（/home/hcf/.codex/worktrees/2fec/QE/artifacts/ranking_attribute_validation_20261005/tables/configuration_pairs.csv）</w:t>
      </w:r>
      <w:r>
        <w:rPr>
          <w:rFonts w:ascii="Times New Roman" w:hAnsi="Times New Roman" w:eastAsia="宋体"/>
          <w:b w:val="0"/>
          <w:sz w:val="21"/>
        </w:rPr>
        <w:t>、</w:t>
      </w:r>
      <w:r>
        <w:rPr>
          <w:rFonts w:ascii="Times New Roman" w:hAnsi="Times New Roman" w:eastAsia="宋体"/>
          <w:b w:val="0"/>
          <w:sz w:val="21"/>
        </w:rPr>
        <w:t>配对模型差（/home/hcf/.codex/worktrees/2fec/QE/artifacts/ranking_attribute_validation_20261005/tables/model_pair_differences.csv）</w:t>
      </w:r>
      <w:r>
        <w:rPr>
          <w:rFonts w:ascii="Times New Roman" w:hAnsi="Times New Roman" w:eastAsia="宋体"/>
          <w:b w:val="0"/>
          <w:sz w:val="21"/>
        </w:rPr>
        <w:t>、</w:t>
      </w:r>
      <w:r>
        <w:rPr>
          <w:rFonts w:ascii="Times New Roman" w:hAnsi="Times New Roman" w:eastAsia="宋体"/>
          <w:b w:val="0"/>
          <w:sz w:val="21"/>
        </w:rPr>
        <w:t>逐类别属性参考（/home/hcf/.codex/worktrees/2fec/QE/artifacts/ranking_attribute_validation_20261005/tables/attribute_metrics.csv）</w:t>
      </w:r>
      <w:r>
        <w:rPr>
          <w:rFonts w:ascii="Times New Roman" w:hAnsi="Times New Roman" w:eastAsia="宋体"/>
          <w:b w:val="0"/>
          <w:sz w:val="21"/>
        </w:rPr>
        <w:t>、</w:t>
      </w:r>
      <w:r>
        <w:rPr>
          <w:rFonts w:ascii="Times New Roman" w:hAnsi="Times New Roman" w:eastAsia="宋体"/>
          <w:b w:val="0"/>
          <w:sz w:val="21"/>
        </w:rPr>
        <w:t>尺度核验（/home/hcf/.codex/worktrees/2fec/QE/artifacts/ranking_attribute_validation_20261005/tables/scale_summary.csv）</w:t>
      </w:r>
      <w:r>
        <w:rPr>
          <w:rFonts w:ascii="Times New Roman" w:hAnsi="Times New Roman" w:eastAsia="宋体"/>
          <w:b w:val="0"/>
          <w:sz w:val="21"/>
        </w:rPr>
        <w:t>。图7/8对应SVG保留可编辑文字与矢量图元。复算scripts/resume_ranking_attribute_validation.py，论文核对scripts/audit_rank_validated_visual_state_paper.py。</w:t>
      </w:r>
    </w:p>
    <w:p>
      <w:pPr>
        <w:pStyle w:val="Heading2"/>
      </w:pPr>
      <w:r>
        <w:t>附录B：主要结论与支持等级</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结论</w:t>
            </w:r>
          </w:p>
        </w:tc>
        <w:tc>
          <w:tcPr>
            <w:tcW w:type="dxa" w:w="3135"/>
            <w:shd w:fill="D9EAF7"/>
          </w:tcPr>
          <w:p>
            <w:pPr>
              <w:spacing w:after="0"/>
            </w:pPr>
            <w:r>
              <w:rPr>
                <w:rFonts w:ascii="Times New Roman" w:hAnsi="Times New Roman" w:eastAsia="宋体"/>
                <w:b/>
                <w:sz w:val="17"/>
              </w:rPr>
              <w:t>当前支持程度</w:t>
            </w:r>
          </w:p>
        </w:tc>
        <w:tc>
          <w:tcPr>
            <w:tcW w:type="dxa" w:w="3135"/>
            <w:shd w:fill="D9EAF7"/>
          </w:tcPr>
          <w:p>
            <w:pPr>
              <w:spacing w:after="0"/>
            </w:pPr>
            <w:r>
              <w:rPr>
                <w:rFonts w:ascii="Times New Roman" w:hAnsi="Times New Roman" w:eastAsia="宋体"/>
                <w:b/>
                <w:sz w:val="17"/>
              </w:rPr>
              <w:t>表述边界</w:t>
            </w:r>
          </w:p>
        </w:tc>
      </w:tr>
      <w:tr>
        <w:tc>
          <w:tcPr>
            <w:tcW w:type="dxa" w:w="3135"/>
          </w:tcPr>
          <w:p>
            <w:pPr>
              <w:spacing w:after="0"/>
            </w:pPr>
            <w:r>
              <w:rPr>
                <w:rFonts w:ascii="Times New Roman" w:hAnsi="Times New Roman" w:eastAsia="宋体"/>
                <w:b w:val="0"/>
                <w:sz w:val="17"/>
              </w:rPr>
              <w:t>预定义风险分层区分固定分类器表现</w:t>
            </w:r>
          </w:p>
        </w:tc>
        <w:tc>
          <w:tcPr>
            <w:tcW w:type="dxa" w:w="3135"/>
          </w:tcPr>
          <w:p>
            <w:pPr>
              <w:spacing w:after="0"/>
            </w:pPr>
            <w:r>
              <w:rPr>
                <w:rFonts w:ascii="Times New Roman" w:hAnsi="Times New Roman" w:eastAsia="宋体"/>
                <w:b w:val="0"/>
                <w:sz w:val="17"/>
              </w:rPr>
              <w:t>在被测设置内支持，另一来源复现</w:t>
            </w:r>
          </w:p>
        </w:tc>
        <w:tc>
          <w:tcPr>
            <w:tcW w:type="dxa" w:w="3135"/>
          </w:tcPr>
          <w:p>
            <w:pPr>
              <w:spacing w:after="0"/>
            </w:pPr>
            <w:r>
              <w:rPr>
                <w:rFonts w:ascii="Times New Roman" w:hAnsi="Times New Roman" w:eastAsia="宋体"/>
                <w:b w:val="0"/>
                <w:sz w:val="17"/>
              </w:rPr>
              <w:t>主要是Q5与Q1差异；不要求逐层单调</w:t>
            </w:r>
          </w:p>
        </w:tc>
      </w:tr>
      <w:tr>
        <w:tc>
          <w:tcPr>
            <w:tcW w:type="dxa" w:w="3135"/>
          </w:tcPr>
          <w:p>
            <w:pPr>
              <w:spacing w:after="0"/>
            </w:pPr>
            <w:r>
              <w:rPr>
                <w:rFonts w:ascii="Times New Roman" w:hAnsi="Times New Roman" w:eastAsia="宋体"/>
                <w:b w:val="0"/>
                <w:sz w:val="17"/>
              </w:rPr>
              <w:t>覆盖与性能提供不同测试信息</w:t>
            </w:r>
          </w:p>
        </w:tc>
        <w:tc>
          <w:tcPr>
            <w:tcW w:type="dxa" w:w="3135"/>
          </w:tcPr>
          <w:p>
            <w:pPr>
              <w:spacing w:after="0"/>
            </w:pPr>
            <w:r>
              <w:rPr>
                <w:rFonts w:ascii="Times New Roman" w:hAnsi="Times New Roman" w:eastAsia="宋体"/>
                <w:b w:val="0"/>
                <w:sz w:val="17"/>
              </w:rPr>
              <w:t>数据与指标定义支持</w:t>
            </w:r>
          </w:p>
        </w:tc>
        <w:tc>
          <w:tcPr>
            <w:tcW w:type="dxa" w:w="3135"/>
          </w:tcPr>
          <w:p>
            <w:pPr>
              <w:spacing w:after="0"/>
            </w:pPr>
            <w:r>
              <w:rPr>
                <w:rFonts w:ascii="Times New Roman" w:hAnsi="Times New Roman" w:eastAsia="宋体"/>
                <w:b w:val="0"/>
                <w:sz w:val="17"/>
              </w:rPr>
              <w:t>不能把覆盖增长直接解释为F1下降的原因</w:t>
            </w:r>
          </w:p>
        </w:tc>
      </w:tr>
      <w:tr>
        <w:tc>
          <w:tcPr>
            <w:tcW w:type="dxa" w:w="3135"/>
          </w:tcPr>
          <w:p>
            <w:pPr>
              <w:spacing w:after="0"/>
            </w:pPr>
            <w:r>
              <w:rPr>
                <w:rFonts w:ascii="Times New Roman" w:hAnsi="Times New Roman" w:eastAsia="宋体"/>
                <w:b w:val="0"/>
                <w:sz w:val="17"/>
              </w:rPr>
              <w:t>Coverage相对Random增加诊断广度</w:t>
            </w:r>
          </w:p>
        </w:tc>
        <w:tc>
          <w:tcPr>
            <w:tcW w:type="dxa" w:w="3135"/>
          </w:tcPr>
          <w:p>
            <w:pPr>
              <w:spacing w:after="0"/>
            </w:pPr>
            <w:r>
              <w:rPr>
                <w:rFonts w:ascii="Times New Roman" w:hAnsi="Times New Roman" w:eastAsia="宋体"/>
                <w:b w:val="0"/>
                <w:sz w:val="17"/>
              </w:rPr>
              <w:t>条件性支持</w:t>
            </w:r>
          </w:p>
        </w:tc>
        <w:tc>
          <w:tcPr>
            <w:tcW w:type="dxa" w:w="3135"/>
          </w:tcPr>
          <w:p>
            <w:pPr>
              <w:spacing w:after="0"/>
            </w:pPr>
            <w:r>
              <w:rPr>
                <w:rFonts w:ascii="Times New Roman" w:hAnsi="Times New Roman" w:eastAsia="宋体"/>
                <w:b w:val="0"/>
                <w:sz w:val="17"/>
              </w:rPr>
              <w:t>依赖来源、控制协议及表征；VOC本地未获支持</w:t>
            </w:r>
          </w:p>
        </w:tc>
      </w:tr>
      <w:tr>
        <w:tc>
          <w:tcPr>
            <w:tcW w:type="dxa" w:w="3135"/>
          </w:tcPr>
          <w:p>
            <w:pPr>
              <w:spacing w:after="0"/>
            </w:pPr>
            <w:r>
              <w:rPr>
                <w:rFonts w:ascii="Times New Roman" w:hAnsi="Times New Roman" w:eastAsia="宋体"/>
                <w:b w:val="0"/>
                <w:sz w:val="17"/>
              </w:rPr>
              <w:t>冻结薄弱状态在新样本中复现</w:t>
            </w:r>
          </w:p>
        </w:tc>
        <w:tc>
          <w:tcPr>
            <w:tcW w:type="dxa" w:w="3135"/>
          </w:tcPr>
          <w:p>
            <w:pPr>
              <w:spacing w:after="0"/>
            </w:pPr>
            <w:r>
              <w:rPr>
                <w:rFonts w:ascii="Times New Roman" w:hAnsi="Times New Roman" w:eastAsia="宋体"/>
                <w:b w:val="0"/>
                <w:sz w:val="17"/>
              </w:rPr>
              <w:t>B/D多数可评价组合支持</w:t>
            </w:r>
          </w:p>
        </w:tc>
        <w:tc>
          <w:tcPr>
            <w:tcW w:type="dxa" w:w="3135"/>
          </w:tcPr>
          <w:p>
            <w:pPr>
              <w:spacing w:after="0"/>
            </w:pPr>
            <w:r>
              <w:rPr>
                <w:rFonts w:ascii="Times New Roman" w:hAnsi="Times New Roman" w:eastAsia="宋体"/>
                <w:b w:val="0"/>
                <w:sz w:val="17"/>
              </w:rPr>
              <w:t>不代表每条状态均复现或每条显著</w:t>
            </w:r>
          </w:p>
        </w:tc>
      </w:tr>
      <w:tr>
        <w:tc>
          <w:tcPr>
            <w:tcW w:type="dxa" w:w="3135"/>
          </w:tcPr>
          <w:p>
            <w:pPr>
              <w:spacing w:after="0"/>
            </w:pPr>
            <w:r>
              <w:rPr>
                <w:rFonts w:ascii="Times New Roman" w:hAnsi="Times New Roman" w:eastAsia="宋体"/>
                <w:b w:val="0"/>
                <w:sz w:val="17"/>
              </w:rPr>
              <w:t>冻结薄弱状态跨来源迁移</w:t>
            </w:r>
          </w:p>
        </w:tc>
        <w:tc>
          <w:tcPr>
            <w:tcW w:type="dxa" w:w="3135"/>
          </w:tcPr>
          <w:p>
            <w:pPr>
              <w:spacing w:after="0"/>
            </w:pPr>
            <w:r>
              <w:rPr>
                <w:rFonts w:ascii="Times New Roman" w:hAnsi="Times New Roman" w:eastAsia="宋体"/>
                <w:b w:val="0"/>
                <w:sz w:val="17"/>
              </w:rPr>
              <w:t>D提供部分支持，C支持不足</w:t>
            </w:r>
          </w:p>
        </w:tc>
        <w:tc>
          <w:tcPr>
            <w:tcW w:type="dxa" w:w="3135"/>
          </w:tcPr>
          <w:p>
            <w:pPr>
              <w:spacing w:after="0"/>
            </w:pPr>
            <w:r>
              <w:rPr>
                <w:rFonts w:ascii="Times New Roman" w:hAnsi="Times New Roman" w:eastAsia="宋体"/>
                <w:b w:val="0"/>
                <w:sz w:val="17"/>
              </w:rPr>
              <w:t>限定已确认来源与有支持的状态，非普遍稳定迁移</w:t>
            </w:r>
          </w:p>
        </w:tc>
      </w:tr>
      <w:tr>
        <w:tc>
          <w:tcPr>
            <w:tcW w:type="dxa" w:w="3135"/>
          </w:tcPr>
          <w:p>
            <w:pPr>
              <w:spacing w:after="0"/>
            </w:pPr>
            <w:r>
              <w:rPr>
                <w:rFonts w:ascii="Times New Roman" w:hAnsi="Times New Roman" w:eastAsia="宋体"/>
                <w:b w:val="0"/>
                <w:sz w:val="17"/>
              </w:rPr>
              <w:t>风险差和排名在全字段一致筛选下稳健</w:t>
            </w:r>
          </w:p>
        </w:tc>
        <w:tc>
          <w:tcPr>
            <w:tcW w:type="dxa" w:w="3135"/>
          </w:tcPr>
          <w:p>
            <w:pPr>
              <w:spacing w:after="0"/>
            </w:pPr>
            <w:r>
              <w:rPr>
                <w:rFonts w:ascii="Times New Roman" w:hAnsi="Times New Roman" w:eastAsia="宋体"/>
                <w:b w:val="0"/>
                <w:sz w:val="17"/>
              </w:rPr>
              <w:t>无法评价</w:t>
            </w:r>
          </w:p>
        </w:tc>
        <w:tc>
          <w:tcPr>
            <w:tcW w:type="dxa" w:w="3135"/>
          </w:tcPr>
          <w:p>
            <w:pPr>
              <w:spacing w:after="0"/>
            </w:pPr>
            <w:r>
              <w:rPr>
                <w:rFonts w:ascii="Times New Roman" w:hAnsi="Times New Roman" w:eastAsia="宋体"/>
                <w:b w:val="0"/>
                <w:sz w:val="17"/>
              </w:rPr>
              <w:t>六类极端风险层支持不足，不能当作已验证</w:t>
            </w:r>
          </w:p>
        </w:tc>
      </w:tr>
      <w:tr>
        <w:tc>
          <w:tcPr>
            <w:tcW w:type="dxa" w:w="3135"/>
          </w:tcPr>
          <w:p>
            <w:pPr>
              <w:spacing w:after="0"/>
            </w:pPr>
            <w:r>
              <w:rPr>
                <w:rFonts w:ascii="Times New Roman" w:hAnsi="Times New Roman" w:eastAsia="宋体"/>
                <w:b w:val="0"/>
                <w:sz w:val="17"/>
              </w:rPr>
              <w:t>完整池来源/unknown配置下平均模型排序</w:t>
            </w:r>
          </w:p>
        </w:tc>
        <w:tc>
          <w:tcPr>
            <w:tcW w:type="dxa" w:w="3135"/>
          </w:tcPr>
          <w:p>
            <w:pPr>
              <w:spacing w:after="0"/>
            </w:pPr>
            <w:r>
              <w:rPr>
                <w:rFonts w:ascii="Times New Roman" w:hAnsi="Times New Roman" w:eastAsia="宋体"/>
                <w:b w:val="0"/>
                <w:sz w:val="17"/>
              </w:rPr>
              <w:t>前列一致，完整顺序部分变化</w:t>
            </w:r>
          </w:p>
        </w:tc>
        <w:tc>
          <w:tcPr>
            <w:tcW w:type="dxa" w:w="3135"/>
          </w:tcPr>
          <w:p>
            <w:pPr>
              <w:spacing w:after="0"/>
            </w:pPr>
            <w:r>
              <w:rPr>
                <w:rFonts w:ascii="Times New Roman" w:hAnsi="Times New Roman" w:eastAsia="宋体"/>
                <w:b w:val="0"/>
                <w:sz w:val="17"/>
              </w:rPr>
              <w:t>与全字段一致筛选不同；D第二名仍有抽样不确定性</w:t>
            </w:r>
          </w:p>
        </w:tc>
      </w:tr>
      <w:tr>
        <w:tc>
          <w:tcPr>
            <w:tcW w:type="dxa" w:w="3135"/>
          </w:tcPr>
          <w:p>
            <w:pPr>
              <w:spacing w:after="0"/>
            </w:pPr>
            <w:r>
              <w:rPr>
                <w:rFonts w:ascii="Times New Roman" w:hAnsi="Times New Roman" w:eastAsia="宋体"/>
                <w:b w:val="0"/>
                <w:sz w:val="17"/>
              </w:rPr>
              <w:t>遮挡/截断官方二值参考核验</w:t>
            </w:r>
          </w:p>
        </w:tc>
        <w:tc>
          <w:tcPr>
            <w:tcW w:type="dxa" w:w="3135"/>
          </w:tcPr>
          <w:p>
            <w:pPr>
              <w:spacing w:after="0"/>
            </w:pPr>
            <w:r>
              <w:rPr>
                <w:rFonts w:ascii="Times New Roman" w:hAnsi="Times New Roman" w:eastAsia="宋体"/>
                <w:b w:val="0"/>
                <w:sz w:val="17"/>
              </w:rPr>
              <w:t>部分参考证据</w:t>
            </w:r>
          </w:p>
        </w:tc>
        <w:tc>
          <w:tcPr>
            <w:tcW w:type="dxa" w:w="3135"/>
          </w:tcPr>
          <w:p>
            <w:pPr>
              <w:spacing w:after="0"/>
            </w:pPr>
            <w:r>
              <w:rPr>
                <w:rFonts w:ascii="Times New Roman" w:hAnsi="Times New Roman" w:eastAsia="宋体"/>
                <w:b w:val="0"/>
                <w:sz w:val="17"/>
              </w:rPr>
              <w:t>字段、来源、类别不同，不代表所有状态语义准确</w:t>
            </w:r>
          </w:p>
        </w:tc>
      </w:tr>
      <w:tr>
        <w:tc>
          <w:tcPr>
            <w:tcW w:type="dxa" w:w="3135"/>
          </w:tcPr>
          <w:p>
            <w:pPr>
              <w:spacing w:after="0"/>
            </w:pPr>
            <w:r>
              <w:rPr>
                <w:rFonts w:ascii="Times New Roman" w:hAnsi="Times New Roman" w:eastAsia="宋体"/>
                <w:b w:val="0"/>
                <w:sz w:val="17"/>
              </w:rPr>
              <w:t>字段一致筛选保留薄弱状态方向</w:t>
            </w:r>
          </w:p>
        </w:tc>
        <w:tc>
          <w:tcPr>
            <w:tcW w:type="dxa" w:w="3135"/>
          </w:tcPr>
          <w:p>
            <w:pPr>
              <w:spacing w:after="0"/>
            </w:pPr>
            <w:r>
              <w:rPr>
                <w:rFonts w:ascii="Times New Roman" w:hAnsi="Times New Roman" w:eastAsia="宋体"/>
                <w:b w:val="0"/>
                <w:sz w:val="17"/>
              </w:rPr>
              <w:t>B/D多数可评价组合支持</w:t>
            </w:r>
          </w:p>
        </w:tc>
        <w:tc>
          <w:tcPr>
            <w:tcW w:type="dxa" w:w="3135"/>
          </w:tcPr>
          <w:p>
            <w:pPr>
              <w:spacing w:after="0"/>
            </w:pPr>
            <w:r>
              <w:rPr>
                <w:rFonts w:ascii="Times New Roman" w:hAnsi="Times New Roman" w:eastAsia="宋体"/>
                <w:b w:val="0"/>
                <w:sz w:val="17"/>
              </w:rPr>
              <w:t>有方向改变和不可评价；事后描述性分析</w:t>
            </w:r>
          </w:p>
        </w:tc>
      </w:tr>
      <w:tr>
        <w:tc>
          <w:tcPr>
            <w:tcW w:type="dxa" w:w="3135"/>
          </w:tcPr>
          <w:p>
            <w:pPr>
              <w:spacing w:after="0"/>
            </w:pPr>
            <w:r>
              <w:rPr>
                <w:rFonts w:ascii="Times New Roman" w:hAnsi="Times New Roman" w:eastAsia="宋体"/>
                <w:b w:val="0"/>
                <w:sz w:val="17"/>
              </w:rPr>
              <w:t>状态标签准确或状态是失败根因</w:t>
            </w:r>
          </w:p>
        </w:tc>
        <w:tc>
          <w:tcPr>
            <w:tcW w:type="dxa" w:w="3135"/>
          </w:tcPr>
          <w:p>
            <w:pPr>
              <w:spacing w:after="0"/>
            </w:pPr>
            <w:r>
              <w:rPr>
                <w:rFonts w:ascii="Times New Roman" w:hAnsi="Times New Roman" w:eastAsia="宋体"/>
                <w:b w:val="0"/>
                <w:sz w:val="17"/>
              </w:rPr>
              <w:t>未验证</w:t>
            </w:r>
          </w:p>
        </w:tc>
        <w:tc>
          <w:tcPr>
            <w:tcW w:type="dxa" w:w="3135"/>
          </w:tcPr>
          <w:p>
            <w:pPr>
              <w:spacing w:after="0"/>
            </w:pPr>
            <w:r>
              <w:rPr>
                <w:rFonts w:ascii="Times New Roman" w:hAnsi="Times New Roman" w:eastAsia="宋体"/>
                <w:b w:val="0"/>
                <w:sz w:val="17"/>
              </w:rPr>
              <w:t>自动结构校验与关联诊断不构成人工真值或因果证明</w:t>
            </w:r>
          </w:p>
        </w:tc>
      </w:tr>
    </w:tbl>
    <w:p/>
    <w:sectPr w:rsidR="00FC693F" w:rsidRPr="0006063C" w:rsidSect="00034616">
      <w:footerReference w:type="default" r:id="rId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