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992E52" w:rsidRDefault="00992E52"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Plan</w:t>
      </w:r>
      <w:r w:rsidR="005D0877">
        <w:rPr>
          <w:rFonts w:eastAsia="Times New Roman" w:cs="Arial"/>
          <w:b/>
          <w:color w:val="000000"/>
          <w:sz w:val="48"/>
          <w:szCs w:val="48"/>
          <w:lang w:eastAsia="es-VE"/>
        </w:rPr>
        <w:t xml:space="preserve"> de</w:t>
      </w:r>
      <w:r>
        <w:rPr>
          <w:rFonts w:eastAsia="Times New Roman" w:cs="Arial"/>
          <w:b/>
          <w:color w:val="000000"/>
          <w:sz w:val="48"/>
          <w:szCs w:val="48"/>
          <w:lang w:eastAsia="es-VE"/>
        </w:rPr>
        <w:t xml:space="preserve"> </w:t>
      </w:r>
      <w:r w:rsidR="00CF621A">
        <w:rPr>
          <w:rFonts w:eastAsia="Times New Roman" w:cs="Arial"/>
          <w:b/>
          <w:color w:val="000000"/>
          <w:sz w:val="48"/>
          <w:szCs w:val="48"/>
          <w:lang w:eastAsia="es-VE"/>
        </w:rPr>
        <w:t>pruebas de s</w:t>
      </w:r>
      <w:r w:rsidR="00992E52">
        <w:rPr>
          <w:rFonts w:eastAsia="Times New Roman" w:cs="Arial"/>
          <w:b/>
          <w:color w:val="000000"/>
          <w:sz w:val="48"/>
          <w:szCs w:val="48"/>
          <w:lang w:eastAsia="es-VE"/>
        </w:rPr>
        <w:t>oftware</w:t>
      </w:r>
      <w:r w:rsidR="005D0877">
        <w:rPr>
          <w:rFonts w:eastAsia="Times New Roman" w:cs="Arial"/>
          <w:b/>
          <w:color w:val="000000"/>
          <w:sz w:val="48"/>
          <w:szCs w:val="48"/>
          <w:lang w:eastAsia="es-VE"/>
        </w:rPr>
        <w:t xml:space="preserve"> </w:t>
      </w:r>
    </w:p>
    <w:p w:rsidR="00992E52" w:rsidRDefault="00992E52" w:rsidP="002D4F14">
      <w:pPr>
        <w:spacing w:after="0" w:line="240" w:lineRule="auto"/>
        <w:jc w:val="right"/>
        <w:rPr>
          <w:rFonts w:ascii="Calibri" w:hAnsi="Calibri"/>
          <w:b/>
          <w:i/>
          <w:color w:val="00B050"/>
          <w:sz w:val="36"/>
          <w:szCs w:val="36"/>
        </w:rPr>
      </w:pPr>
    </w:p>
    <w:p w:rsidR="002D4F14" w:rsidRDefault="002D4F14" w:rsidP="00CA271E">
      <w:pPr>
        <w:spacing w:after="0" w:line="240" w:lineRule="auto"/>
        <w:jc w:val="center"/>
        <w:rPr>
          <w:rFonts w:ascii="Calibri" w:hAnsi="Calibri"/>
          <w:b/>
          <w:i/>
          <w:color w:val="00B050"/>
          <w:sz w:val="36"/>
          <w:szCs w:val="36"/>
        </w:rPr>
      </w:pPr>
      <w:r>
        <w:rPr>
          <w:rFonts w:ascii="Calibri" w:hAnsi="Calibri"/>
          <w:b/>
          <w:i/>
          <w:color w:val="00B050"/>
          <w:sz w:val="36"/>
          <w:szCs w:val="36"/>
        </w:rPr>
        <w:t>Sistema Hospitalario Privado Hospital H&amp;H</w:t>
      </w:r>
    </w:p>
    <w:p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Pr="002D4F14">
        <w:rPr>
          <w:b/>
          <w:i/>
          <w:color w:val="00B050"/>
          <w:sz w:val="36"/>
          <w:szCs w:val="36"/>
        </w:rPr>
        <w:t>30/05/2026</w:t>
      </w:r>
    </w:p>
    <w:p w:rsidR="002D5AFF" w:rsidRDefault="002D5AFF" w:rsidP="006B5E5F">
      <w:pPr>
        <w:spacing w:after="0" w:line="240" w:lineRule="auto"/>
        <w:rPr>
          <w:rFonts w:eastAsia="Times New Roman" w:cs="Arial"/>
          <w:b/>
          <w:color w:val="365F91"/>
          <w:szCs w:val="24"/>
          <w:lang w:eastAsia="es-VE"/>
        </w:rPr>
      </w:pPr>
    </w:p>
    <w:p w:rsidR="002D5AFF" w:rsidRDefault="002D5AFF"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992E52" w:rsidRDefault="00992E52"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992E52" w:rsidRDefault="00992E52" w:rsidP="00C11E7C">
      <w:pPr>
        <w:pStyle w:val="Ttulo1"/>
        <w:rPr>
          <w:lang w:val="es-VE"/>
        </w:rPr>
      </w:pPr>
      <w:bookmarkStart w:id="0" w:name="_Toc388088226"/>
      <w:r>
        <w:rPr>
          <w:lang w:val="es-VE"/>
        </w:rPr>
        <w:t xml:space="preserve">Historial de </w:t>
      </w:r>
      <w:r w:rsidR="00CF621A">
        <w:rPr>
          <w:lang w:val="es-VE"/>
        </w:rPr>
        <w:t>v</w:t>
      </w:r>
      <w:r>
        <w:rPr>
          <w:lang w:val="es-VE"/>
        </w:rPr>
        <w:t>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71"/>
        <w:gridCol w:w="1821"/>
        <w:gridCol w:w="1825"/>
        <w:gridCol w:w="2912"/>
      </w:tblGrid>
      <w:tr w:rsidR="00992E52" w:rsidTr="00992E52">
        <w:tc>
          <w:tcPr>
            <w:tcW w:w="10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rsidTr="00992E52">
        <w:tc>
          <w:tcPr>
            <w:tcW w:w="1085" w:type="dxa"/>
          </w:tcPr>
          <w:p w:rsidR="00E97026" w:rsidRDefault="00217564">
            <w:pPr>
              <w:spacing w:after="0" w:line="240" w:lineRule="auto"/>
              <w:jc w:val="center"/>
              <w:rPr>
                <w:rFonts w:eastAsia="Times New Roman" w:cs="Arial"/>
                <w:color w:val="000000"/>
                <w:sz w:val="20"/>
                <w:szCs w:val="20"/>
                <w:lang w:eastAsia="es-VE"/>
              </w:rPr>
            </w:pPr>
            <w:r>
              <w:rPr>
                <w:rFonts w:eastAsia="Times New Roman" w:cs="Arial"/>
                <w:color w:val="000000"/>
                <w:sz w:val="20"/>
                <w:szCs w:val="20"/>
              </w:rPr>
              <w:t>30/05/2026</w:t>
            </w:r>
          </w:p>
        </w:tc>
        <w:tc>
          <w:tcPr>
            <w:tcW w:w="1183" w:type="dxa"/>
          </w:tcPr>
          <w:p w:rsidR="00E97026" w:rsidRDefault="00217564">
            <w:pPr>
              <w:spacing w:after="0" w:line="240" w:lineRule="auto"/>
              <w:jc w:val="center"/>
              <w:rPr>
                <w:rFonts w:eastAsia="Times New Roman" w:cs="Arial"/>
                <w:color w:val="000000"/>
                <w:sz w:val="20"/>
                <w:szCs w:val="20"/>
                <w:lang w:eastAsia="es-VE"/>
              </w:rPr>
            </w:pPr>
            <w:r>
              <w:rPr>
                <w:rFonts w:eastAsia="Times New Roman" w:cs="Arial"/>
                <w:color w:val="000000"/>
                <w:sz w:val="20"/>
                <w:szCs w:val="20"/>
              </w:rPr>
              <w:t>1.0</w:t>
            </w:r>
          </w:p>
        </w:tc>
        <w:tc>
          <w:tcPr>
            <w:tcW w:w="1843" w:type="dxa"/>
          </w:tcPr>
          <w:p w:rsidR="00E97026" w:rsidRDefault="002D06FC">
            <w:pPr>
              <w:spacing w:after="0" w:line="240" w:lineRule="auto"/>
              <w:jc w:val="center"/>
              <w:rPr>
                <w:rFonts w:eastAsia="Times New Roman" w:cs="Arial"/>
                <w:color w:val="000000"/>
                <w:sz w:val="20"/>
                <w:szCs w:val="20"/>
                <w:lang w:eastAsia="es-VE"/>
              </w:rPr>
            </w:pPr>
            <w:r>
              <w:t>Héctor Hernández</w:t>
            </w:r>
          </w:p>
        </w:tc>
        <w:tc>
          <w:tcPr>
            <w:tcW w:w="1843" w:type="dxa"/>
          </w:tcPr>
          <w:p w:rsidR="00E97026" w:rsidRDefault="00217564">
            <w:pPr>
              <w:spacing w:after="0" w:line="240" w:lineRule="auto"/>
              <w:jc w:val="center"/>
              <w:rPr>
                <w:rFonts w:eastAsia="Times New Roman" w:cs="Arial"/>
                <w:color w:val="000000"/>
                <w:sz w:val="20"/>
                <w:szCs w:val="20"/>
                <w:lang w:eastAsia="es-VE"/>
              </w:rPr>
            </w:pPr>
            <w:r>
              <w:rPr>
                <w:rFonts w:eastAsia="Times New Roman" w:cs="Arial"/>
                <w:color w:val="000000"/>
                <w:sz w:val="20"/>
                <w:szCs w:val="20"/>
              </w:rPr>
              <w:t>Hospital H&amp;H</w:t>
            </w:r>
          </w:p>
        </w:tc>
        <w:tc>
          <w:tcPr>
            <w:tcW w:w="2992" w:type="dxa"/>
          </w:tcPr>
          <w:p w:rsidR="00E97026" w:rsidRDefault="00217564">
            <w:pPr>
              <w:spacing w:after="0" w:line="240" w:lineRule="auto"/>
              <w:jc w:val="center"/>
              <w:rPr>
                <w:rFonts w:eastAsia="Times New Roman" w:cs="Arial"/>
                <w:color w:val="000000"/>
                <w:sz w:val="20"/>
                <w:szCs w:val="20"/>
                <w:lang w:eastAsia="es-VE"/>
              </w:rPr>
            </w:pPr>
            <w:r>
              <w:rPr>
                <w:rFonts w:eastAsia="Times New Roman" w:cs="Arial"/>
                <w:color w:val="000000"/>
                <w:sz w:val="20"/>
                <w:szCs w:val="20"/>
              </w:rPr>
              <w:t>Versión inicial del plan de pruebas del sistema hospitalario.</w:t>
            </w: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2D5AFF" w:rsidRDefault="00712550" w:rsidP="00C11E7C">
      <w:pPr>
        <w:pStyle w:val="Ttulo1"/>
      </w:pPr>
      <w:bookmarkStart w:id="1" w:name="_Toc388088227"/>
      <w:r>
        <w:t>I</w:t>
      </w:r>
      <w:r w:rsidR="002D5AFF" w:rsidRPr="00FD7899">
        <w:t xml:space="preserve">nformación </w:t>
      </w:r>
      <w:r w:rsidR="00CF621A">
        <w:t>del p</w:t>
      </w:r>
      <w:r w:rsidR="002D4F14" w:rsidRPr="00FD7899">
        <w:t>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2D5AFF" w:rsidRPr="003403DB" w:rsidTr="00992E52">
        <w:tc>
          <w:tcPr>
            <w:tcW w:w="3261" w:type="dxa"/>
            <w:shd w:val="clear" w:color="auto" w:fill="auto"/>
          </w:tcPr>
          <w:p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shd w:val="clear" w:color="auto" w:fill="auto"/>
          </w:tcPr>
          <w:p w:rsidR="00E97026" w:rsidRDefault="002D06FC">
            <w:pPr>
              <w:spacing w:after="0" w:line="240" w:lineRule="auto"/>
              <w:rPr>
                <w:rFonts w:eastAsia="Times New Roman" w:cs="Arial"/>
                <w:color w:val="000000"/>
                <w:szCs w:val="24"/>
                <w:lang w:eastAsia="es-VE"/>
              </w:rPr>
            </w:pPr>
            <w:r>
              <w:t>Héctor Hernández</w:t>
            </w:r>
            <w:r>
              <w:rPr>
                <w:rFonts w:eastAsia="Times New Roman" w:cs="Arial"/>
                <w:color w:val="000000"/>
                <w:szCs w:val="24"/>
              </w:rPr>
              <w:t xml:space="preserve"> </w:t>
            </w:r>
            <w:r w:rsidR="00217564">
              <w:rPr>
                <w:rFonts w:eastAsia="Times New Roman" w:cs="Arial"/>
                <w:color w:val="000000"/>
                <w:szCs w:val="24"/>
              </w:rPr>
              <w:t>— Hospital H&amp;H</w:t>
            </w:r>
          </w:p>
        </w:tc>
      </w:tr>
      <w:tr w:rsidR="002D5AFF" w:rsidRPr="003403DB" w:rsidTr="00992E52">
        <w:tc>
          <w:tcPr>
            <w:tcW w:w="3261" w:type="dxa"/>
            <w:shd w:val="clear" w:color="auto" w:fill="auto"/>
          </w:tcPr>
          <w:p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rsidR="00E97026" w:rsidRDefault="00217564">
            <w:pPr>
              <w:spacing w:after="0" w:line="240" w:lineRule="auto"/>
              <w:rPr>
                <w:rFonts w:eastAsia="Times New Roman" w:cs="Arial"/>
                <w:color w:val="000000"/>
                <w:szCs w:val="24"/>
                <w:lang w:eastAsia="es-VE"/>
              </w:rPr>
            </w:pPr>
            <w:r>
              <w:rPr>
                <w:rFonts w:eastAsia="Times New Roman" w:cs="Arial"/>
                <w:color w:val="000000"/>
                <w:szCs w:val="24"/>
              </w:rPr>
              <w:t>Sistema Hospitalario Privado Hospital H&amp;H</w:t>
            </w:r>
          </w:p>
        </w:tc>
      </w:tr>
      <w:tr w:rsidR="002D4F14" w:rsidRPr="003403DB" w:rsidTr="00992E52">
        <w:tc>
          <w:tcPr>
            <w:tcW w:w="3261" w:type="dxa"/>
            <w:shd w:val="clear" w:color="auto" w:fill="auto"/>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rsidR="00E97026" w:rsidRDefault="00217564">
            <w:pPr>
              <w:spacing w:after="0" w:line="240" w:lineRule="auto"/>
              <w:rPr>
                <w:rFonts w:eastAsia="Times New Roman" w:cs="Arial"/>
                <w:color w:val="000000"/>
                <w:szCs w:val="24"/>
                <w:lang w:eastAsia="es-VE"/>
              </w:rPr>
            </w:pPr>
            <w:r>
              <w:rPr>
                <w:rFonts w:eastAsia="Times New Roman" w:cs="Arial"/>
                <w:color w:val="000000"/>
                <w:szCs w:val="24"/>
              </w:rPr>
              <w:t>30/05/2026</w:t>
            </w:r>
          </w:p>
        </w:tc>
      </w:tr>
      <w:tr w:rsidR="002D4F14" w:rsidRPr="003403DB" w:rsidTr="00992E52">
        <w:tc>
          <w:tcPr>
            <w:tcW w:w="3261" w:type="dxa"/>
            <w:shd w:val="clear" w:color="auto" w:fill="auto"/>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rsidR="00E97026" w:rsidRDefault="00217564">
            <w:pPr>
              <w:spacing w:after="0" w:line="240" w:lineRule="auto"/>
              <w:rPr>
                <w:rFonts w:eastAsia="Times New Roman" w:cs="Arial"/>
                <w:color w:val="000000"/>
                <w:szCs w:val="24"/>
                <w:lang w:eastAsia="es-VE"/>
              </w:rPr>
            </w:pPr>
            <w:r>
              <w:rPr>
                <w:rFonts w:eastAsia="Times New Roman" w:cs="Arial"/>
                <w:color w:val="000000"/>
                <w:szCs w:val="24"/>
              </w:rPr>
              <w:t>Hospital H&amp;H</w:t>
            </w:r>
          </w:p>
        </w:tc>
      </w:tr>
      <w:tr w:rsidR="00B94149" w:rsidRPr="003403DB" w:rsidTr="00992E52">
        <w:tc>
          <w:tcPr>
            <w:tcW w:w="3261" w:type="dxa"/>
            <w:shd w:val="clear" w:color="auto" w:fill="auto"/>
          </w:tcPr>
          <w:p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rsidR="00E97026" w:rsidRDefault="00217564">
            <w:pPr>
              <w:spacing w:after="0" w:line="240" w:lineRule="auto"/>
              <w:rPr>
                <w:rFonts w:eastAsia="Times New Roman" w:cs="Arial"/>
                <w:color w:val="000000"/>
                <w:szCs w:val="24"/>
                <w:lang w:eastAsia="es-VE"/>
              </w:rPr>
            </w:pPr>
            <w:r>
              <w:rPr>
                <w:rFonts w:eastAsia="Times New Roman" w:cs="Arial"/>
                <w:color w:val="000000"/>
                <w:szCs w:val="24"/>
              </w:rPr>
              <w:t>Dirección General — Hospital H&amp;H</w:t>
            </w:r>
          </w:p>
        </w:tc>
      </w:tr>
      <w:tr w:rsidR="002D4F14" w:rsidRPr="003403DB" w:rsidTr="00992E52">
        <w:tc>
          <w:tcPr>
            <w:tcW w:w="3261" w:type="dxa"/>
            <w:shd w:val="clear" w:color="auto" w:fill="auto"/>
          </w:tcPr>
          <w:p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w:t>
            </w:r>
            <w:r w:rsidR="00992E52">
              <w:rPr>
                <w:rFonts w:eastAsia="Times New Roman" w:cs="Arial"/>
                <w:color w:val="000000"/>
                <w:szCs w:val="24"/>
                <w:lang w:eastAsia="es-VE"/>
              </w:rPr>
              <w:t>royecto</w:t>
            </w:r>
          </w:p>
        </w:tc>
        <w:tc>
          <w:tcPr>
            <w:tcW w:w="5609" w:type="dxa"/>
            <w:shd w:val="clear" w:color="auto" w:fill="auto"/>
          </w:tcPr>
          <w:p w:rsidR="002D4F14" w:rsidRPr="003403DB" w:rsidRDefault="002D06FC" w:rsidP="003403DB">
            <w:pPr>
              <w:spacing w:after="0" w:line="240" w:lineRule="auto"/>
              <w:rPr>
                <w:rFonts w:eastAsia="Times New Roman" w:cs="Arial"/>
                <w:color w:val="000000"/>
                <w:szCs w:val="24"/>
                <w:lang w:eastAsia="es-VE"/>
              </w:rPr>
            </w:pPr>
            <w:r>
              <w:t>Héctor Hernández</w:t>
            </w:r>
          </w:p>
        </w:tc>
      </w:tr>
      <w:tr w:rsidR="00992E52" w:rsidRPr="003403DB" w:rsidTr="00992E52">
        <w:tc>
          <w:tcPr>
            <w:tcW w:w="3261" w:type="dxa"/>
            <w:shd w:val="clear" w:color="auto" w:fill="auto"/>
          </w:tcPr>
          <w:p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w:t>
            </w:r>
            <w:r w:rsidR="00992E52">
              <w:rPr>
                <w:rFonts w:eastAsia="Times New Roman" w:cs="Arial"/>
                <w:color w:val="000000"/>
                <w:szCs w:val="24"/>
                <w:lang w:eastAsia="es-VE"/>
              </w:rPr>
              <w:t xml:space="preserve">ruebas </w:t>
            </w:r>
            <w:r>
              <w:rPr>
                <w:rFonts w:eastAsia="Times New Roman" w:cs="Arial"/>
                <w:color w:val="000000"/>
                <w:szCs w:val="24"/>
                <w:lang w:eastAsia="es-VE"/>
              </w:rPr>
              <w:t>de s</w:t>
            </w:r>
            <w:r w:rsidR="00992E52">
              <w:rPr>
                <w:rFonts w:eastAsia="Times New Roman" w:cs="Arial"/>
                <w:color w:val="000000"/>
                <w:szCs w:val="24"/>
                <w:lang w:eastAsia="es-VE"/>
              </w:rPr>
              <w:t>oftware</w:t>
            </w:r>
          </w:p>
        </w:tc>
        <w:tc>
          <w:tcPr>
            <w:tcW w:w="5609" w:type="dxa"/>
            <w:shd w:val="clear" w:color="auto" w:fill="auto"/>
          </w:tcPr>
          <w:p w:rsidR="00E97026" w:rsidRDefault="002D06FC">
            <w:pPr>
              <w:spacing w:after="0" w:line="240" w:lineRule="auto"/>
              <w:rPr>
                <w:rFonts w:eastAsia="Times New Roman" w:cs="Arial"/>
                <w:color w:val="000000"/>
                <w:szCs w:val="24"/>
                <w:lang w:eastAsia="es-VE"/>
              </w:rPr>
            </w:pPr>
            <w:r>
              <w:t>Héctor Hernández</w:t>
            </w:r>
          </w:p>
        </w:tc>
      </w:tr>
    </w:tbl>
    <w:p w:rsidR="00C11E7C" w:rsidRDefault="00C11E7C" w:rsidP="00C11E7C"/>
    <w:p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rsidTr="00992E52">
        <w:tc>
          <w:tcPr>
            <w:tcW w:w="19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w:t>
            </w:r>
            <w:r w:rsidR="00992E52">
              <w:rPr>
                <w:rFonts w:eastAsia="Times New Roman" w:cs="Arial"/>
                <w:b/>
                <w:color w:val="000000"/>
                <w:sz w:val="20"/>
                <w:szCs w:val="20"/>
                <w:lang w:eastAsia="es-VE"/>
              </w:rPr>
              <w:t>rganización</w:t>
            </w:r>
          </w:p>
        </w:tc>
        <w:tc>
          <w:tcPr>
            <w:tcW w:w="85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E24BC7" w:rsidRDefault="00E24BC7" w:rsidP="000B64A1">
      <w:pPr>
        <w:spacing w:after="0"/>
      </w:pPr>
    </w:p>
    <w:p w:rsidR="00B31CA8" w:rsidRDefault="00B31CA8" w:rsidP="000B64A1">
      <w:pPr>
        <w:spacing w:after="0"/>
      </w:pPr>
    </w:p>
    <w:p w:rsidR="00B31CA8" w:rsidRDefault="00B31CA8" w:rsidP="000B64A1">
      <w:pPr>
        <w:spacing w:after="0"/>
      </w:pPr>
    </w:p>
    <w:p w:rsidR="00AD1BEE" w:rsidRDefault="00AD1BEE" w:rsidP="000B64A1">
      <w:pPr>
        <w:spacing w:after="0"/>
      </w:pPr>
    </w:p>
    <w:p w:rsidR="00B31CA8" w:rsidRDefault="00B31CA8" w:rsidP="000B64A1">
      <w:pPr>
        <w:spacing w:after="0"/>
      </w:pPr>
    </w:p>
    <w:p w:rsidR="00B31CA8" w:rsidRDefault="00B31CA8" w:rsidP="000B64A1">
      <w:pPr>
        <w:spacing w:after="0"/>
      </w:pPr>
    </w:p>
    <w:p w:rsidR="00B97EF4" w:rsidRDefault="00CF621A" w:rsidP="00AD1BEE">
      <w:pPr>
        <w:pStyle w:val="Ttulo1"/>
        <w:rPr>
          <w:rFonts w:ascii="Calibri" w:hAnsi="Calibri"/>
          <w:color w:val="222222"/>
          <w:sz w:val="22"/>
          <w:lang w:eastAsia="es-VE"/>
        </w:rPr>
      </w:pPr>
      <w:bookmarkStart w:id="3" w:name="_Toc388088229"/>
      <w:r>
        <w:t>Resumen e</w:t>
      </w:r>
      <w:r w:rsidR="00B97EF4" w:rsidRPr="00B97EF4">
        <w:t>jecutivo</w:t>
      </w:r>
      <w:bookmarkEnd w:id="3"/>
      <w:r w:rsidR="00B97EF4" w:rsidRPr="00B97EF4">
        <w:rPr>
          <w:rFonts w:ascii="Calibri" w:hAnsi="Calibri"/>
          <w:color w:val="222222"/>
          <w:sz w:val="22"/>
          <w:lang w:eastAsia="es-VE"/>
        </w:rPr>
        <w:t> </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El presente documento constituye el plan maestro de pruebas del Sistema Hospitalario Privado Hospital H&amp;H. Su propósito es definir la estrategia, el alcance y los criterios de aceptación para validar el software antes de su operación en el entorno instituc</w:t>
      </w:r>
      <w:r>
        <w:rPr>
          <w:rFonts w:eastAsia="Times New Roman" w:cs="Arial"/>
          <w:color w:val="00B050"/>
          <w:szCs w:val="24"/>
          <w:lang w:eastAsia="es-VE"/>
        </w:rPr>
        <w:t>ional.</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El plan se alinea con el proyecto de desarrollo monolítico (Spring Boot 3.4.4, Angular 19, PostgreSQL 15) y cubre pruebas funcionales, de reglas de negocio, de seguridad por rol, de integración entre módulos y pruebas extremo a extremo (E2E) de los flujos </w:t>
      </w:r>
      <w:r>
        <w:rPr>
          <w:rFonts w:eastAsia="Times New Roman" w:cs="Arial"/>
          <w:color w:val="00B050"/>
          <w:szCs w:val="24"/>
          <w:lang w:eastAsia="es-VE"/>
        </w:rPr>
        <w:t>de consulta programada y emergencia.</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El esfuerzo contempla 45 casos de prueba identificados (TC-001 a TC-045), ejecutados en entorno local con backend en puerto 8080, frontend en puerto 4200 y base de datos hospital. Las restricciones incluyen disponibilid</w:t>
      </w:r>
      <w:r>
        <w:rPr>
          <w:rFonts w:eastAsia="Times New Roman" w:cs="Arial"/>
          <w:color w:val="00B050"/>
          <w:szCs w:val="24"/>
          <w:lang w:eastAsia="es-VE"/>
        </w:rPr>
        <w:t>ad de usuarios de prueba por rol, conectividad SMTP opcional para notificaciones de citas y adjuntos de laboratorio en filesystem local.</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Los criterios globales de aceptación exigen compilación exitosa (mvn test y ng build), respuestas de error conformes a </w:t>
      </w:r>
      <w:r>
        <w:rPr>
          <w:rFonts w:eastAsia="Times New Roman" w:cs="Arial"/>
          <w:color w:val="00B050"/>
          <w:szCs w:val="24"/>
          <w:lang w:eastAsia="es-VE"/>
        </w:rPr>
        <w:t>ApiErrorResponse, respeto de la matriz de permisos por rol y trazabilidad de estados terminales en admisiones, atenciones, órdenes, laboratorio y pagos.</w:t>
      </w: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Pr="00B97EF4" w:rsidRDefault="00304BD5" w:rsidP="00B97EF4">
      <w:pPr>
        <w:shd w:val="clear" w:color="auto" w:fill="FFFFFF"/>
        <w:spacing w:after="0" w:line="240" w:lineRule="auto"/>
        <w:rPr>
          <w:rFonts w:eastAsia="Times New Roman" w:cs="Arial"/>
          <w:color w:val="00B050"/>
          <w:szCs w:val="24"/>
          <w:lang w:eastAsia="es-VE"/>
        </w:rPr>
      </w:pPr>
    </w:p>
    <w:p w:rsidR="00B97EF4" w:rsidRPr="00B97EF4" w:rsidRDefault="00B97EF4" w:rsidP="00B97EF4">
      <w:pPr>
        <w:shd w:val="clear" w:color="auto" w:fill="FFFFFF"/>
        <w:spacing w:after="0" w:line="240" w:lineRule="auto"/>
        <w:rPr>
          <w:rFonts w:ascii="Calibri" w:eastAsia="Times New Roman" w:hAnsi="Calibri"/>
          <w:color w:val="222222"/>
          <w:sz w:val="22"/>
          <w:lang w:eastAsia="es-VE"/>
        </w:rPr>
      </w:pPr>
      <w:r w:rsidRPr="00B97EF4">
        <w:rPr>
          <w:rFonts w:ascii="Calibri" w:eastAsia="Times New Roman" w:hAnsi="Calibri"/>
          <w:color w:val="222222"/>
          <w:sz w:val="22"/>
          <w:lang w:eastAsia="es-VE"/>
        </w:rPr>
        <w:t> </w:t>
      </w:r>
    </w:p>
    <w:p w:rsidR="002D06FC" w:rsidRDefault="002D06FC" w:rsidP="00AD1BEE">
      <w:pPr>
        <w:pStyle w:val="Ttulo1"/>
      </w:pPr>
      <w:bookmarkStart w:id="4" w:name="_Toc388088230"/>
    </w:p>
    <w:p w:rsidR="002D06FC" w:rsidRDefault="002D06FC" w:rsidP="00AD1BEE">
      <w:pPr>
        <w:pStyle w:val="Ttulo1"/>
      </w:pPr>
    </w:p>
    <w:p w:rsidR="002D06FC" w:rsidRDefault="002D06FC" w:rsidP="00AD1BEE">
      <w:pPr>
        <w:pStyle w:val="Ttulo1"/>
      </w:pPr>
    </w:p>
    <w:p w:rsidR="00B97EF4" w:rsidRPr="00B97EF4" w:rsidRDefault="00B97EF4" w:rsidP="00AD1BEE">
      <w:pPr>
        <w:pStyle w:val="Ttulo1"/>
      </w:pPr>
      <w:r w:rsidRPr="00B97EF4">
        <w:lastRenderedPageBreak/>
        <w:t>Alca</w:t>
      </w:r>
      <w:r w:rsidR="00CF621A">
        <w:t>nce de las p</w:t>
      </w:r>
      <w:r w:rsidRPr="00B97EF4">
        <w:t>ruebas</w:t>
      </w:r>
      <w:bookmarkEnd w:id="4"/>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El alcance incluye los módulos clínicos y administrativos de la intr</w:t>
      </w:r>
      <w:r>
        <w:rPr>
          <w:rFonts w:eastAsia="Times New Roman" w:cs="Arial"/>
          <w:color w:val="00B050"/>
          <w:szCs w:val="24"/>
          <w:lang w:eastAsia="es-VE"/>
        </w:rPr>
        <w:t>anet: autenticación, pacientes, seguros, citas, admisiones, triage (emergencia), atenciones médicas, órdenes médicas, laboratorio, imagenología, medicamentos, pagos, reportes, bitácora, roles, usuarios, personal y especialidades.</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 verifican flujos E2E de</w:t>
      </w:r>
      <w:r>
        <w:rPr>
          <w:rFonts w:eastAsia="Times New Roman" w:cs="Arial"/>
          <w:color w:val="00B050"/>
          <w:szCs w:val="24"/>
          <w:lang w:eastAsia="es-VE"/>
        </w:rPr>
        <w:t xml:space="preserve"> consulta programada (paciente → cita → admisión → atención → órdenes → estudios → pago) y de emergencia (admisión → triage → atención → órdenes → estudios → pago).</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Quedan fuera del alcance: pruebas de carga masiva, pruebas de penetración externa, configur</w:t>
      </w:r>
      <w:r>
        <w:rPr>
          <w:rFonts w:eastAsia="Times New Roman" w:cs="Arial"/>
          <w:color w:val="00B050"/>
          <w:szCs w:val="24"/>
          <w:lang w:eastAsia="es-VE"/>
        </w:rPr>
        <w:t>ación de infraestructura en producción (Azure Blob, despliegue cloud) y políticas institucionales no implementadas en software.</w:t>
      </w:r>
    </w:p>
    <w:p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w:t>
      </w:r>
      <w:r w:rsidR="00B97EF4">
        <w:t>ruebas</w:t>
      </w:r>
      <w:bookmarkEnd w:id="5"/>
    </w:p>
    <w:p w:rsidR="00B97EF4" w:rsidRDefault="00B97EF4" w:rsidP="00B97EF4">
      <w:pPr>
        <w:shd w:val="clear" w:color="auto" w:fill="FFFFFF"/>
        <w:spacing w:after="0" w:line="240" w:lineRule="auto"/>
        <w:rPr>
          <w:rFonts w:eastAsia="Times New Roman" w:cs="Arial"/>
          <w:color w:val="00B050"/>
          <w:szCs w:val="24"/>
          <w:lang w:eastAsia="es-VE"/>
        </w:rPr>
      </w:pP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Autenticación y seguridad (TC-001 a TC-004): login, JWT, acceso denegado por rol.</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 Pacientes y seguros </w:t>
      </w:r>
      <w:r>
        <w:rPr>
          <w:rFonts w:eastAsia="Times New Roman" w:cs="Arial"/>
          <w:color w:val="00B050"/>
          <w:szCs w:val="24"/>
          <w:lang w:eastAsia="es-VE"/>
        </w:rPr>
        <w:t>(TC-005 a TC-007): alta de expediente, unicidad DPI/NIT, pólizas vigentes.</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Citas (TC-008 a TC-012): agenda, solapamiento, correo, reprogramación y cancelación.</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Admisiones (TC-013 a TC-017): seguro, pago en sitio, auto-atención médica, anulación.</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Triage (TC-018 a TC-019): prioridad automática en emergencia, bloqueos por admisión rechazada.</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Atenciones médicas (TC-020 a TC-025): filtros, visibilidad por rol, reasignación, órdenes.</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Órdenes, laboratorio e imágenes (TC-026 a TC-033): auto-creación, correlativos, adjuntos.</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Pagos y permisos (TC-034 a TC-039): cobertura de seguro, comprobante PDF, matriz de roles.</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Reportes y E2E (TC-040 a TC-045): export CSV, flujos completos consul</w:t>
      </w:r>
      <w:r>
        <w:rPr>
          <w:rFonts w:eastAsia="Times New Roman" w:cs="Arial"/>
          <w:color w:val="00B050"/>
          <w:szCs w:val="24"/>
          <w:lang w:eastAsia="es-VE"/>
        </w:rPr>
        <w:t>ta, emergencia y walk-in.</w:t>
      </w:r>
    </w:p>
    <w:p w:rsidR="00036C66" w:rsidRDefault="00036C66" w:rsidP="00B97EF4">
      <w:pPr>
        <w:shd w:val="clear" w:color="auto" w:fill="FFFFFF"/>
        <w:spacing w:after="0" w:line="240" w:lineRule="auto"/>
        <w:rPr>
          <w:rFonts w:ascii="Calibri" w:eastAsia="Times New Roman" w:hAnsi="Calibri"/>
          <w:b/>
          <w:color w:val="00B050"/>
          <w:sz w:val="22"/>
          <w:lang w:eastAsia="es-V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723384" w:rsidRDefault="00723384" w:rsidP="00B97EF4">
      <w:pPr>
        <w:shd w:val="clear" w:color="auto" w:fill="FFFFFF"/>
        <w:spacing w:after="0" w:line="240" w:lineRule="auto"/>
        <w:rPr>
          <w:rFonts w:eastAsia="Times New Roman"/>
          <w:b/>
          <w:bCs/>
          <w:color w:val="365F91"/>
          <w:szCs w:val="36"/>
          <w:lang w:eastAsia="x-none"/>
        </w:rPr>
      </w:pPr>
    </w:p>
    <w:p w:rsidR="00723384" w:rsidRDefault="00723384" w:rsidP="00B97EF4">
      <w:pPr>
        <w:shd w:val="clear" w:color="auto" w:fill="FFFFFF"/>
        <w:spacing w:after="0" w:line="240" w:lineRule="auto"/>
        <w:rPr>
          <w:rFonts w:eastAsia="Times New Roman"/>
          <w:b/>
          <w:bCs/>
          <w:color w:val="365F91"/>
          <w:szCs w:val="36"/>
          <w:lang w:eastAsia="x-none"/>
        </w:rPr>
      </w:pPr>
    </w:p>
    <w:p w:rsidR="00B97EF4" w:rsidRPr="00B97EF4" w:rsidRDefault="00B97EF4" w:rsidP="00AD1BEE">
      <w:pPr>
        <w:pStyle w:val="Ttulo2"/>
        <w:rPr>
          <w:rFonts w:ascii="Calibri" w:hAnsi="Calibri"/>
          <w:color w:val="00B050"/>
          <w:sz w:val="22"/>
          <w:lang w:eastAsia="es-VE"/>
        </w:rPr>
      </w:pPr>
      <w:bookmarkStart w:id="6" w:name="_Toc388088232"/>
      <w:r w:rsidRPr="00B97EF4">
        <w:t xml:space="preserve">Nuevas </w:t>
      </w:r>
      <w:r w:rsidR="00CF621A" w:rsidRPr="00B97EF4">
        <w:t>funcionalidades</w:t>
      </w:r>
      <w:r w:rsidRPr="00B97EF4">
        <w:t xml:space="preserve"> a </w:t>
      </w:r>
      <w:r w:rsidR="00CF621A">
        <w:rPr>
          <w:lang w:val="es-VE"/>
        </w:rPr>
        <w:t>p</w:t>
      </w:r>
      <w:r w:rsidRPr="00B97EF4">
        <w:t>robar</w:t>
      </w:r>
      <w:bookmarkEnd w:id="6"/>
      <w:r w:rsidRPr="00B97EF4">
        <w:rPr>
          <w:rFonts w:cs="Arial"/>
          <w:color w:val="222222"/>
          <w:sz w:val="19"/>
          <w:szCs w:val="19"/>
          <w:lang w:eastAsia="es-VE"/>
        </w:rPr>
        <w:t> </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Desde el punto de vista del usuario se validará: registro de pacientes con consentimiento de privacidad; gestión de pólizas de seguro; agendamiento de citas con confirmación opcional p</w:t>
      </w:r>
      <w:r>
        <w:rPr>
          <w:rFonts w:eastAsia="Times New Roman" w:cs="Arial"/>
          <w:color w:val="00B050"/>
          <w:szCs w:val="24"/>
          <w:lang w:eastAsia="es-VE"/>
        </w:rPr>
        <w:t>or correo; admisiones con validación financiera; triage automático en emergencias; atenciones clínicas con reasignación del médico jefe; generación de órdenes y estudios; completado de laboratorio con adjunto obligatorio; despacho farmacéutico; registro de</w:t>
      </w:r>
      <w:r>
        <w:rPr>
          <w:rFonts w:eastAsia="Times New Roman" w:cs="Arial"/>
          <w:color w:val="00B050"/>
          <w:szCs w:val="24"/>
          <w:lang w:eastAsia="es-VE"/>
        </w:rPr>
        <w:t xml:space="preserve"> pagos con comprobante PDF; consulta de reportes y bitácora según rol.</w:t>
      </w:r>
    </w:p>
    <w:p w:rsidR="00E97026" w:rsidRDefault="0021756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También se verifican restricciones operativas: admisiones rechazadas o anuladas bloquean nuevas atenciones y pagos; laboratorio completado exige archivo adjunto; citas no pueden traslap</w:t>
      </w:r>
      <w:r>
        <w:rPr>
          <w:rFonts w:eastAsia="Times New Roman" w:cs="Arial"/>
          <w:color w:val="00B050"/>
          <w:szCs w:val="24"/>
          <w:lang w:eastAsia="es-VE"/>
        </w:rPr>
        <w:t>ar disponibilidad del médico; el menú lateral muestra únicamente módulos autorizados por rol.</w:t>
      </w: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DB1B12" w:rsidRDefault="00DB1B12" w:rsidP="00DB1B12">
      <w:pPr>
        <w:jc w:val="both"/>
        <w:rPr>
          <w:rFonts w:cs="Arial"/>
          <w:sz w:val="22"/>
          <w:szCs w:val="24"/>
          <w:lang w:val="es-MX" w:eastAsia="es-ES"/>
        </w:rPr>
      </w:pPr>
      <w:r>
        <w:rPr>
          <w:rFonts w:cs="Arial"/>
          <w:sz w:val="22"/>
        </w:rPr>
        <w:t>Cada conjunto de casos de prueba por módulo funcional deberá contemplar:</w:t>
      </w:r>
    </w:p>
    <w:p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rsidR="00DB1B12" w:rsidRDefault="00DB1B12">
            <w:pPr>
              <w:jc w:val="center"/>
              <w:rPr>
                <w:rFonts w:cs="Arial"/>
                <w:b/>
                <w:bCs/>
                <w:sz w:val="20"/>
              </w:rPr>
            </w:pPr>
            <w:r>
              <w:rPr>
                <w:rFonts w:cs="Arial"/>
                <w:b/>
                <w:bCs/>
                <w:sz w:val="20"/>
              </w:rPr>
              <w:t>ELEMENTO DE PRUEBA</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rsidR="00DB1B12" w:rsidRDefault="00DB1B12">
            <w:pPr>
              <w:jc w:val="center"/>
              <w:rPr>
                <w:rFonts w:cs="Arial"/>
                <w:b/>
                <w:bCs/>
                <w:sz w:val="20"/>
              </w:rPr>
            </w:pPr>
            <w:r>
              <w:rPr>
                <w:rFonts w:cs="Arial"/>
                <w:b/>
                <w:bCs/>
                <w:sz w:val="20"/>
              </w:rPr>
              <w:t>CASO DE PRUEBA</w:t>
            </w:r>
          </w:p>
        </w:tc>
      </w:tr>
      <w:tr w:rsidR="00DB1B12" w:rsidRPr="00DB1B12"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Verificar que los datos de entrada cumplan con:</w:t>
            </w:r>
          </w:p>
          <w:p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rsidR="00DB1B12" w:rsidRDefault="00DB1B12">
            <w:pPr>
              <w:rPr>
                <w:rFonts w:cs="Arial"/>
                <w:b/>
                <w:bCs/>
                <w:sz w:val="20"/>
              </w:rPr>
            </w:pPr>
            <w:r>
              <w:rPr>
                <w:rFonts w:cs="Arial"/>
                <w:b/>
                <w:bCs/>
                <w:sz w:val="20"/>
              </w:rPr>
              <w:t>Reglas de Negocio</w:t>
            </w:r>
          </w:p>
          <w:p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Validar reglas de negocio que afecten los datos de entrada (Dependencia de datos).</w:t>
            </w:r>
          </w:p>
        </w:tc>
      </w:tr>
      <w:tr w:rsidR="00DB1B12" w:rsidRPr="00DB1B12"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Validar reglas de negocio que afecten los flujos.</w:t>
            </w:r>
          </w:p>
        </w:tc>
      </w:tr>
      <w:tr w:rsidR="00DB1B12" w:rsidRPr="00DB1B12"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Verificar la ejecución de todos los flujos alternos.</w:t>
            </w:r>
          </w:p>
        </w:tc>
      </w:tr>
      <w:tr w:rsidR="00DB1B12" w:rsidRPr="00DB1B12"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Verificar la ejecución de todos los flujos de Excepción.</w:t>
            </w:r>
          </w:p>
        </w:tc>
      </w:tr>
      <w:tr w:rsidR="00DB1B12" w:rsidRPr="00DB1B12"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Verificar la ejecución del flujo básico.</w:t>
            </w:r>
          </w:p>
        </w:tc>
      </w:tr>
      <w:tr w:rsidR="00DB1B12" w:rsidRPr="00DB1B12"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b/>
                <w:bCs/>
                <w:sz w:val="20"/>
              </w:rPr>
            </w:pPr>
            <w:r>
              <w:rPr>
                <w:rFonts w:cs="Arial"/>
                <w:b/>
                <w:bCs/>
                <w:sz w:val="20"/>
              </w:rPr>
              <w:lastRenderedPageBreak/>
              <w:t>Generalidades:</w:t>
            </w:r>
          </w:p>
        </w:tc>
        <w:tc>
          <w:tcPr>
            <w:tcW w:w="4025" w:type="dxa"/>
            <w:tcBorders>
              <w:top w:val="single" w:sz="4" w:space="0" w:color="auto"/>
              <w:left w:val="single" w:sz="4" w:space="0" w:color="auto"/>
              <w:bottom w:val="single" w:sz="4" w:space="0" w:color="auto"/>
              <w:right w:val="single" w:sz="4" w:space="0" w:color="auto"/>
            </w:tcBorders>
            <w:hideMark/>
          </w:tcPr>
          <w:p w:rsidR="00DB1B12" w:rsidRDefault="00DB1B12">
            <w:pPr>
              <w:rPr>
                <w:rFonts w:cs="Arial"/>
                <w:sz w:val="20"/>
              </w:rPr>
            </w:pPr>
            <w:r>
              <w:rPr>
                <w:rFonts w:cs="Arial"/>
                <w:sz w:val="20"/>
              </w:rPr>
              <w:t xml:space="preserve">Los casos de prueba especifican URL base http://localhost:4200 (frontend) y API http://localhost:8080/api. Usuarios de prueba: admin, recepcion, medico, medico-jefe, laboratorio, farmacia, cajero. Datos de entrada incluyen DPI/NIT únicos, pacientes con y sin seguro vigente, citas futuras, admisiones CONSULTA y EMERGENCIA, órdenes LAB/IMAGEN/FARMACIA y archivos PDF de resultados en ./data/uploads. La ejecución manual documenta capturas; la automatizada utiliza mvn test (JUnit/Mockito) y ng build. </w:t>
            </w:r>
          </w:p>
          <w:p w:rsidR="00DB1B12" w:rsidRDefault="00DB1B12">
            <w:pPr>
              <w:rPr>
                <w:rFonts w:cs="Arial"/>
                <w:sz w:val="20"/>
              </w:rPr>
            </w:pPr>
          </w:p>
        </w:tc>
      </w:tr>
    </w:tbl>
    <w:p w:rsidR="000B64A1" w:rsidRDefault="000B64A1" w:rsidP="00DB1B12">
      <w:pPr>
        <w:pStyle w:val="Ttulo2"/>
        <w:rPr>
          <w:rFonts w:cs="Arial"/>
          <w:color w:val="00B050"/>
          <w:szCs w:val="24"/>
          <w:lang w:val="es-GT" w:eastAsia="es-VE"/>
        </w:rPr>
      </w:pPr>
    </w:p>
    <w:p w:rsidR="00DB1B12" w:rsidRDefault="00DB1B12" w:rsidP="00DB1B12">
      <w:pPr>
        <w:pStyle w:val="Ttulo2"/>
        <w:rPr>
          <w:rFonts w:cs="Arial"/>
          <w:color w:val="00B050"/>
          <w:szCs w:val="24"/>
          <w:lang w:val="es-GT" w:eastAsia="es-VE"/>
        </w:rPr>
      </w:pPr>
    </w:p>
    <w:tbl>
      <w:tblPr>
        <w:tblW w:w="103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187"/>
      </w:tblGrid>
      <w:tr w:rsidR="00DB1B12" w:rsidRPr="00DB1B12" w:rsidTr="0047791C">
        <w:trPr>
          <w:trHeight w:val="32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rsidTr="0047791C">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rsidR="00DB1B12" w:rsidRDefault="00DB1B12">
            <w:pPr>
              <w:numPr>
                <w:ilvl w:val="12"/>
                <w:numId w:val="0"/>
              </w:numPr>
              <w:spacing w:line="256" w:lineRule="auto"/>
              <w:rPr>
                <w:rFonts w:cs="Arial"/>
                <w:b/>
                <w:bCs/>
                <w:i/>
                <w:sz w:val="20"/>
                <w:szCs w:val="20"/>
              </w:rPr>
            </w:pPr>
            <w:r>
              <w:rPr>
                <w:rFonts w:cs="Arial"/>
                <w:i/>
                <w:color w:val="0000FF"/>
                <w:sz w:val="20"/>
                <w:szCs w:val="20"/>
              </w:rPr>
              <w:t>TC-013</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rsidR="00DB1B12" w:rsidRDefault="00DB1B12">
            <w:pPr>
              <w:numPr>
                <w:ilvl w:val="12"/>
                <w:numId w:val="0"/>
              </w:numPr>
              <w:spacing w:line="256" w:lineRule="auto"/>
              <w:jc w:val="center"/>
              <w:rPr>
                <w:rFonts w:cs="Arial"/>
                <w:b/>
                <w:bCs/>
                <w:sz w:val="20"/>
                <w:szCs w:val="20"/>
              </w:rPr>
            </w:pPr>
          </w:p>
        </w:tc>
        <w:tc>
          <w:tcPr>
            <w:tcW w:w="2187"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rsidR="00DB1B12" w:rsidRDefault="00DB1B12">
            <w:pPr>
              <w:numPr>
                <w:ilvl w:val="12"/>
                <w:numId w:val="0"/>
              </w:numPr>
              <w:spacing w:line="256" w:lineRule="auto"/>
              <w:rPr>
                <w:rFonts w:cs="Arial"/>
                <w:i/>
                <w:color w:val="0000FF"/>
                <w:sz w:val="20"/>
                <w:szCs w:val="20"/>
              </w:rPr>
            </w:pPr>
            <w:r>
              <w:rPr>
                <w:rFonts w:cs="Arial"/>
                <w:i/>
                <w:color w:val="0000FF"/>
                <w:sz w:val="20"/>
                <w:szCs w:val="20"/>
              </w:rPr>
              <w:t>1</w:t>
            </w:r>
          </w:p>
        </w:tc>
      </w:tr>
      <w:tr w:rsidR="00DB1B12" w:rsidRPr="00DB1B12" w:rsidTr="0047791C">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187"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rsidR="00DB1B12" w:rsidRDefault="00DB1B12">
            <w:pPr>
              <w:numPr>
                <w:ilvl w:val="12"/>
                <w:numId w:val="0"/>
              </w:numPr>
              <w:spacing w:line="256" w:lineRule="auto"/>
              <w:rPr>
                <w:rFonts w:cs="Arial"/>
                <w:i/>
                <w:color w:val="0000FF"/>
                <w:sz w:val="20"/>
                <w:szCs w:val="20"/>
              </w:rPr>
            </w:pPr>
            <w:r>
              <w:rPr>
                <w:rFonts w:cs="Arial"/>
                <w:i/>
                <w:color w:val="0000FF"/>
                <w:sz w:val="20"/>
                <w:szCs w:val="20"/>
              </w:rPr>
              <w:t>30/05/2026</w:t>
            </w:r>
          </w:p>
        </w:tc>
      </w:tr>
      <w:tr w:rsidR="00DB1B12" w:rsidRPr="00DB1B12" w:rsidTr="0047791C">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rsidR="00DB1B12" w:rsidRDefault="00DB1B12">
            <w:pPr>
              <w:numPr>
                <w:ilvl w:val="12"/>
                <w:numId w:val="0"/>
              </w:numPr>
              <w:spacing w:line="256" w:lineRule="auto"/>
              <w:rPr>
                <w:rFonts w:cs="Arial"/>
                <w:b/>
                <w:bCs/>
                <w:sz w:val="20"/>
                <w:szCs w:val="20"/>
              </w:rPr>
            </w:pPr>
            <w:r>
              <w:rPr>
                <w:rFonts w:cs="Arial"/>
                <w:b/>
                <w:bCs/>
                <w:sz w:val="20"/>
                <w:szCs w:val="20"/>
              </w:rPr>
              <w:t>ESCENARIO FUNCIONAL:</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rsidR="00DB1B12" w:rsidRDefault="00DB1B12">
            <w:pPr>
              <w:numPr>
                <w:ilvl w:val="12"/>
                <w:numId w:val="0"/>
              </w:numPr>
              <w:spacing w:line="256" w:lineRule="auto"/>
              <w:rPr>
                <w:rFonts w:cs="Arial"/>
                <w:i/>
                <w:color w:val="0000FF"/>
                <w:sz w:val="20"/>
                <w:szCs w:val="20"/>
              </w:rPr>
            </w:pPr>
            <w:r>
              <w:rPr>
                <w:rFonts w:cs="Arial"/>
                <w:i/>
                <w:color w:val="0000FF"/>
                <w:sz w:val="20"/>
                <w:szCs w:val="20"/>
              </w:rPr>
              <w:t>Admisión con seguro vigente y auto-atención médica</w:t>
            </w: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rsidR="00DB1B12" w:rsidRDefault="00DB1B12">
            <w:pPr>
              <w:numPr>
                <w:ilvl w:val="12"/>
                <w:numId w:val="0"/>
              </w:numPr>
              <w:spacing w:line="256" w:lineRule="auto"/>
              <w:jc w:val="center"/>
              <w:rPr>
                <w:rFonts w:cs="Arial"/>
                <w:b/>
                <w:bCs/>
                <w:sz w:val="20"/>
                <w:szCs w:val="20"/>
              </w:rPr>
            </w:pPr>
            <w:r>
              <w:rPr>
                <w:rFonts w:cs="Arial"/>
                <w:b/>
                <w:bCs/>
                <w:sz w:val="20"/>
                <w:szCs w:val="20"/>
              </w:rPr>
              <w:t>MODULO DEL SISTEMA</w:t>
            </w:r>
          </w:p>
        </w:tc>
        <w:tc>
          <w:tcPr>
            <w:tcW w:w="2187"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rsidR="00DB1B12" w:rsidRDefault="00DB1B12">
            <w:pPr>
              <w:numPr>
                <w:ilvl w:val="12"/>
                <w:numId w:val="0"/>
              </w:numPr>
              <w:spacing w:line="256" w:lineRule="auto"/>
              <w:rPr>
                <w:rFonts w:cs="Arial"/>
                <w:i/>
                <w:color w:val="0000FF"/>
                <w:sz w:val="20"/>
                <w:szCs w:val="20"/>
              </w:rPr>
            </w:pPr>
            <w:r>
              <w:rPr>
                <w:rFonts w:cs="Arial"/>
                <w:i/>
                <w:color w:val="0000FF"/>
                <w:sz w:val="20"/>
                <w:szCs w:val="20"/>
              </w:rPr>
              <w:t>Admisiones</w:t>
            </w:r>
          </w:p>
        </w:tc>
      </w:tr>
      <w:tr w:rsidR="00DB1B12" w:rsidRPr="00DB1B12" w:rsidTr="0047791C">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7962"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rsidR="00DB1B12" w:rsidRDefault="00DB1B12">
            <w:pPr>
              <w:numPr>
                <w:ilvl w:val="12"/>
                <w:numId w:val="0"/>
              </w:numPr>
              <w:spacing w:line="256" w:lineRule="auto"/>
              <w:rPr>
                <w:rFonts w:cs="Arial"/>
                <w:b/>
                <w:bCs/>
                <w:i/>
                <w:sz w:val="20"/>
                <w:szCs w:val="20"/>
              </w:rPr>
            </w:pPr>
            <w:r>
              <w:rPr>
                <w:rFonts w:cs="Arial"/>
                <w:i/>
                <w:color w:val="0000FF"/>
                <w:sz w:val="20"/>
                <w:szCs w:val="20"/>
              </w:rPr>
              <w:t>Verificar que una admisión con seguro activo queda en estado ADMITIDO, genera atención médica pendiente asignada al médico jefe y permite continuar el flujo clínico.</w:t>
            </w:r>
          </w:p>
        </w:tc>
      </w:tr>
      <w:tr w:rsidR="00DB1B12" w:rsidRPr="00DB1B12" w:rsidTr="0047791C">
        <w:trPr>
          <w:trHeight w:val="36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rsidTr="0047791C">
        <w:trPr>
          <w:trHeight w:val="225"/>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rsidTr="0047791C">
        <w:trPr>
          <w:trHeight w:val="148"/>
          <w:jc w:val="center"/>
        </w:trPr>
        <w:tc>
          <w:tcPr>
            <w:tcW w:w="10335" w:type="dxa"/>
            <w:gridSpan w:val="6"/>
            <w:tcBorders>
              <w:top w:val="single" w:sz="6" w:space="0" w:color="000000"/>
              <w:left w:val="single" w:sz="6" w:space="0" w:color="000000"/>
              <w:bottom w:val="single" w:sz="6" w:space="0" w:color="000000"/>
              <w:right w:val="single" w:sz="6" w:space="0" w:color="000000"/>
            </w:tcBorders>
          </w:tcPr>
          <w:p w:rsidR="00DB1B12" w:rsidRDefault="00DB1B12">
            <w:pPr>
              <w:spacing w:line="256" w:lineRule="auto"/>
              <w:rPr>
                <w:rFonts w:cs="Arial"/>
                <w:color w:val="0000FF"/>
                <w:sz w:val="20"/>
                <w:szCs w:val="20"/>
              </w:rPr>
            </w:pPr>
          </w:p>
          <w:p w:rsidR="00DB1B12" w:rsidRDefault="00DB1B12">
            <w:pPr>
              <w:numPr>
                <w:ilvl w:val="12"/>
                <w:numId w:val="0"/>
              </w:numPr>
              <w:spacing w:line="256" w:lineRule="auto"/>
              <w:rPr>
                <w:rFonts w:cs="Arial"/>
                <w:i/>
                <w:color w:val="0000FF"/>
                <w:sz w:val="20"/>
                <w:szCs w:val="20"/>
              </w:rPr>
            </w:pPr>
            <w:r>
              <w:rPr>
                <w:rFonts w:cs="Arial"/>
                <w:i/>
                <w:color w:val="0000FF"/>
                <w:sz w:val="20"/>
                <w:szCs w:val="20"/>
              </w:rPr>
              <w:t>Usuario recepcionista autenticado. Paciente activo con póliza de seguro vigente. Cita programada opcional en estado PROGRAMADA. Backend y frontend en ejecución. Médico jefe configurado en el sistema.</w:t>
            </w:r>
          </w:p>
          <w:p w:rsidR="00DB1B12" w:rsidRDefault="00DB1B12">
            <w:pPr>
              <w:numPr>
                <w:ilvl w:val="12"/>
                <w:numId w:val="0"/>
              </w:numPr>
              <w:spacing w:line="256" w:lineRule="auto"/>
              <w:rPr>
                <w:rFonts w:cs="Arial"/>
                <w:color w:val="0000FF"/>
                <w:sz w:val="20"/>
                <w:szCs w:val="20"/>
              </w:rPr>
            </w:pPr>
          </w:p>
          <w:p w:rsidR="00DB1B12" w:rsidRDefault="00DB1B12">
            <w:pPr>
              <w:numPr>
                <w:ilvl w:val="12"/>
                <w:numId w:val="0"/>
              </w:numPr>
              <w:spacing w:line="256" w:lineRule="auto"/>
              <w:rPr>
                <w:rFonts w:cs="Arial"/>
                <w:b/>
                <w:bCs/>
                <w:sz w:val="20"/>
                <w:szCs w:val="20"/>
              </w:rPr>
            </w:pPr>
          </w:p>
        </w:tc>
      </w:tr>
      <w:tr w:rsidR="00DB1B12" w:rsidRPr="00DB1B12" w:rsidTr="0047791C">
        <w:trPr>
          <w:trHeight w:val="17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Pasos de la prueba</w:t>
            </w:r>
          </w:p>
        </w:tc>
      </w:tr>
      <w:tr w:rsidR="00DB1B12" w:rsidRPr="00DB1B12" w:rsidTr="0047791C">
        <w:trPr>
          <w:trHeight w:val="360"/>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rsidR="00DB1B12" w:rsidRDefault="00DB1B12">
            <w:pPr>
              <w:spacing w:line="256" w:lineRule="auto"/>
              <w:rPr>
                <w:rFonts w:cs="Arial"/>
                <w:color w:val="0000FF"/>
                <w:sz w:val="20"/>
                <w:szCs w:val="20"/>
              </w:rPr>
            </w:pPr>
          </w:p>
          <w:p w:rsidR="00E97026" w:rsidRDefault="00217564">
            <w:pPr>
              <w:spacing w:line="256" w:lineRule="auto"/>
              <w:rPr>
                <w:rFonts w:cs="Arial"/>
                <w:color w:val="0000FF"/>
                <w:sz w:val="20"/>
                <w:szCs w:val="20"/>
              </w:rPr>
            </w:pPr>
            <w:r>
              <w:rPr>
                <w:rFonts w:cs="Arial"/>
                <w:color w:val="000000"/>
                <w:sz w:val="20"/>
                <w:szCs w:val="20"/>
              </w:rPr>
              <w:t>1. Ingresar a Admisiones → Nueva admisión. 2. Seleccionar paciente con seguro vigente. 3. Vincular cita si aplica. 4. Tipo CONSULTA, modalidad SEGURO. 5. Guardar admisión. 6. Verificar estado ADMITIDO en listado. 7. Ingresar como médico jefe a Atenciones m</w:t>
            </w:r>
            <w:r>
              <w:rPr>
                <w:rFonts w:cs="Arial"/>
                <w:color w:val="000000"/>
                <w:sz w:val="20"/>
                <w:szCs w:val="20"/>
              </w:rPr>
              <w:t>édicas. 8. Confirmar atención pendiente auto-generada.</w:t>
            </w:r>
          </w:p>
          <w:p w:rsidR="00DB1B12" w:rsidRDefault="00DB1B12">
            <w:pPr>
              <w:numPr>
                <w:ilvl w:val="12"/>
                <w:numId w:val="0"/>
              </w:numPr>
              <w:spacing w:line="256" w:lineRule="auto"/>
              <w:rPr>
                <w:rFonts w:cs="Arial"/>
                <w:color w:val="0000FF"/>
                <w:sz w:val="20"/>
                <w:szCs w:val="20"/>
              </w:rPr>
            </w:pPr>
          </w:p>
          <w:p w:rsidR="00DB1B12" w:rsidRDefault="00DB1B12">
            <w:pPr>
              <w:numPr>
                <w:ilvl w:val="12"/>
                <w:numId w:val="0"/>
              </w:numPr>
              <w:spacing w:line="256" w:lineRule="auto"/>
              <w:rPr>
                <w:rFonts w:cs="Arial"/>
                <w:color w:val="0000FF"/>
                <w:sz w:val="20"/>
                <w:szCs w:val="20"/>
              </w:rPr>
            </w:pPr>
          </w:p>
        </w:tc>
      </w:tr>
      <w:tr w:rsidR="00DB1B12" w:rsidRPr="00DB1B12" w:rsidTr="0047791C">
        <w:trPr>
          <w:trHeight w:val="28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DB1B12" w:rsidRPr="00DB1B12" w:rsidTr="0047791C">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rsidR="00DB1B12" w:rsidRDefault="0047791C">
            <w:pPr>
              <w:spacing w:line="256" w:lineRule="auto"/>
              <w:rPr>
                <w:rFonts w:cs="Arial"/>
                <w:b/>
                <w:bCs/>
                <w:sz w:val="20"/>
                <w:szCs w:val="20"/>
              </w:rPr>
            </w:pPr>
            <w:r>
              <w:rPr>
                <w:rFonts w:cs="Arial"/>
                <w:b/>
                <w:bCs/>
                <w:sz w:val="20"/>
                <w:szCs w:val="20"/>
              </w:rPr>
              <w:t>Hallazgos</w:t>
            </w:r>
          </w:p>
        </w:tc>
        <w:tc>
          <w:tcPr>
            <w:tcW w:w="2567"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rsidR="00DB1B12" w:rsidRDefault="00DB1B12">
            <w:pPr>
              <w:spacing w:line="256" w:lineRule="auto"/>
              <w:rPr>
                <w:rFonts w:cs="Arial"/>
                <w:b/>
                <w:bCs/>
                <w:sz w:val="20"/>
                <w:szCs w:val="20"/>
              </w:rPr>
            </w:pPr>
            <w:r>
              <w:rPr>
                <w:rFonts w:cs="Arial"/>
                <w:b/>
                <w:bCs/>
                <w:sz w:val="20"/>
                <w:szCs w:val="20"/>
              </w:rPr>
              <w:t>Veredicto</w:t>
            </w:r>
          </w:p>
        </w:tc>
      </w:tr>
      <w:tr w:rsidR="00DB1B12" w:rsidRPr="00DB1B12" w:rsidTr="0047791C">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rsidR="00DB1B12" w:rsidRDefault="00DB1B12">
            <w:pPr>
              <w:numPr>
                <w:ilvl w:val="12"/>
                <w:numId w:val="0"/>
              </w:numPr>
              <w:spacing w:line="256" w:lineRule="auto"/>
              <w:rPr>
                <w:rFonts w:cs="Arial"/>
                <w:i/>
                <w:color w:val="0000FF"/>
                <w:sz w:val="20"/>
                <w:szCs w:val="20"/>
              </w:rPr>
            </w:pPr>
            <w:r>
              <w:rPr>
                <w:rFonts w:cs="Arial"/>
                <w:i/>
                <w:color w:val="0000FF"/>
                <w:sz w:val="20"/>
                <w:szCs w:val="20"/>
              </w:rPr>
              <w:t>Sin hallazgos en ejecución de referencia documentada.</w:t>
            </w:r>
          </w:p>
          <w:p w:rsidR="00DB1B12" w:rsidRDefault="00DB1B12">
            <w:pPr>
              <w:spacing w:line="256" w:lineRule="auto"/>
              <w:rPr>
                <w:rFonts w:cs="Arial"/>
                <w:b/>
                <w:bCs/>
                <w:sz w:val="20"/>
                <w:szCs w:val="20"/>
              </w:rPr>
            </w:pPr>
          </w:p>
          <w:p w:rsidR="00DB1B12" w:rsidRDefault="00DB1B12">
            <w:pPr>
              <w:spacing w:line="256" w:lineRule="auto"/>
              <w:rPr>
                <w:rFonts w:cs="Arial"/>
                <w:b/>
                <w:bCs/>
                <w:sz w:val="20"/>
                <w:szCs w:val="20"/>
              </w:rPr>
            </w:pPr>
          </w:p>
          <w:p w:rsidR="00DB1B12" w:rsidRDefault="00DB1B12">
            <w:pPr>
              <w:spacing w:line="256" w:lineRule="auto"/>
              <w:rPr>
                <w:rFonts w:cs="Arial"/>
                <w:b/>
                <w:bCs/>
                <w:sz w:val="20"/>
                <w:szCs w:val="20"/>
              </w:rPr>
            </w:pPr>
          </w:p>
          <w:p w:rsidR="00DB1B12" w:rsidRDefault="00DB1B12">
            <w:pPr>
              <w:spacing w:line="256" w:lineRule="auto"/>
              <w:rPr>
                <w:rFonts w:cs="Arial"/>
                <w:b/>
                <w:bCs/>
                <w:sz w:val="20"/>
                <w:szCs w:val="20"/>
              </w:rPr>
            </w:pPr>
          </w:p>
        </w:tc>
        <w:tc>
          <w:tcPr>
            <w:tcW w:w="2567"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rsidR="00DB1B12" w:rsidRDefault="00DB1B12">
            <w:pPr>
              <w:spacing w:line="256" w:lineRule="auto"/>
              <w:rPr>
                <w:rFonts w:cs="Arial"/>
                <w:b/>
                <w:bCs/>
                <w:sz w:val="20"/>
                <w:szCs w:val="20"/>
              </w:rPr>
            </w:pPr>
            <w:r>
              <w:rPr>
                <w:rFonts w:cs="Arial"/>
                <w:b/>
                <w:noProof/>
                <w:sz w:val="20"/>
                <w:szCs w:val="20"/>
                <w:lang w:val="es-ES"/>
              </w:rPr>
              <w:t xml:space="preserve">Aprobación </w:t>
            </w:r>
          </w:p>
          <w:p w:rsidR="00DB1B12" w:rsidRDefault="00DB1B12">
            <w:pPr>
              <w:spacing w:line="256" w:lineRule="auto"/>
              <w:rPr>
                <w:rFonts w:cs="Arial"/>
                <w:b/>
                <w:bCs/>
                <w:sz w:val="20"/>
                <w:szCs w:val="20"/>
              </w:rPr>
            </w:pPr>
            <w:r>
              <w:rPr>
                <w:rFonts w:cs="Arial"/>
                <w:b/>
                <w:noProof/>
                <w:sz w:val="20"/>
                <w:szCs w:val="20"/>
                <w:lang w:val="es-ES"/>
              </w:rPr>
              <w:t xml:space="preserve">Hallazgo </w:t>
            </w:r>
          </w:p>
        </w:tc>
      </w:tr>
      <w:tr w:rsidR="00DB1B12" w:rsidRPr="00DB1B12" w:rsidTr="0047791C">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rsidR="00DB1B12" w:rsidRDefault="00DB1B12">
            <w:pPr>
              <w:spacing w:line="256" w:lineRule="auto"/>
              <w:rPr>
                <w:rFonts w:cs="Arial"/>
                <w:b/>
                <w:bCs/>
                <w:sz w:val="20"/>
                <w:szCs w:val="20"/>
              </w:rPr>
            </w:pPr>
            <w:r>
              <w:rPr>
                <w:rFonts w:cs="Arial"/>
                <w:b/>
                <w:bCs/>
                <w:sz w:val="20"/>
                <w:szCs w:val="20"/>
              </w:rPr>
              <w:t>Observaciones</w:t>
            </w:r>
          </w:p>
        </w:tc>
        <w:tc>
          <w:tcPr>
            <w:tcW w:w="4624"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rsidR="00DB1B12" w:rsidRDefault="0047791C">
            <w:pPr>
              <w:spacing w:line="256" w:lineRule="auto"/>
              <w:rPr>
                <w:rFonts w:cs="Arial"/>
                <w:b/>
                <w:bCs/>
                <w:sz w:val="20"/>
                <w:szCs w:val="20"/>
              </w:rPr>
            </w:pPr>
            <w:r>
              <w:rPr>
                <w:rFonts w:cs="Arial"/>
                <w:b/>
                <w:bCs/>
                <w:sz w:val="20"/>
                <w:szCs w:val="20"/>
              </w:rPr>
              <w:t>Analista de QA</w:t>
            </w:r>
          </w:p>
        </w:tc>
      </w:tr>
      <w:tr w:rsidR="00DB1B12" w:rsidRPr="00DB1B12" w:rsidTr="0047791C">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rsidR="00DB1B12" w:rsidRDefault="00DB1B12">
            <w:pPr>
              <w:numPr>
                <w:ilvl w:val="12"/>
                <w:numId w:val="0"/>
              </w:numPr>
              <w:spacing w:line="256" w:lineRule="auto"/>
              <w:rPr>
                <w:rFonts w:cs="Arial"/>
                <w:b/>
                <w:bCs/>
                <w:i/>
                <w:sz w:val="20"/>
                <w:szCs w:val="20"/>
              </w:rPr>
            </w:pPr>
            <w:r>
              <w:rPr>
                <w:rFonts w:cs="Arial"/>
                <w:i/>
                <w:color w:val="0000FF"/>
                <w:sz w:val="20"/>
                <w:szCs w:val="20"/>
              </w:rPr>
              <w:t>Caso representativo del plan maestro; la matriz completa TC-001 a TC-045 se ejecuta siguiendo la misma plantilla de caso de prueba.</w:t>
            </w:r>
          </w:p>
        </w:tc>
        <w:tc>
          <w:tcPr>
            <w:tcW w:w="4624"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rsidR="00DB1B12" w:rsidRDefault="00DB1B12">
            <w:pPr>
              <w:spacing w:line="256" w:lineRule="auto"/>
              <w:rPr>
                <w:rFonts w:cs="Arial"/>
                <w:b/>
                <w:bCs/>
                <w:sz w:val="20"/>
                <w:szCs w:val="20"/>
              </w:rPr>
            </w:pPr>
          </w:p>
          <w:p w:rsidR="00DB1B12" w:rsidRDefault="00DB1B12">
            <w:pPr>
              <w:spacing w:line="256" w:lineRule="auto"/>
              <w:rPr>
                <w:rFonts w:cs="Arial"/>
                <w:b/>
                <w:bCs/>
                <w:sz w:val="20"/>
                <w:szCs w:val="20"/>
              </w:rPr>
            </w:pPr>
          </w:p>
          <w:p w:rsidR="00DB1B12" w:rsidRDefault="00DB1B12">
            <w:pPr>
              <w:spacing w:line="256" w:lineRule="auto"/>
              <w:rPr>
                <w:rFonts w:cs="Arial"/>
                <w:b/>
                <w:bCs/>
                <w:sz w:val="20"/>
                <w:szCs w:val="20"/>
              </w:rPr>
            </w:pPr>
          </w:p>
          <w:p w:rsidR="00DB1B12" w:rsidRDefault="00DB1B12">
            <w:pPr>
              <w:spacing w:line="256" w:lineRule="auto"/>
              <w:rPr>
                <w:rFonts w:cs="Arial"/>
                <w:b/>
                <w:bCs/>
                <w:sz w:val="20"/>
                <w:szCs w:val="20"/>
              </w:rPr>
            </w:pPr>
          </w:p>
        </w:tc>
      </w:tr>
      <w:tr w:rsidR="00DB1B12" w:rsidRPr="00DB1B12" w:rsidTr="0047791C">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rsidR="00DB1B12" w:rsidRDefault="00DB1B12">
            <w:pPr>
              <w:spacing w:line="256" w:lineRule="auto"/>
              <w:rPr>
                <w:rFonts w:eastAsia="Times New Roman" w:cs="Arial"/>
                <w:b/>
                <w:bCs/>
                <w:i/>
                <w:sz w:val="20"/>
                <w:szCs w:val="20"/>
                <w:lang w:val="es-MX" w:eastAsia="es-ES"/>
              </w:rPr>
            </w:pPr>
          </w:p>
        </w:tc>
        <w:tc>
          <w:tcPr>
            <w:tcW w:w="4624"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rsidR="00DB1B12" w:rsidRDefault="00DB1B12">
            <w:pPr>
              <w:spacing w:line="256" w:lineRule="auto"/>
              <w:rPr>
                <w:rFonts w:cs="Arial"/>
                <w:b/>
                <w:bCs/>
                <w:sz w:val="20"/>
                <w:szCs w:val="20"/>
              </w:rPr>
            </w:pPr>
            <w:r>
              <w:rPr>
                <w:rFonts w:cs="Arial"/>
                <w:b/>
                <w:bCs/>
                <w:sz w:val="20"/>
                <w:szCs w:val="20"/>
              </w:rPr>
              <w:t>Firma:</w:t>
            </w:r>
          </w:p>
          <w:p w:rsidR="00DB1B12" w:rsidRDefault="00DB1B12">
            <w:pPr>
              <w:spacing w:line="256" w:lineRule="auto"/>
              <w:rPr>
                <w:rFonts w:cs="Arial"/>
                <w:b/>
                <w:bCs/>
                <w:sz w:val="20"/>
                <w:szCs w:val="20"/>
              </w:rPr>
            </w:pPr>
            <w:r>
              <w:rPr>
                <w:rFonts w:cs="Arial"/>
                <w:b/>
                <w:bCs/>
                <w:sz w:val="20"/>
                <w:szCs w:val="20"/>
              </w:rPr>
              <w:t>Nombre:</w:t>
            </w:r>
          </w:p>
          <w:p w:rsidR="00DB1B12" w:rsidRDefault="00DB1B12">
            <w:pPr>
              <w:spacing w:line="256" w:lineRule="auto"/>
              <w:rPr>
                <w:rFonts w:cs="Arial"/>
                <w:b/>
                <w:bCs/>
                <w:sz w:val="20"/>
                <w:szCs w:val="20"/>
              </w:rPr>
            </w:pPr>
            <w:r>
              <w:rPr>
                <w:rFonts w:cs="Arial"/>
                <w:b/>
                <w:bCs/>
                <w:sz w:val="20"/>
                <w:szCs w:val="20"/>
              </w:rPr>
              <w:t>Fecha:</w:t>
            </w:r>
          </w:p>
        </w:tc>
      </w:tr>
    </w:tbl>
    <w:p w:rsidR="00DB1B12" w:rsidRPr="00DB1B12" w:rsidRDefault="00DB1B12" w:rsidP="00DB1B12">
      <w:pPr>
        <w:pStyle w:val="Ttulo2"/>
        <w:rPr>
          <w:rFonts w:cs="Arial"/>
          <w:color w:val="00B050"/>
          <w:szCs w:val="24"/>
          <w:lang w:val="es-GT" w:eastAsia="es-VE"/>
        </w:rPr>
      </w:pPr>
      <w:bookmarkStart w:id="7" w:name="_GoBack"/>
      <w:bookmarkEnd w:id="7"/>
    </w:p>
    <w:sectPr w:rsidR="00DB1B12" w:rsidRPr="00DB1B12" w:rsidSect="00B31CA8">
      <w:headerReference w:type="default" r:id="rId7"/>
      <w:footerReference w:type="default" r:id="rId8"/>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564" w:rsidRDefault="00217564" w:rsidP="00061A87">
      <w:pPr>
        <w:spacing w:after="0" w:line="240" w:lineRule="auto"/>
      </w:pPr>
      <w:r>
        <w:separator/>
      </w:r>
    </w:p>
  </w:endnote>
  <w:endnote w:type="continuationSeparator" w:id="0">
    <w:p w:rsidR="00217564" w:rsidRDefault="00217564"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2D06FC">
      <w:rPr>
        <w:noProof/>
        <w:sz w:val="20"/>
        <w:szCs w:val="20"/>
        <w:lang w:val="es-VE"/>
      </w:rPr>
      <w:t>7</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564" w:rsidRDefault="00217564" w:rsidP="00061A87">
      <w:pPr>
        <w:spacing w:after="0" w:line="240" w:lineRule="auto"/>
      </w:pPr>
      <w:r>
        <w:separator/>
      </w:r>
    </w:p>
  </w:footnote>
  <w:footnote w:type="continuationSeparator" w:id="0">
    <w:p w:rsidR="00217564" w:rsidRDefault="00217564"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5"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0"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13"/>
  </w:num>
  <w:num w:numId="5">
    <w:abstractNumId w:val="6"/>
  </w:num>
  <w:num w:numId="6">
    <w:abstractNumId w:val="12"/>
  </w:num>
  <w:num w:numId="7">
    <w:abstractNumId w:val="11"/>
  </w:num>
  <w:num w:numId="8">
    <w:abstractNumId w:val="7"/>
  </w:num>
  <w:num w:numId="9">
    <w:abstractNumId w:val="10"/>
  </w:num>
  <w:num w:numId="10">
    <w:abstractNumId w:val="8"/>
  </w:num>
  <w:num w:numId="11">
    <w:abstractNumId w:val="0"/>
  </w:num>
  <w:num w:numId="12">
    <w:abstractNumId w:val="9"/>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TrackMoves/>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809"/>
    <w:rsid w:val="00100D80"/>
    <w:rsid w:val="001367F8"/>
    <w:rsid w:val="00140454"/>
    <w:rsid w:val="0014771E"/>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17564"/>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622A"/>
    <w:rsid w:val="002B4F90"/>
    <w:rsid w:val="002C07B5"/>
    <w:rsid w:val="002C0A49"/>
    <w:rsid w:val="002C2B41"/>
    <w:rsid w:val="002D06FC"/>
    <w:rsid w:val="002D342C"/>
    <w:rsid w:val="002D4F14"/>
    <w:rsid w:val="002D57E5"/>
    <w:rsid w:val="002D5AFF"/>
    <w:rsid w:val="002E39D2"/>
    <w:rsid w:val="002F1AFE"/>
    <w:rsid w:val="002F34E0"/>
    <w:rsid w:val="003019DD"/>
    <w:rsid w:val="00304BD5"/>
    <w:rsid w:val="00305D8E"/>
    <w:rsid w:val="0030767E"/>
    <w:rsid w:val="0033511C"/>
    <w:rsid w:val="003403DB"/>
    <w:rsid w:val="00350ACB"/>
    <w:rsid w:val="00354E86"/>
    <w:rsid w:val="00390266"/>
    <w:rsid w:val="0039543E"/>
    <w:rsid w:val="003B1F0E"/>
    <w:rsid w:val="003B69C4"/>
    <w:rsid w:val="003C62A1"/>
    <w:rsid w:val="003C7B62"/>
    <w:rsid w:val="003D7377"/>
    <w:rsid w:val="003D7613"/>
    <w:rsid w:val="003F1413"/>
    <w:rsid w:val="003F31E6"/>
    <w:rsid w:val="003F4E36"/>
    <w:rsid w:val="00400F35"/>
    <w:rsid w:val="0040107C"/>
    <w:rsid w:val="00401418"/>
    <w:rsid w:val="00402CF9"/>
    <w:rsid w:val="0040466D"/>
    <w:rsid w:val="0040476E"/>
    <w:rsid w:val="00413A01"/>
    <w:rsid w:val="00417AE6"/>
    <w:rsid w:val="004260D4"/>
    <w:rsid w:val="0043069E"/>
    <w:rsid w:val="00430A80"/>
    <w:rsid w:val="00436235"/>
    <w:rsid w:val="00436C15"/>
    <w:rsid w:val="00444641"/>
    <w:rsid w:val="0045337A"/>
    <w:rsid w:val="00454121"/>
    <w:rsid w:val="00473C90"/>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D5E27"/>
    <w:rsid w:val="004E3583"/>
    <w:rsid w:val="004F6186"/>
    <w:rsid w:val="005077C8"/>
    <w:rsid w:val="005151D9"/>
    <w:rsid w:val="005154DA"/>
    <w:rsid w:val="00531D18"/>
    <w:rsid w:val="00543AE0"/>
    <w:rsid w:val="00553BDE"/>
    <w:rsid w:val="00554E5F"/>
    <w:rsid w:val="005574CF"/>
    <w:rsid w:val="005631EB"/>
    <w:rsid w:val="00570B19"/>
    <w:rsid w:val="005A5CE8"/>
    <w:rsid w:val="005B4A20"/>
    <w:rsid w:val="005B5687"/>
    <w:rsid w:val="005C10A1"/>
    <w:rsid w:val="005C28AE"/>
    <w:rsid w:val="005D064F"/>
    <w:rsid w:val="005D0877"/>
    <w:rsid w:val="005E511E"/>
    <w:rsid w:val="005F4974"/>
    <w:rsid w:val="0060668A"/>
    <w:rsid w:val="006116A1"/>
    <w:rsid w:val="006166B6"/>
    <w:rsid w:val="00617867"/>
    <w:rsid w:val="00620649"/>
    <w:rsid w:val="00620C4F"/>
    <w:rsid w:val="0062324D"/>
    <w:rsid w:val="0063170F"/>
    <w:rsid w:val="00640E1C"/>
    <w:rsid w:val="0064225D"/>
    <w:rsid w:val="0064583A"/>
    <w:rsid w:val="00650B9B"/>
    <w:rsid w:val="00654873"/>
    <w:rsid w:val="00673671"/>
    <w:rsid w:val="00675C55"/>
    <w:rsid w:val="00685F53"/>
    <w:rsid w:val="00694BD0"/>
    <w:rsid w:val="006A0EEF"/>
    <w:rsid w:val="006B5E5F"/>
    <w:rsid w:val="006B7F3D"/>
    <w:rsid w:val="006C0630"/>
    <w:rsid w:val="006C0644"/>
    <w:rsid w:val="006C41BE"/>
    <w:rsid w:val="006E1B67"/>
    <w:rsid w:val="006E74DF"/>
    <w:rsid w:val="00703CBC"/>
    <w:rsid w:val="0070590D"/>
    <w:rsid w:val="007061C8"/>
    <w:rsid w:val="00712550"/>
    <w:rsid w:val="0071295F"/>
    <w:rsid w:val="007169D7"/>
    <w:rsid w:val="00723384"/>
    <w:rsid w:val="00730D8F"/>
    <w:rsid w:val="007618DF"/>
    <w:rsid w:val="00767100"/>
    <w:rsid w:val="00775D52"/>
    <w:rsid w:val="00790A91"/>
    <w:rsid w:val="0079797D"/>
    <w:rsid w:val="007979FB"/>
    <w:rsid w:val="007A21E2"/>
    <w:rsid w:val="007C3AB4"/>
    <w:rsid w:val="007C453A"/>
    <w:rsid w:val="007D06E1"/>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9309F"/>
    <w:rsid w:val="008C2AC5"/>
    <w:rsid w:val="008C2D5F"/>
    <w:rsid w:val="008C57BA"/>
    <w:rsid w:val="008C6058"/>
    <w:rsid w:val="008D0C20"/>
    <w:rsid w:val="008E1FFE"/>
    <w:rsid w:val="008F218C"/>
    <w:rsid w:val="008F734E"/>
    <w:rsid w:val="0090549E"/>
    <w:rsid w:val="009067AE"/>
    <w:rsid w:val="00907FB8"/>
    <w:rsid w:val="00931971"/>
    <w:rsid w:val="00934081"/>
    <w:rsid w:val="0093573F"/>
    <w:rsid w:val="00942DCE"/>
    <w:rsid w:val="0095741A"/>
    <w:rsid w:val="00961C63"/>
    <w:rsid w:val="00962E8E"/>
    <w:rsid w:val="00963402"/>
    <w:rsid w:val="0096607B"/>
    <w:rsid w:val="00973C3B"/>
    <w:rsid w:val="00977026"/>
    <w:rsid w:val="009800B8"/>
    <w:rsid w:val="009827B3"/>
    <w:rsid w:val="00984139"/>
    <w:rsid w:val="0098447B"/>
    <w:rsid w:val="00992E52"/>
    <w:rsid w:val="00997F69"/>
    <w:rsid w:val="009A5855"/>
    <w:rsid w:val="009B26FF"/>
    <w:rsid w:val="009B468E"/>
    <w:rsid w:val="009D4B5D"/>
    <w:rsid w:val="00A01F53"/>
    <w:rsid w:val="00A1665A"/>
    <w:rsid w:val="00A253F9"/>
    <w:rsid w:val="00A26814"/>
    <w:rsid w:val="00A671C9"/>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64E24"/>
    <w:rsid w:val="00C65B53"/>
    <w:rsid w:val="00C879C1"/>
    <w:rsid w:val="00C93CAF"/>
    <w:rsid w:val="00C95DA3"/>
    <w:rsid w:val="00CA271E"/>
    <w:rsid w:val="00CB1407"/>
    <w:rsid w:val="00CB3689"/>
    <w:rsid w:val="00CB3FA5"/>
    <w:rsid w:val="00CB6EF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519B"/>
    <w:rsid w:val="00E5686C"/>
    <w:rsid w:val="00E63E78"/>
    <w:rsid w:val="00E81F86"/>
    <w:rsid w:val="00E87DEC"/>
    <w:rsid w:val="00E97026"/>
    <w:rsid w:val="00EA0988"/>
    <w:rsid w:val="00EA5115"/>
    <w:rsid w:val="00EB00BD"/>
    <w:rsid w:val="00EB5AD0"/>
    <w:rsid w:val="00EB6367"/>
    <w:rsid w:val="00EB6794"/>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69A36"/>
  <w15:chartTrackingRefBased/>
  <w15:docId w15:val="{1DE17AEC-E020-4824-8536-6A37F8552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GT" w:eastAsia="es-G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1052</Words>
  <Characters>5788</Characters>
  <Application>Microsoft Office Word</Application>
  <DocSecurity>0</DocSecurity>
  <Lines>48</Lines>
  <Paragraphs>13</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Historial de versiones</vt:lpstr>
      <vt:lpstr>Información del proyecto</vt:lpstr>
      <vt:lpstr>Aprobaciones</vt:lpstr>
      <vt:lpstr>Resumen ejecutivo </vt:lpstr>
      <vt:lpstr>Alcance de las pruebas</vt:lpstr>
      <vt:lpstr>    Elementos de pruebas</vt:lpstr>
      <vt:lpstr>    Nuevas funcionalidades a probar </vt:lpstr>
      <vt:lpstr>    </vt:lpstr>
      <vt:lpstr>    </vt:lpstr>
      <vt: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Software — Sistema Hospitalario Privado Hospital H&amp;H</dc:title>
  <dc:subject/>
  <dc:creator>Equipo de Ingeniería de Software — Universidad Mariano Gálvez</dc:creator>
  <cp:keywords/>
  <cp:lastModifiedBy>Administrador</cp:lastModifiedBy>
  <cp:revision>4</cp:revision>
  <cp:lastPrinted>2026-06-20T05:32:00Z</cp:lastPrinted>
  <dcterms:created xsi:type="dcterms:W3CDTF">2026-06-20T05:18:00Z</dcterms:created>
  <dcterms:modified xsi:type="dcterms:W3CDTF">2026-06-20T05:33:00Z</dcterms:modified>
</cp:coreProperties>
</file>