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3E9DD" w14:textId="77777777" w:rsidR="000006D7" w:rsidRDefault="000006D7" w:rsidP="000006D7">
      <w:r>
        <w:t>ESTRATEGIA DE INVERSIONES Y MERCADOS FINANCIEROS</w:t>
      </w:r>
    </w:p>
    <w:p w14:paraId="1D8F7377" w14:textId="6EDBE8E2" w:rsidR="000006D7" w:rsidRPr="00E7056F" w:rsidRDefault="00E7056F" w:rsidP="000006D7">
      <w:pPr>
        <w:rPr>
          <w14:shadow w14:blurRad="50800" w14:dist="38100" w14:dir="5400000" w14:sx="100000" w14:sy="100000" w14:kx="0" w14:ky="0" w14:algn="t">
            <w14:srgbClr w14:val="000000">
              <w14:alpha w14:val="60000"/>
            </w14:srgbClr>
          </w14:shadow>
        </w:rPr>
      </w:pPr>
      <w:r w:rsidRPr="00E7056F">
        <w:rPr>
          <w14:shadow w14:blurRad="50800" w14:dist="38100" w14:dir="5400000" w14:sx="100000" w14:sy="100000" w14:kx="0" w14:ky="0" w14:algn="t">
            <w14:srgbClr w14:val="000000">
              <w14:alpha w14:val="60000"/>
            </w14:srgbClr>
          </w14:shadow>
        </w:rPr>
        <w:t>INFORME DE EVALUACIÓN Y GESTIÓN DE RIESGOS</w:t>
      </w:r>
    </w:p>
    <w:p w14:paraId="234D6E34" w14:textId="54AB66DF" w:rsidR="000006D7" w:rsidRDefault="000006D7" w:rsidP="000006D7"/>
    <w:p w14:paraId="6C898FCA" w14:textId="6E6D83CC" w:rsidR="000006D7" w:rsidRDefault="000006D7" w:rsidP="000006D7">
      <w:r>
        <w:t xml:space="preserve">Presentado por: </w:t>
      </w:r>
      <w:r w:rsidR="00C23CD6">
        <w:t>Luis Enrique Herrera Pimentel</w:t>
      </w:r>
    </w:p>
    <w:p w14:paraId="745E1C7C" w14:textId="7EDAF96C" w:rsidR="000006D7" w:rsidRDefault="000006D7" w:rsidP="000006D7">
      <w:r>
        <w:t xml:space="preserve">Fecha: </w:t>
      </w:r>
    </w:p>
    <w:p w14:paraId="5977B4A9" w14:textId="77777777" w:rsidR="000006D7" w:rsidRDefault="000006D7" w:rsidP="000006D7">
      <w:r>
        <w:t>Módulo: Formato Avanzado y Estilos en Word 365</w:t>
      </w:r>
    </w:p>
    <w:p w14:paraId="605A9BB9" w14:textId="77777777" w:rsidR="000006D7" w:rsidRDefault="000006D7" w:rsidP="000006D7"/>
    <w:p w14:paraId="0F14EA5E" w14:textId="77777777" w:rsidR="000006D7" w:rsidRDefault="000006D7" w:rsidP="000006D7"/>
    <w:p w14:paraId="6C6476C7" w14:textId="77777777" w:rsidR="00E30B63" w:rsidRDefault="00E30B63">
      <w:r>
        <w:br w:type="page"/>
      </w:r>
    </w:p>
    <w:p w14:paraId="20FFEB0A" w14:textId="77777777" w:rsidR="00E7056F" w:rsidRDefault="00E7056F" w:rsidP="000006D7">
      <w:pPr>
        <w:sectPr w:rsidR="00E7056F" w:rsidSect="002B2FB4">
          <w:headerReference w:type="even" r:id="rId8"/>
          <w:headerReference w:type="default" r:id="rId9"/>
          <w:footerReference w:type="even" r:id="rId10"/>
          <w:footerReference w:type="default" r:id="rId11"/>
          <w:headerReference w:type="first" r:id="rId12"/>
          <w:footerReference w:type="first" r:id="rId13"/>
          <w:pgSz w:w="12240" w:h="15840" w:code="1"/>
          <w:pgMar w:top="1417" w:right="1701" w:bottom="1417" w:left="1701" w:header="708" w:footer="708" w:gutter="0"/>
          <w:cols w:space="708"/>
          <w:titlePg/>
          <w:docGrid w:linePitch="360"/>
        </w:sectPr>
      </w:pPr>
    </w:p>
    <w:p w14:paraId="306FC9AD" w14:textId="7393139E" w:rsidR="000006D7" w:rsidRDefault="000006D7" w:rsidP="00E7056F">
      <w:pPr>
        <w:pStyle w:val="Ttulo1"/>
      </w:pPr>
      <w:r>
        <w:lastRenderedPageBreak/>
        <w:t>1. Introducción a la Gestión Financiera</w:t>
      </w:r>
    </w:p>
    <w:p w14:paraId="4B98CE29" w14:textId="77777777" w:rsidR="000006D7" w:rsidRDefault="000006D7" w:rsidP="000006D7"/>
    <w:p w14:paraId="4029CC58" w14:textId="0BC098E1" w:rsidR="000006D7" w:rsidRDefault="000006D7" w:rsidP="003500F5">
      <w:pPr>
        <w:spacing w:after="120" w:line="276" w:lineRule="auto"/>
        <w:ind w:firstLine="709"/>
        <w:jc w:val="both"/>
      </w:pPr>
      <w:r>
        <w:t xml:space="preserve">El análisis de inversiones requiere comprender la dinámica del capital y su rendimiento a largo </w:t>
      </w:r>
      <w:r w:rsidR="000A451D" w:rsidRPr="000A451D">
        <w:rPr>
          <w:b/>
          <w:color w:val="0070C0"/>
        </w:rPr>
        <w:t>tiempo</w:t>
      </w:r>
      <w:r>
        <w:t>. En este contexto, el estudio del Interés Compuesto</w:t>
      </w:r>
      <w:r w:rsidR="000A451D">
        <w:rPr>
          <w:rStyle w:val="Refdenotaalpie"/>
        </w:rPr>
        <w:footnoteReference w:id="1"/>
      </w:r>
      <w:r>
        <w:t xml:space="preserve"> resulta fundamental para proyectar el crecimiento de los activos a lo largo del tiempo.</w:t>
      </w:r>
    </w:p>
    <w:p w14:paraId="1E911075" w14:textId="77777777" w:rsidR="000006D7" w:rsidRDefault="000006D7" w:rsidP="003500F5">
      <w:pPr>
        <w:spacing w:after="120" w:line="276" w:lineRule="auto"/>
        <w:ind w:firstLine="709"/>
        <w:jc w:val="both"/>
      </w:pPr>
    </w:p>
    <w:p w14:paraId="3E310CBB" w14:textId="7C59F958" w:rsidR="000006D7" w:rsidRDefault="000006D7" w:rsidP="003500F5">
      <w:pPr>
        <w:spacing w:after="120" w:line="276" w:lineRule="auto"/>
        <w:ind w:firstLine="709"/>
        <w:jc w:val="both"/>
      </w:pPr>
      <w:r>
        <w:t xml:space="preserve">El éxito de una estrategia depende de evaluar correctamente el </w:t>
      </w:r>
      <w:r w:rsidR="000A451D" w:rsidRPr="000A451D">
        <w:rPr>
          <w:b/>
          <w:color w:val="0070C0"/>
        </w:rPr>
        <w:t>tiempo</w:t>
      </w:r>
      <w:r>
        <w:t xml:space="preserve"> de cada operación. Un </w:t>
      </w:r>
      <w:r w:rsidR="000A451D" w:rsidRPr="000A451D">
        <w:rPr>
          <w:b/>
          <w:color w:val="0070C0"/>
        </w:rPr>
        <w:t>tiempo</w:t>
      </w:r>
      <w:r>
        <w:t xml:space="preserve"> mal calculado puede incrementar los riesgos y disminuir las ganancias netas del portafolio.</w:t>
      </w:r>
    </w:p>
    <w:p w14:paraId="7AC22C8F" w14:textId="77777777" w:rsidR="000006D7" w:rsidRDefault="000006D7" w:rsidP="000006D7"/>
    <w:tbl>
      <w:tblPr>
        <w:tblStyle w:val="Tablaconcuadrcula"/>
        <w:tblW w:w="0" w:type="auto"/>
        <w:tblLook w:val="04A0" w:firstRow="1" w:lastRow="0" w:firstColumn="1" w:lastColumn="0" w:noHBand="0" w:noVBand="1"/>
      </w:tblPr>
      <w:tblGrid>
        <w:gridCol w:w="1698"/>
        <w:gridCol w:w="1699"/>
        <w:gridCol w:w="1699"/>
        <w:gridCol w:w="1699"/>
        <w:gridCol w:w="1699"/>
      </w:tblGrid>
      <w:tr w:rsidR="00BA6F73" w14:paraId="0C795775" w14:textId="77777777" w:rsidTr="00074825">
        <w:tc>
          <w:tcPr>
            <w:tcW w:w="1698" w:type="dxa"/>
          </w:tcPr>
          <w:p w14:paraId="286C8286" w14:textId="77777777" w:rsidR="00BA6F73" w:rsidRPr="00C2480C" w:rsidRDefault="00BA6F73" w:rsidP="00074825">
            <w:pPr>
              <w:jc w:val="center"/>
              <w:rPr>
                <w:b/>
                <w:bCs/>
              </w:rPr>
            </w:pPr>
            <w:r w:rsidRPr="00C2480C">
              <w:rPr>
                <w:b/>
                <w:bCs/>
              </w:rPr>
              <w:t>Categoría</w:t>
            </w:r>
          </w:p>
        </w:tc>
        <w:tc>
          <w:tcPr>
            <w:tcW w:w="1699" w:type="dxa"/>
          </w:tcPr>
          <w:p w14:paraId="65D81CFA" w14:textId="77777777" w:rsidR="00BA6F73" w:rsidRPr="00C2480C" w:rsidRDefault="00BA6F73" w:rsidP="00074825">
            <w:pPr>
              <w:jc w:val="center"/>
              <w:rPr>
                <w:b/>
                <w:bCs/>
              </w:rPr>
            </w:pPr>
            <w:r w:rsidRPr="00C2480C">
              <w:rPr>
                <w:b/>
                <w:bCs/>
              </w:rPr>
              <w:t>Concepto</w:t>
            </w:r>
          </w:p>
        </w:tc>
        <w:tc>
          <w:tcPr>
            <w:tcW w:w="1699" w:type="dxa"/>
          </w:tcPr>
          <w:p w14:paraId="2EDC9BE8" w14:textId="77777777" w:rsidR="00BA6F73" w:rsidRPr="00C2480C" w:rsidRDefault="00BA6F73" w:rsidP="00074825">
            <w:pPr>
              <w:jc w:val="center"/>
              <w:rPr>
                <w:b/>
                <w:bCs/>
              </w:rPr>
            </w:pPr>
            <w:r w:rsidRPr="00C2480C">
              <w:rPr>
                <w:b/>
                <w:bCs/>
              </w:rPr>
              <w:t>Presupuesto</w:t>
            </w:r>
          </w:p>
        </w:tc>
        <w:tc>
          <w:tcPr>
            <w:tcW w:w="1699" w:type="dxa"/>
          </w:tcPr>
          <w:p w14:paraId="6055DB23" w14:textId="77777777" w:rsidR="00BA6F73" w:rsidRPr="00C2480C" w:rsidRDefault="00BA6F73" w:rsidP="00074825">
            <w:pPr>
              <w:jc w:val="center"/>
              <w:rPr>
                <w:b/>
                <w:bCs/>
              </w:rPr>
            </w:pPr>
            <w:r w:rsidRPr="00C2480C">
              <w:rPr>
                <w:b/>
                <w:bCs/>
              </w:rPr>
              <w:t>Real</w:t>
            </w:r>
          </w:p>
        </w:tc>
        <w:tc>
          <w:tcPr>
            <w:tcW w:w="1699" w:type="dxa"/>
          </w:tcPr>
          <w:p w14:paraId="58C4AEF8" w14:textId="77777777" w:rsidR="00BA6F73" w:rsidRPr="00C2480C" w:rsidRDefault="00BA6F73" w:rsidP="00074825">
            <w:pPr>
              <w:jc w:val="center"/>
              <w:rPr>
                <w:b/>
                <w:bCs/>
              </w:rPr>
            </w:pPr>
            <w:r w:rsidRPr="00C2480C">
              <w:rPr>
                <w:b/>
                <w:bCs/>
              </w:rPr>
              <w:t>Diferencia</w:t>
            </w:r>
          </w:p>
        </w:tc>
      </w:tr>
      <w:tr w:rsidR="00BA6F73" w14:paraId="5DD69D71" w14:textId="77777777" w:rsidTr="00074825">
        <w:tc>
          <w:tcPr>
            <w:tcW w:w="1698" w:type="dxa"/>
          </w:tcPr>
          <w:p w14:paraId="261CE48B" w14:textId="77777777" w:rsidR="00BA6F73" w:rsidRDefault="00BA6F73" w:rsidP="00074825">
            <w:pPr>
              <w:jc w:val="center"/>
            </w:pPr>
            <w:r>
              <w:t>Ingresos</w:t>
            </w:r>
          </w:p>
        </w:tc>
        <w:tc>
          <w:tcPr>
            <w:tcW w:w="1699" w:type="dxa"/>
          </w:tcPr>
          <w:p w14:paraId="3D787573" w14:textId="77777777" w:rsidR="00BA6F73" w:rsidRDefault="00BA6F73" w:rsidP="00074825">
            <w:pPr>
              <w:jc w:val="center"/>
            </w:pPr>
            <w:r>
              <w:t>Salario</w:t>
            </w:r>
          </w:p>
        </w:tc>
        <w:tc>
          <w:tcPr>
            <w:tcW w:w="1699" w:type="dxa"/>
          </w:tcPr>
          <w:p w14:paraId="513E8528" w14:textId="77777777" w:rsidR="00BA6F73" w:rsidRDefault="00BA6F73" w:rsidP="00074825">
            <w:pPr>
              <w:jc w:val="center"/>
            </w:pPr>
            <w:r>
              <w:t>$8000.00</w:t>
            </w:r>
          </w:p>
        </w:tc>
        <w:tc>
          <w:tcPr>
            <w:tcW w:w="1699" w:type="dxa"/>
          </w:tcPr>
          <w:p w14:paraId="66873B34" w14:textId="77777777" w:rsidR="00BA6F73" w:rsidRDefault="00BA6F73" w:rsidP="00074825">
            <w:pPr>
              <w:jc w:val="center"/>
            </w:pPr>
            <w:r>
              <w:t>$8000.00</w:t>
            </w:r>
          </w:p>
        </w:tc>
        <w:tc>
          <w:tcPr>
            <w:tcW w:w="1699" w:type="dxa"/>
          </w:tcPr>
          <w:p w14:paraId="6CF71467" w14:textId="77777777" w:rsidR="00BA6F73" w:rsidRDefault="00BA6F73" w:rsidP="00074825">
            <w:pPr>
              <w:jc w:val="center"/>
            </w:pPr>
            <w:r>
              <w:t>$0.00</w:t>
            </w:r>
          </w:p>
        </w:tc>
      </w:tr>
      <w:tr w:rsidR="00BA6F73" w14:paraId="45BED7F6" w14:textId="77777777" w:rsidTr="00074825">
        <w:tc>
          <w:tcPr>
            <w:tcW w:w="1698" w:type="dxa"/>
          </w:tcPr>
          <w:p w14:paraId="0D62D2CB" w14:textId="77777777" w:rsidR="00BA6F73" w:rsidRDefault="00BA6F73" w:rsidP="00074825">
            <w:pPr>
              <w:jc w:val="center"/>
            </w:pPr>
            <w:r>
              <w:t>Gastos fijos</w:t>
            </w:r>
          </w:p>
        </w:tc>
        <w:tc>
          <w:tcPr>
            <w:tcW w:w="1699" w:type="dxa"/>
          </w:tcPr>
          <w:p w14:paraId="233D67F3" w14:textId="77777777" w:rsidR="00BA6F73" w:rsidRDefault="00BA6F73" w:rsidP="00074825">
            <w:pPr>
              <w:jc w:val="center"/>
            </w:pPr>
            <w:r>
              <w:t>Alquiler</w:t>
            </w:r>
          </w:p>
        </w:tc>
        <w:tc>
          <w:tcPr>
            <w:tcW w:w="1699" w:type="dxa"/>
          </w:tcPr>
          <w:p w14:paraId="05C9A395" w14:textId="77777777" w:rsidR="00BA6F73" w:rsidRDefault="00BA6F73" w:rsidP="00074825">
            <w:pPr>
              <w:jc w:val="center"/>
            </w:pPr>
            <w:r>
              <w:t>$500.00</w:t>
            </w:r>
          </w:p>
        </w:tc>
        <w:tc>
          <w:tcPr>
            <w:tcW w:w="1699" w:type="dxa"/>
          </w:tcPr>
          <w:p w14:paraId="2395377D" w14:textId="77777777" w:rsidR="00BA6F73" w:rsidRDefault="00BA6F73" w:rsidP="00074825">
            <w:pPr>
              <w:jc w:val="center"/>
            </w:pPr>
            <w:r>
              <w:t>$700.00</w:t>
            </w:r>
          </w:p>
        </w:tc>
        <w:tc>
          <w:tcPr>
            <w:tcW w:w="1699" w:type="dxa"/>
          </w:tcPr>
          <w:p w14:paraId="2E7E7E45" w14:textId="77777777" w:rsidR="00BA6F73" w:rsidRDefault="00BA6F73" w:rsidP="00074825">
            <w:pPr>
              <w:jc w:val="center"/>
            </w:pPr>
            <w:r>
              <w:t>+$200.00</w:t>
            </w:r>
          </w:p>
        </w:tc>
      </w:tr>
      <w:tr w:rsidR="00BA6F73" w14:paraId="286CEEE0" w14:textId="77777777" w:rsidTr="00074825">
        <w:tc>
          <w:tcPr>
            <w:tcW w:w="1698" w:type="dxa"/>
          </w:tcPr>
          <w:p w14:paraId="456FC95D" w14:textId="77777777" w:rsidR="00BA6F73" w:rsidRDefault="00BA6F73" w:rsidP="00074825">
            <w:pPr>
              <w:jc w:val="center"/>
            </w:pPr>
            <w:r>
              <w:t>Gastos variables</w:t>
            </w:r>
          </w:p>
        </w:tc>
        <w:tc>
          <w:tcPr>
            <w:tcW w:w="1699" w:type="dxa"/>
          </w:tcPr>
          <w:p w14:paraId="6C8CDC2F" w14:textId="77777777" w:rsidR="00BA6F73" w:rsidRDefault="00BA6F73" w:rsidP="00074825">
            <w:pPr>
              <w:jc w:val="center"/>
            </w:pPr>
            <w:r>
              <w:t>Alimentación</w:t>
            </w:r>
          </w:p>
        </w:tc>
        <w:tc>
          <w:tcPr>
            <w:tcW w:w="1699" w:type="dxa"/>
          </w:tcPr>
          <w:p w14:paraId="72E7EA63" w14:textId="77777777" w:rsidR="00BA6F73" w:rsidRDefault="00BA6F73" w:rsidP="00074825">
            <w:pPr>
              <w:jc w:val="center"/>
            </w:pPr>
            <w:r>
              <w:t>$1000.00</w:t>
            </w:r>
          </w:p>
        </w:tc>
        <w:tc>
          <w:tcPr>
            <w:tcW w:w="1699" w:type="dxa"/>
          </w:tcPr>
          <w:p w14:paraId="4617C6C9" w14:textId="77777777" w:rsidR="00BA6F73" w:rsidRDefault="00BA6F73" w:rsidP="00074825">
            <w:pPr>
              <w:jc w:val="center"/>
            </w:pPr>
            <w:r>
              <w:t>$1150.00</w:t>
            </w:r>
          </w:p>
        </w:tc>
        <w:tc>
          <w:tcPr>
            <w:tcW w:w="1699" w:type="dxa"/>
          </w:tcPr>
          <w:p w14:paraId="1931D960" w14:textId="77777777" w:rsidR="00BA6F73" w:rsidRDefault="00BA6F73" w:rsidP="00074825">
            <w:pPr>
              <w:jc w:val="center"/>
            </w:pPr>
            <w:r>
              <w:t>+$150.00</w:t>
            </w:r>
          </w:p>
        </w:tc>
      </w:tr>
      <w:tr w:rsidR="00BA6F73" w14:paraId="34406B4C" w14:textId="77777777" w:rsidTr="00074825">
        <w:tc>
          <w:tcPr>
            <w:tcW w:w="1698" w:type="dxa"/>
          </w:tcPr>
          <w:p w14:paraId="7614C749" w14:textId="77777777" w:rsidR="00BA6F73" w:rsidRDefault="00BA6F73" w:rsidP="00074825">
            <w:pPr>
              <w:jc w:val="center"/>
            </w:pPr>
            <w:r>
              <w:t>Deudas</w:t>
            </w:r>
          </w:p>
        </w:tc>
        <w:tc>
          <w:tcPr>
            <w:tcW w:w="1699" w:type="dxa"/>
          </w:tcPr>
          <w:p w14:paraId="162E3967" w14:textId="77777777" w:rsidR="00BA6F73" w:rsidRDefault="00BA6F73" w:rsidP="00074825">
            <w:pPr>
              <w:jc w:val="center"/>
            </w:pPr>
            <w:r>
              <w:t>Pagos de tarjetas</w:t>
            </w:r>
          </w:p>
        </w:tc>
        <w:tc>
          <w:tcPr>
            <w:tcW w:w="1699" w:type="dxa"/>
          </w:tcPr>
          <w:p w14:paraId="065CDDE4" w14:textId="77777777" w:rsidR="00BA6F73" w:rsidRDefault="00BA6F73" w:rsidP="00074825">
            <w:pPr>
              <w:jc w:val="center"/>
            </w:pPr>
            <w:r>
              <w:t>$500.00</w:t>
            </w:r>
          </w:p>
        </w:tc>
        <w:tc>
          <w:tcPr>
            <w:tcW w:w="1699" w:type="dxa"/>
          </w:tcPr>
          <w:p w14:paraId="33B93385" w14:textId="77777777" w:rsidR="00BA6F73" w:rsidRDefault="00BA6F73" w:rsidP="00074825">
            <w:pPr>
              <w:jc w:val="center"/>
            </w:pPr>
            <w:r>
              <w:t>$500.00</w:t>
            </w:r>
          </w:p>
        </w:tc>
        <w:tc>
          <w:tcPr>
            <w:tcW w:w="1699" w:type="dxa"/>
          </w:tcPr>
          <w:p w14:paraId="62FA37ED" w14:textId="77777777" w:rsidR="00BA6F73" w:rsidRDefault="00BA6F73" w:rsidP="00074825">
            <w:pPr>
              <w:jc w:val="center"/>
            </w:pPr>
            <w:r>
              <w:t>$0.00</w:t>
            </w:r>
          </w:p>
        </w:tc>
      </w:tr>
      <w:tr w:rsidR="00BA6F73" w14:paraId="3C31076B" w14:textId="77777777" w:rsidTr="00074825">
        <w:tc>
          <w:tcPr>
            <w:tcW w:w="1698" w:type="dxa"/>
          </w:tcPr>
          <w:p w14:paraId="2661012D" w14:textId="77777777" w:rsidR="00BA6F73" w:rsidRDefault="00BA6F73" w:rsidP="00074825">
            <w:pPr>
              <w:jc w:val="center"/>
            </w:pPr>
            <w:r>
              <w:t>Ahorro</w:t>
            </w:r>
          </w:p>
        </w:tc>
        <w:tc>
          <w:tcPr>
            <w:tcW w:w="1699" w:type="dxa"/>
          </w:tcPr>
          <w:p w14:paraId="7276E885" w14:textId="77777777" w:rsidR="00BA6F73" w:rsidRDefault="00BA6F73" w:rsidP="00074825">
            <w:pPr>
              <w:jc w:val="center"/>
            </w:pPr>
            <w:r>
              <w:t>Fondo de emergencia</w:t>
            </w:r>
          </w:p>
        </w:tc>
        <w:tc>
          <w:tcPr>
            <w:tcW w:w="1699" w:type="dxa"/>
          </w:tcPr>
          <w:p w14:paraId="56C339F7" w14:textId="77777777" w:rsidR="00BA6F73" w:rsidRDefault="00BA6F73" w:rsidP="00074825">
            <w:pPr>
              <w:jc w:val="center"/>
            </w:pPr>
            <w:r>
              <w:t>$600.00</w:t>
            </w:r>
          </w:p>
        </w:tc>
        <w:tc>
          <w:tcPr>
            <w:tcW w:w="1699" w:type="dxa"/>
          </w:tcPr>
          <w:p w14:paraId="1A93981E" w14:textId="77777777" w:rsidR="00BA6F73" w:rsidRDefault="00BA6F73" w:rsidP="00074825">
            <w:pPr>
              <w:jc w:val="center"/>
            </w:pPr>
            <w:r>
              <w:t>$550.00</w:t>
            </w:r>
          </w:p>
        </w:tc>
        <w:tc>
          <w:tcPr>
            <w:tcW w:w="1699" w:type="dxa"/>
          </w:tcPr>
          <w:p w14:paraId="2B3F7324" w14:textId="77777777" w:rsidR="00BA6F73" w:rsidRDefault="00BA6F73" w:rsidP="00074825">
            <w:pPr>
              <w:jc w:val="center"/>
            </w:pPr>
            <w:r>
              <w:t>-$50.00</w:t>
            </w:r>
          </w:p>
        </w:tc>
      </w:tr>
    </w:tbl>
    <w:p w14:paraId="063466DC" w14:textId="77777777" w:rsidR="000006D7" w:rsidRDefault="000006D7" w:rsidP="000006D7"/>
    <w:p w14:paraId="21F32B40" w14:textId="77777777" w:rsidR="00E30B63" w:rsidRDefault="00E30B63">
      <w:r>
        <w:br w:type="page"/>
      </w:r>
    </w:p>
    <w:p w14:paraId="235AB19B" w14:textId="2982F349" w:rsidR="000006D7" w:rsidRDefault="000006D7" w:rsidP="00E7056F">
      <w:pPr>
        <w:pStyle w:val="Ttulo1"/>
      </w:pPr>
      <w:r>
        <w:lastRenderedPageBreak/>
        <w:t xml:space="preserve">2. </w:t>
      </w:r>
      <w:r w:rsidR="003500F5">
        <w:t>Fases de Inversión</w:t>
      </w:r>
    </w:p>
    <w:p w14:paraId="695C5D2D" w14:textId="77777777" w:rsidR="000006D7" w:rsidRDefault="000006D7" w:rsidP="000006D7"/>
    <w:p w14:paraId="176F6755" w14:textId="2BD76025" w:rsidR="000006D7" w:rsidRDefault="000006D7" w:rsidP="003500F5">
      <w:pPr>
        <w:spacing w:after="120" w:line="276" w:lineRule="auto"/>
        <w:ind w:firstLine="709"/>
        <w:jc w:val="both"/>
      </w:pPr>
      <w:r>
        <w:t xml:space="preserve">A </w:t>
      </w:r>
      <w:r w:rsidR="003500F5">
        <w:t>continuación,</w:t>
      </w:r>
      <w:r>
        <w:t xml:space="preserve"> se presentan los pasos estratégicos del plan:</w:t>
      </w:r>
    </w:p>
    <w:p w14:paraId="27DBF582" w14:textId="77777777" w:rsidR="000006D7" w:rsidRDefault="000006D7" w:rsidP="003500F5">
      <w:pPr>
        <w:spacing w:after="120" w:line="276" w:lineRule="auto"/>
        <w:ind w:firstLine="709"/>
        <w:jc w:val="both"/>
      </w:pPr>
    </w:p>
    <w:p w14:paraId="3C663699" w14:textId="77777777" w:rsidR="000006D7" w:rsidRDefault="000006D7" w:rsidP="003500F5">
      <w:pPr>
        <w:pStyle w:val="Prrafodelista"/>
        <w:numPr>
          <w:ilvl w:val="1"/>
          <w:numId w:val="1"/>
        </w:numPr>
        <w:spacing w:after="120" w:line="276" w:lineRule="auto"/>
        <w:jc w:val="both"/>
      </w:pPr>
      <w:r>
        <w:t>Fase de Diagnóstico</w:t>
      </w:r>
    </w:p>
    <w:p w14:paraId="3849522A" w14:textId="77777777" w:rsidR="000006D7" w:rsidRDefault="000006D7" w:rsidP="003500F5">
      <w:pPr>
        <w:pStyle w:val="Prrafodelista"/>
        <w:numPr>
          <w:ilvl w:val="2"/>
          <w:numId w:val="1"/>
        </w:numPr>
        <w:spacing w:after="120" w:line="276" w:lineRule="auto"/>
        <w:jc w:val="both"/>
      </w:pPr>
      <w:r>
        <w:t>Evaluación del perfil de riesgo</w:t>
      </w:r>
    </w:p>
    <w:p w14:paraId="6FE1F324" w14:textId="77777777" w:rsidR="000006D7" w:rsidRDefault="000006D7" w:rsidP="003500F5">
      <w:pPr>
        <w:pStyle w:val="Prrafodelista"/>
        <w:numPr>
          <w:ilvl w:val="2"/>
          <w:numId w:val="1"/>
        </w:numPr>
        <w:spacing w:after="120" w:line="276" w:lineRule="auto"/>
        <w:jc w:val="both"/>
      </w:pPr>
      <w:r>
        <w:t>Análisis de liquidez disponible</w:t>
      </w:r>
    </w:p>
    <w:p w14:paraId="4A399CC5" w14:textId="77777777" w:rsidR="000006D7" w:rsidRDefault="000006D7" w:rsidP="003500F5">
      <w:pPr>
        <w:pStyle w:val="Prrafodelista"/>
        <w:numPr>
          <w:ilvl w:val="1"/>
          <w:numId w:val="1"/>
        </w:numPr>
        <w:spacing w:after="120" w:line="276" w:lineRule="auto"/>
        <w:jc w:val="both"/>
      </w:pPr>
      <w:r>
        <w:t>Fase de Ejecución</w:t>
      </w:r>
    </w:p>
    <w:p w14:paraId="1F40129A" w14:textId="77777777" w:rsidR="000006D7" w:rsidRDefault="000006D7" w:rsidP="003500F5">
      <w:pPr>
        <w:pStyle w:val="Prrafodelista"/>
        <w:numPr>
          <w:ilvl w:val="2"/>
          <w:numId w:val="1"/>
        </w:numPr>
        <w:spacing w:after="120" w:line="276" w:lineRule="auto"/>
        <w:jc w:val="both"/>
      </w:pPr>
      <w:r>
        <w:t>Suscripción de instrumentos</w:t>
      </w:r>
    </w:p>
    <w:p w14:paraId="78165A09" w14:textId="77777777" w:rsidR="000006D7" w:rsidRDefault="000006D7" w:rsidP="003500F5">
      <w:pPr>
        <w:pStyle w:val="Prrafodelista"/>
        <w:numPr>
          <w:ilvl w:val="2"/>
          <w:numId w:val="1"/>
        </w:numPr>
        <w:spacing w:after="120" w:line="276" w:lineRule="auto"/>
        <w:jc w:val="both"/>
      </w:pPr>
      <w:r>
        <w:t>Distribución de capitales</w:t>
      </w:r>
    </w:p>
    <w:p w14:paraId="0C88FF0A" w14:textId="77777777" w:rsidR="000006D7" w:rsidRDefault="000006D7" w:rsidP="003500F5">
      <w:pPr>
        <w:pStyle w:val="Prrafodelista"/>
        <w:numPr>
          <w:ilvl w:val="1"/>
          <w:numId w:val="1"/>
        </w:numPr>
        <w:spacing w:after="120" w:line="276" w:lineRule="auto"/>
        <w:jc w:val="both"/>
      </w:pPr>
      <w:r>
        <w:t>Fase de Monitoreo</w:t>
      </w:r>
    </w:p>
    <w:p w14:paraId="7EACC82B" w14:textId="77777777" w:rsidR="000006D7" w:rsidRDefault="000006D7" w:rsidP="003500F5">
      <w:pPr>
        <w:pStyle w:val="Prrafodelista"/>
        <w:numPr>
          <w:ilvl w:val="2"/>
          <w:numId w:val="1"/>
        </w:numPr>
        <w:spacing w:after="120" w:line="276" w:lineRule="auto"/>
        <w:jc w:val="both"/>
      </w:pPr>
      <w:r>
        <w:t>Revisión trimestral de rendimientos</w:t>
      </w:r>
    </w:p>
    <w:p w14:paraId="458819E6" w14:textId="77777777" w:rsidR="000006D7" w:rsidRDefault="000006D7" w:rsidP="003500F5">
      <w:pPr>
        <w:pStyle w:val="Prrafodelista"/>
        <w:numPr>
          <w:ilvl w:val="2"/>
          <w:numId w:val="1"/>
        </w:numPr>
        <w:spacing w:after="120" w:line="276" w:lineRule="auto"/>
        <w:jc w:val="both"/>
      </w:pPr>
      <w:r>
        <w:t>Reajuste de cartera</w:t>
      </w:r>
    </w:p>
    <w:p w14:paraId="11566533" w14:textId="77777777" w:rsidR="000006D7" w:rsidRDefault="000006D7" w:rsidP="000006D7"/>
    <w:p w14:paraId="280FDCF8" w14:textId="77777777" w:rsidR="00BA6F73" w:rsidRDefault="00BA6F73" w:rsidP="00BA6F73">
      <w:pPr>
        <w:spacing w:after="120" w:line="276" w:lineRule="auto"/>
        <w:ind w:firstLine="709"/>
        <w:jc w:val="both"/>
      </w:pPr>
      <w:r>
        <w:t>La estructuración de estas fases de inversión garantiza que cada decisión financiera esté respaldada por una estrategia sólida y personalizada, evitando movimientos impulsivos en el mercado. Al identificar con precisión la tolerancia al riesgo y el capital disponible en la etapa inicial, se construye una base segura para seleccionar los activos más adecuados, alineando los objetivos de rentabilidad con las necesidades reales de flujo de caja del inversionista.</w:t>
      </w:r>
    </w:p>
    <w:p w14:paraId="7E201B40" w14:textId="77777777" w:rsidR="00BA6F73" w:rsidRDefault="00BA6F73" w:rsidP="00BA6F73">
      <w:pPr>
        <w:spacing w:after="120" w:line="276" w:lineRule="auto"/>
        <w:ind w:firstLine="709"/>
        <w:jc w:val="both"/>
      </w:pPr>
    </w:p>
    <w:p w14:paraId="3A75046F" w14:textId="0D2F25E6" w:rsidR="000006D7" w:rsidRDefault="00BA6F73" w:rsidP="00BA6F73">
      <w:pPr>
        <w:spacing w:after="120" w:line="276" w:lineRule="auto"/>
        <w:ind w:firstLine="709"/>
        <w:jc w:val="both"/>
      </w:pPr>
      <w:r>
        <w:t xml:space="preserve">Por otro lado, la transición hacia la puesta en marcha y el seguimiento continuo transforma la planificación en un proceso dinámico y adaptable. El entorno financiero cambia constantemente, por lo que la disciplina de revisar y reajustar los portafolios de forma periódica no solo protege el patrimonio contra la volatilidad, sino que también permite aprovechar nuevas oportunidades de crecimiento a largo </w:t>
      </w:r>
      <w:r w:rsidRPr="00BA6F73">
        <w:rPr>
          <w:b/>
          <w:color w:val="0070C0"/>
        </w:rPr>
        <w:t>tiempo</w:t>
      </w:r>
      <w:r>
        <w:t>.</w:t>
      </w:r>
    </w:p>
    <w:p w14:paraId="09FF7BA9" w14:textId="77777777" w:rsidR="00E30B63" w:rsidRDefault="00E30B63">
      <w:r>
        <w:br w:type="page"/>
      </w:r>
    </w:p>
    <w:p w14:paraId="3637E4ED" w14:textId="578085F1" w:rsidR="000006D7" w:rsidRDefault="000006D7" w:rsidP="00E7056F">
      <w:pPr>
        <w:pStyle w:val="Ttulo1"/>
      </w:pPr>
      <w:r>
        <w:lastRenderedPageBreak/>
        <w:t xml:space="preserve">3. Comparativa de </w:t>
      </w:r>
      <w:r w:rsidR="00071382">
        <w:t>r</w:t>
      </w:r>
      <w:r>
        <w:t xml:space="preserve">endimientos por </w:t>
      </w:r>
      <w:r w:rsidR="00071382">
        <w:t>i</w:t>
      </w:r>
      <w:r>
        <w:t>nstrumento</w:t>
      </w:r>
    </w:p>
    <w:p w14:paraId="19562055" w14:textId="77777777" w:rsidR="000006D7" w:rsidRDefault="000006D7" w:rsidP="000006D7"/>
    <w:tbl>
      <w:tblPr>
        <w:tblStyle w:val="Tablaconcuadrcula4-nfasis1"/>
        <w:tblW w:w="0" w:type="auto"/>
        <w:tblLook w:val="04A0" w:firstRow="1" w:lastRow="0" w:firstColumn="1" w:lastColumn="0" w:noHBand="0" w:noVBand="1"/>
      </w:tblPr>
      <w:tblGrid>
        <w:gridCol w:w="2207"/>
        <w:gridCol w:w="2207"/>
        <w:gridCol w:w="2207"/>
        <w:gridCol w:w="2207"/>
      </w:tblGrid>
      <w:tr w:rsidR="00071382" w:rsidRPr="00071382" w14:paraId="26377C63" w14:textId="77777777" w:rsidTr="00071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2A47FD9D" w14:textId="77777777" w:rsidR="00071382" w:rsidRPr="00071382" w:rsidRDefault="00071382" w:rsidP="00A2460A">
            <w:pPr>
              <w:spacing w:after="120" w:line="276" w:lineRule="auto"/>
              <w:jc w:val="both"/>
            </w:pPr>
            <w:r w:rsidRPr="00071382">
              <w:t xml:space="preserve">Instrumento </w:t>
            </w:r>
          </w:p>
        </w:tc>
        <w:tc>
          <w:tcPr>
            <w:tcW w:w="2207" w:type="dxa"/>
          </w:tcPr>
          <w:p w14:paraId="26D937E5" w14:textId="77777777" w:rsidR="00071382" w:rsidRPr="00071382" w:rsidRDefault="00071382" w:rsidP="00A2460A">
            <w:pPr>
              <w:spacing w:after="120" w:line="276" w:lineRule="auto"/>
              <w:jc w:val="both"/>
              <w:cnfStyle w:val="100000000000" w:firstRow="1" w:lastRow="0" w:firstColumn="0" w:lastColumn="0" w:oddVBand="0" w:evenVBand="0" w:oddHBand="0" w:evenHBand="0" w:firstRowFirstColumn="0" w:firstRowLastColumn="0" w:lastRowFirstColumn="0" w:lastRowLastColumn="0"/>
            </w:pPr>
            <w:r w:rsidRPr="00071382">
              <w:t xml:space="preserve"> Tipo de Riesgo </w:t>
            </w:r>
          </w:p>
        </w:tc>
        <w:tc>
          <w:tcPr>
            <w:tcW w:w="2207" w:type="dxa"/>
          </w:tcPr>
          <w:p w14:paraId="76420715" w14:textId="77777777" w:rsidR="00071382" w:rsidRPr="00071382" w:rsidRDefault="00071382" w:rsidP="00A2460A">
            <w:pPr>
              <w:spacing w:after="120" w:line="276" w:lineRule="auto"/>
              <w:jc w:val="both"/>
              <w:cnfStyle w:val="100000000000" w:firstRow="1" w:lastRow="0" w:firstColumn="0" w:lastColumn="0" w:oddVBand="0" w:evenVBand="0" w:oddHBand="0" w:evenHBand="0" w:firstRowFirstColumn="0" w:firstRowLastColumn="0" w:lastRowFirstColumn="0" w:lastRowLastColumn="0"/>
            </w:pPr>
            <w:r w:rsidRPr="00071382">
              <w:t xml:space="preserve"> Rendimiento Esperado (%) </w:t>
            </w:r>
          </w:p>
        </w:tc>
        <w:tc>
          <w:tcPr>
            <w:tcW w:w="2207" w:type="dxa"/>
          </w:tcPr>
          <w:p w14:paraId="5E16A7FD" w14:textId="77777777" w:rsidR="00071382" w:rsidRPr="00071382" w:rsidRDefault="00071382" w:rsidP="00A2460A">
            <w:pPr>
              <w:spacing w:after="120" w:line="276" w:lineRule="auto"/>
              <w:jc w:val="both"/>
              <w:cnfStyle w:val="100000000000" w:firstRow="1" w:lastRow="0" w:firstColumn="0" w:lastColumn="0" w:oddVBand="0" w:evenVBand="0" w:oddHBand="0" w:evenHBand="0" w:firstRowFirstColumn="0" w:firstRowLastColumn="0" w:lastRowFirstColumn="0" w:lastRowLastColumn="0"/>
            </w:pPr>
            <w:r w:rsidRPr="00071382">
              <w:t xml:space="preserve"> Horizonte</w:t>
            </w:r>
          </w:p>
        </w:tc>
      </w:tr>
      <w:tr w:rsidR="00071382" w:rsidRPr="00071382" w14:paraId="73360DB9" w14:textId="77777777" w:rsidTr="0007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39ABB5E3" w14:textId="77777777" w:rsidR="00071382" w:rsidRPr="00071382" w:rsidRDefault="00071382" w:rsidP="00A2460A">
            <w:pPr>
              <w:spacing w:after="120" w:line="276" w:lineRule="auto"/>
              <w:jc w:val="both"/>
            </w:pPr>
            <w:r w:rsidRPr="00071382">
              <w:t xml:space="preserve">Renta Fija </w:t>
            </w:r>
          </w:p>
        </w:tc>
        <w:tc>
          <w:tcPr>
            <w:tcW w:w="2207" w:type="dxa"/>
          </w:tcPr>
          <w:p w14:paraId="0B6D89BA" w14:textId="77777777" w:rsidR="00071382" w:rsidRPr="00071382" w:rsidRDefault="00071382" w:rsidP="00A2460A">
            <w:pPr>
              <w:spacing w:after="120" w:line="276" w:lineRule="auto"/>
              <w:jc w:val="both"/>
              <w:cnfStyle w:val="000000100000" w:firstRow="0" w:lastRow="0" w:firstColumn="0" w:lastColumn="0" w:oddVBand="0" w:evenVBand="0" w:oddHBand="1" w:evenHBand="0" w:firstRowFirstColumn="0" w:firstRowLastColumn="0" w:lastRowFirstColumn="0" w:lastRowLastColumn="0"/>
            </w:pPr>
            <w:r w:rsidRPr="00071382">
              <w:t xml:space="preserve"> Bajo </w:t>
            </w:r>
          </w:p>
        </w:tc>
        <w:tc>
          <w:tcPr>
            <w:tcW w:w="2207" w:type="dxa"/>
          </w:tcPr>
          <w:p w14:paraId="04496A42" w14:textId="77777777" w:rsidR="00071382" w:rsidRPr="00071382" w:rsidRDefault="00071382" w:rsidP="00A2460A">
            <w:pPr>
              <w:spacing w:after="120" w:line="276" w:lineRule="auto"/>
              <w:jc w:val="both"/>
              <w:cnfStyle w:val="000000100000" w:firstRow="0" w:lastRow="0" w:firstColumn="0" w:lastColumn="0" w:oddVBand="0" w:evenVBand="0" w:oddHBand="1" w:evenHBand="0" w:firstRowFirstColumn="0" w:firstRowLastColumn="0" w:lastRowFirstColumn="0" w:lastRowLastColumn="0"/>
            </w:pPr>
            <w:r w:rsidRPr="00071382">
              <w:t xml:space="preserve"> 5.5% </w:t>
            </w:r>
          </w:p>
        </w:tc>
        <w:tc>
          <w:tcPr>
            <w:tcW w:w="2207" w:type="dxa"/>
          </w:tcPr>
          <w:p w14:paraId="0F7E169C" w14:textId="77777777" w:rsidR="00071382" w:rsidRPr="00071382" w:rsidRDefault="00071382" w:rsidP="00A2460A">
            <w:pPr>
              <w:spacing w:after="120" w:line="276" w:lineRule="auto"/>
              <w:jc w:val="both"/>
              <w:cnfStyle w:val="000000100000" w:firstRow="0" w:lastRow="0" w:firstColumn="0" w:lastColumn="0" w:oddVBand="0" w:evenVBand="0" w:oddHBand="1" w:evenHBand="0" w:firstRowFirstColumn="0" w:firstRowLastColumn="0" w:lastRowFirstColumn="0" w:lastRowLastColumn="0"/>
            </w:pPr>
            <w:r w:rsidRPr="00071382">
              <w:t xml:space="preserve"> Corto tiempo</w:t>
            </w:r>
          </w:p>
        </w:tc>
      </w:tr>
      <w:tr w:rsidR="00071382" w:rsidRPr="00071382" w14:paraId="7993F8CB" w14:textId="77777777" w:rsidTr="00071382">
        <w:tc>
          <w:tcPr>
            <w:cnfStyle w:val="001000000000" w:firstRow="0" w:lastRow="0" w:firstColumn="1" w:lastColumn="0" w:oddVBand="0" w:evenVBand="0" w:oddHBand="0" w:evenHBand="0" w:firstRowFirstColumn="0" w:firstRowLastColumn="0" w:lastRowFirstColumn="0" w:lastRowLastColumn="0"/>
            <w:tcW w:w="2207" w:type="dxa"/>
          </w:tcPr>
          <w:p w14:paraId="7BB9751A" w14:textId="77777777" w:rsidR="00071382" w:rsidRPr="00071382" w:rsidRDefault="00071382" w:rsidP="00A2460A">
            <w:pPr>
              <w:spacing w:after="120" w:line="276" w:lineRule="auto"/>
              <w:jc w:val="both"/>
            </w:pPr>
            <w:r w:rsidRPr="00071382">
              <w:t xml:space="preserve">Renta Variable </w:t>
            </w:r>
          </w:p>
        </w:tc>
        <w:tc>
          <w:tcPr>
            <w:tcW w:w="2207" w:type="dxa"/>
          </w:tcPr>
          <w:p w14:paraId="14CE733D" w14:textId="77777777" w:rsidR="00071382" w:rsidRPr="00071382" w:rsidRDefault="00071382" w:rsidP="00A2460A">
            <w:pPr>
              <w:spacing w:after="120" w:line="276" w:lineRule="auto"/>
              <w:jc w:val="both"/>
              <w:cnfStyle w:val="000000000000" w:firstRow="0" w:lastRow="0" w:firstColumn="0" w:lastColumn="0" w:oddVBand="0" w:evenVBand="0" w:oddHBand="0" w:evenHBand="0" w:firstRowFirstColumn="0" w:firstRowLastColumn="0" w:lastRowFirstColumn="0" w:lastRowLastColumn="0"/>
            </w:pPr>
            <w:r w:rsidRPr="00071382">
              <w:t xml:space="preserve"> Alto </w:t>
            </w:r>
          </w:p>
        </w:tc>
        <w:tc>
          <w:tcPr>
            <w:tcW w:w="2207" w:type="dxa"/>
          </w:tcPr>
          <w:p w14:paraId="4F27AA53" w14:textId="77777777" w:rsidR="00071382" w:rsidRPr="00071382" w:rsidRDefault="00071382" w:rsidP="00A2460A">
            <w:pPr>
              <w:spacing w:after="120" w:line="276" w:lineRule="auto"/>
              <w:jc w:val="both"/>
              <w:cnfStyle w:val="000000000000" w:firstRow="0" w:lastRow="0" w:firstColumn="0" w:lastColumn="0" w:oddVBand="0" w:evenVBand="0" w:oddHBand="0" w:evenHBand="0" w:firstRowFirstColumn="0" w:firstRowLastColumn="0" w:lastRowFirstColumn="0" w:lastRowLastColumn="0"/>
            </w:pPr>
            <w:r w:rsidRPr="00071382">
              <w:t xml:space="preserve"> 14.2% </w:t>
            </w:r>
          </w:p>
        </w:tc>
        <w:tc>
          <w:tcPr>
            <w:tcW w:w="2207" w:type="dxa"/>
          </w:tcPr>
          <w:p w14:paraId="3FBE10B6" w14:textId="2DCD03A6" w:rsidR="00071382" w:rsidRPr="00071382" w:rsidRDefault="00071382" w:rsidP="00A2460A">
            <w:pPr>
              <w:spacing w:after="120" w:line="276" w:lineRule="auto"/>
              <w:jc w:val="both"/>
              <w:cnfStyle w:val="000000000000" w:firstRow="0" w:lastRow="0" w:firstColumn="0" w:lastColumn="0" w:oddVBand="0" w:evenVBand="0" w:oddHBand="0" w:evenHBand="0" w:firstRowFirstColumn="0" w:firstRowLastColumn="0" w:lastRowFirstColumn="0" w:lastRowLastColumn="0"/>
            </w:pPr>
            <w:r w:rsidRPr="00071382">
              <w:t xml:space="preserve"> Largo </w:t>
            </w:r>
            <w:r w:rsidR="000A451D" w:rsidRPr="000A451D">
              <w:rPr>
                <w:b/>
                <w:color w:val="0070C0"/>
              </w:rPr>
              <w:t>tiempo</w:t>
            </w:r>
          </w:p>
        </w:tc>
      </w:tr>
      <w:tr w:rsidR="00071382" w:rsidRPr="00071382" w14:paraId="3C31DDC8" w14:textId="77777777" w:rsidTr="0007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3CBC8C6A" w14:textId="77777777" w:rsidR="00071382" w:rsidRPr="00071382" w:rsidRDefault="00071382" w:rsidP="00A2460A">
            <w:pPr>
              <w:spacing w:after="120" w:line="276" w:lineRule="auto"/>
              <w:jc w:val="both"/>
            </w:pPr>
            <w:r w:rsidRPr="00071382">
              <w:t xml:space="preserve">Bienes Raíces </w:t>
            </w:r>
          </w:p>
        </w:tc>
        <w:tc>
          <w:tcPr>
            <w:tcW w:w="2207" w:type="dxa"/>
          </w:tcPr>
          <w:p w14:paraId="2863A456" w14:textId="77777777" w:rsidR="00071382" w:rsidRPr="00071382" w:rsidRDefault="00071382" w:rsidP="00A2460A">
            <w:pPr>
              <w:spacing w:after="120" w:line="276" w:lineRule="auto"/>
              <w:jc w:val="both"/>
              <w:cnfStyle w:val="000000100000" w:firstRow="0" w:lastRow="0" w:firstColumn="0" w:lastColumn="0" w:oddVBand="0" w:evenVBand="0" w:oddHBand="1" w:evenHBand="0" w:firstRowFirstColumn="0" w:firstRowLastColumn="0" w:lastRowFirstColumn="0" w:lastRowLastColumn="0"/>
            </w:pPr>
            <w:r w:rsidRPr="00071382">
              <w:t xml:space="preserve"> Moderado </w:t>
            </w:r>
          </w:p>
        </w:tc>
        <w:tc>
          <w:tcPr>
            <w:tcW w:w="2207" w:type="dxa"/>
          </w:tcPr>
          <w:p w14:paraId="11A44B51" w14:textId="77777777" w:rsidR="00071382" w:rsidRPr="00071382" w:rsidRDefault="00071382" w:rsidP="00A2460A">
            <w:pPr>
              <w:spacing w:after="120" w:line="276" w:lineRule="auto"/>
              <w:jc w:val="both"/>
              <w:cnfStyle w:val="000000100000" w:firstRow="0" w:lastRow="0" w:firstColumn="0" w:lastColumn="0" w:oddVBand="0" w:evenVBand="0" w:oddHBand="1" w:evenHBand="0" w:firstRowFirstColumn="0" w:firstRowLastColumn="0" w:lastRowFirstColumn="0" w:lastRowLastColumn="0"/>
            </w:pPr>
            <w:r w:rsidRPr="00071382">
              <w:t xml:space="preserve"> 8.0% </w:t>
            </w:r>
          </w:p>
        </w:tc>
        <w:tc>
          <w:tcPr>
            <w:tcW w:w="2207" w:type="dxa"/>
          </w:tcPr>
          <w:p w14:paraId="66EA0E42" w14:textId="1B1C1D75" w:rsidR="00071382" w:rsidRPr="00071382" w:rsidRDefault="00071382" w:rsidP="00A2460A">
            <w:pPr>
              <w:spacing w:after="120" w:line="276" w:lineRule="auto"/>
              <w:jc w:val="both"/>
              <w:cnfStyle w:val="000000100000" w:firstRow="0" w:lastRow="0" w:firstColumn="0" w:lastColumn="0" w:oddVBand="0" w:evenVBand="0" w:oddHBand="1" w:evenHBand="0" w:firstRowFirstColumn="0" w:firstRowLastColumn="0" w:lastRowFirstColumn="0" w:lastRowLastColumn="0"/>
            </w:pPr>
            <w:r w:rsidRPr="00071382">
              <w:t xml:space="preserve"> Mediano </w:t>
            </w:r>
            <w:r w:rsidR="000A451D" w:rsidRPr="000A451D">
              <w:rPr>
                <w:b/>
                <w:color w:val="0070C0"/>
              </w:rPr>
              <w:t>tiempo</w:t>
            </w:r>
          </w:p>
        </w:tc>
      </w:tr>
      <w:tr w:rsidR="00071382" w:rsidRPr="00071382" w14:paraId="55394C0C" w14:textId="77777777" w:rsidTr="00071382">
        <w:tc>
          <w:tcPr>
            <w:cnfStyle w:val="001000000000" w:firstRow="0" w:lastRow="0" w:firstColumn="1" w:lastColumn="0" w:oddVBand="0" w:evenVBand="0" w:oddHBand="0" w:evenHBand="0" w:firstRowFirstColumn="0" w:firstRowLastColumn="0" w:lastRowFirstColumn="0" w:lastRowLastColumn="0"/>
            <w:tcW w:w="2207" w:type="dxa"/>
          </w:tcPr>
          <w:p w14:paraId="60161965" w14:textId="77777777" w:rsidR="00071382" w:rsidRPr="00071382" w:rsidRDefault="00071382" w:rsidP="00A2460A">
            <w:pPr>
              <w:spacing w:after="120" w:line="276" w:lineRule="auto"/>
              <w:jc w:val="both"/>
            </w:pPr>
            <w:r w:rsidRPr="00071382">
              <w:t xml:space="preserve">Fondos Mutuos </w:t>
            </w:r>
          </w:p>
        </w:tc>
        <w:tc>
          <w:tcPr>
            <w:tcW w:w="2207" w:type="dxa"/>
          </w:tcPr>
          <w:p w14:paraId="4AD92C6E" w14:textId="77777777" w:rsidR="00071382" w:rsidRPr="00071382" w:rsidRDefault="00071382" w:rsidP="00A2460A">
            <w:pPr>
              <w:spacing w:after="120" w:line="276" w:lineRule="auto"/>
              <w:jc w:val="both"/>
              <w:cnfStyle w:val="000000000000" w:firstRow="0" w:lastRow="0" w:firstColumn="0" w:lastColumn="0" w:oddVBand="0" w:evenVBand="0" w:oddHBand="0" w:evenHBand="0" w:firstRowFirstColumn="0" w:firstRowLastColumn="0" w:lastRowFirstColumn="0" w:lastRowLastColumn="0"/>
            </w:pPr>
            <w:r w:rsidRPr="00071382">
              <w:t xml:space="preserve"> Moderado </w:t>
            </w:r>
          </w:p>
        </w:tc>
        <w:tc>
          <w:tcPr>
            <w:tcW w:w="2207" w:type="dxa"/>
          </w:tcPr>
          <w:p w14:paraId="088A51A7" w14:textId="77777777" w:rsidR="00071382" w:rsidRPr="00071382" w:rsidRDefault="00071382" w:rsidP="00A2460A">
            <w:pPr>
              <w:spacing w:after="120" w:line="276" w:lineRule="auto"/>
              <w:jc w:val="both"/>
              <w:cnfStyle w:val="000000000000" w:firstRow="0" w:lastRow="0" w:firstColumn="0" w:lastColumn="0" w:oddVBand="0" w:evenVBand="0" w:oddHBand="0" w:evenHBand="0" w:firstRowFirstColumn="0" w:firstRowLastColumn="0" w:lastRowFirstColumn="0" w:lastRowLastColumn="0"/>
            </w:pPr>
            <w:r w:rsidRPr="00071382">
              <w:t xml:space="preserve"> 7.2% </w:t>
            </w:r>
          </w:p>
        </w:tc>
        <w:tc>
          <w:tcPr>
            <w:tcW w:w="2207" w:type="dxa"/>
          </w:tcPr>
          <w:p w14:paraId="3D6B3767" w14:textId="2311D8D4" w:rsidR="00071382" w:rsidRPr="00071382" w:rsidRDefault="00071382" w:rsidP="00A2460A">
            <w:pPr>
              <w:spacing w:after="120" w:line="276" w:lineRule="auto"/>
              <w:jc w:val="both"/>
              <w:cnfStyle w:val="000000000000" w:firstRow="0" w:lastRow="0" w:firstColumn="0" w:lastColumn="0" w:oddVBand="0" w:evenVBand="0" w:oddHBand="0" w:evenHBand="0" w:firstRowFirstColumn="0" w:firstRowLastColumn="0" w:lastRowFirstColumn="0" w:lastRowLastColumn="0"/>
            </w:pPr>
            <w:r w:rsidRPr="00071382">
              <w:t xml:space="preserve"> Mediano </w:t>
            </w:r>
            <w:r w:rsidR="000A451D" w:rsidRPr="000A451D">
              <w:rPr>
                <w:b/>
                <w:color w:val="0070C0"/>
              </w:rPr>
              <w:t>tiempo</w:t>
            </w:r>
          </w:p>
        </w:tc>
      </w:tr>
      <w:tr w:rsidR="00071382" w:rsidRPr="00071382" w14:paraId="1585D77D" w14:textId="77777777" w:rsidTr="0007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4"/>
            <w:vAlign w:val="center"/>
          </w:tcPr>
          <w:p w14:paraId="26974D86" w14:textId="10C712B9" w:rsidR="00071382" w:rsidRPr="00071382" w:rsidRDefault="00071382" w:rsidP="00071382">
            <w:pPr>
              <w:spacing w:after="120" w:line="276" w:lineRule="auto"/>
              <w:jc w:val="center"/>
            </w:pPr>
            <w:r>
              <w:t>INFORMACIÓN RECOPILADA</w:t>
            </w:r>
          </w:p>
        </w:tc>
      </w:tr>
    </w:tbl>
    <w:p w14:paraId="63748462" w14:textId="77777777" w:rsidR="000006D7" w:rsidRDefault="000006D7" w:rsidP="000006D7"/>
    <w:p w14:paraId="0807992B" w14:textId="77777777" w:rsidR="000006D7" w:rsidRDefault="000006D7" w:rsidP="000006D7"/>
    <w:p w14:paraId="5B290816" w14:textId="77777777" w:rsidR="00E30B63" w:rsidRDefault="00E30B63">
      <w:r>
        <w:br w:type="page"/>
      </w:r>
    </w:p>
    <w:p w14:paraId="268BB9E0" w14:textId="2937C263" w:rsidR="000006D7" w:rsidRDefault="000006D7" w:rsidP="00E7056F">
      <w:pPr>
        <w:pStyle w:val="Ttulo1"/>
      </w:pPr>
      <w:r>
        <w:lastRenderedPageBreak/>
        <w:t>4. Proyección Gráfica y Tendencias de Mercado</w:t>
      </w:r>
    </w:p>
    <w:p w14:paraId="59668324" w14:textId="77777777" w:rsidR="000006D7" w:rsidRDefault="000006D7" w:rsidP="000006D7"/>
    <w:p w14:paraId="4CC1E1D5" w14:textId="7201FE66" w:rsidR="000006D7" w:rsidRDefault="000006D7" w:rsidP="003500F5">
      <w:pPr>
        <w:spacing w:after="120" w:line="276" w:lineRule="auto"/>
        <w:ind w:firstLine="709"/>
        <w:jc w:val="both"/>
      </w:pPr>
      <w:r>
        <w:t xml:space="preserve">En esta sección se analiza la evolución gráfica del mercado bursátil durante el último período fiscal. La correcta asignación de activos a corto </w:t>
      </w:r>
      <w:r w:rsidR="000A451D" w:rsidRPr="000A451D">
        <w:rPr>
          <w:b/>
          <w:color w:val="0070C0"/>
        </w:rPr>
        <w:t>tiempo</w:t>
      </w:r>
      <w:r>
        <w:t xml:space="preserve"> permite mitigar la volatilidad.</w:t>
      </w:r>
    </w:p>
    <w:p w14:paraId="4501757B" w14:textId="77777777" w:rsidR="000006D7" w:rsidRDefault="000006D7" w:rsidP="000006D7"/>
    <w:p w14:paraId="6011E68A" w14:textId="1E9143CE" w:rsidR="00BA6F73" w:rsidRDefault="00BA6F73" w:rsidP="00BA6F73">
      <w:pPr>
        <w:spacing w:after="120" w:line="276" w:lineRule="auto"/>
        <w:ind w:firstLine="709"/>
        <w:jc w:val="both"/>
      </w:pPr>
      <w:r>
        <w:t xml:space="preserve">La correcta selección de activos requiere comprender la relación directa entre el riesgo asumido y el rendimiento esperado. Como se observa en la tabla, la Renta Variable lidera las proyecciones con un 14.2%, ideal para inversionistas dispuestos a tolerar la volatilidad del mercado en busca de maximizar su capital. Por el contrario, la Renta Fija se posiciona como el refugio más seguro con un rendimiento del 5.5%, diseñado para proteger el dinero contra la inflación en </w:t>
      </w:r>
      <w:r w:rsidRPr="00BA6F73">
        <w:rPr>
          <w:b/>
          <w:color w:val="0070C0"/>
        </w:rPr>
        <w:t>tiempo</w:t>
      </w:r>
      <w:r>
        <w:t>s breves sin exponer el capital a variaciones bruscas.</w:t>
      </w:r>
    </w:p>
    <w:p w14:paraId="29C62C14" w14:textId="77777777" w:rsidR="00BA6F73" w:rsidRDefault="00BA6F73" w:rsidP="00BA6F73">
      <w:pPr>
        <w:spacing w:after="120" w:line="276" w:lineRule="auto"/>
        <w:ind w:firstLine="709"/>
        <w:jc w:val="both"/>
      </w:pPr>
    </w:p>
    <w:p w14:paraId="3295BCFB" w14:textId="2E25E7D6" w:rsidR="00BA6F73" w:rsidRDefault="00BA6F73" w:rsidP="00BA6F73">
      <w:pPr>
        <w:spacing w:after="120" w:line="276" w:lineRule="auto"/>
        <w:ind w:firstLine="709"/>
        <w:jc w:val="both"/>
      </w:pPr>
      <w:r>
        <w:t xml:space="preserve">Por su parte, los instrumentos de riesgo moderado como los Bienes Raíces (8.0%) y los Fondos Mutuos (7.2%) representan un equilibrio estratégico ideal para el mediano </w:t>
      </w:r>
      <w:r w:rsidRPr="00BA6F73">
        <w:rPr>
          <w:b/>
          <w:color w:val="0070C0"/>
        </w:rPr>
        <w:t>tiempo</w:t>
      </w:r>
      <w:r>
        <w:t>. Los activos inmobiliarios aportan estabilidad estructural y plusvalía física, mientras que los fondos mutuos ofrecen diversificación inmediata al agrupar distintas opciones en una sola canasta, facilitando el acceso a mercados financieros sin la necesidad de gestionar cada título de forma individual.</w:t>
      </w:r>
    </w:p>
    <w:p w14:paraId="357FA820" w14:textId="77777777" w:rsidR="00BA6F73" w:rsidRDefault="00BA6F73" w:rsidP="00BA6F73">
      <w:pPr>
        <w:spacing w:after="120" w:line="276" w:lineRule="auto"/>
        <w:ind w:firstLine="709"/>
        <w:jc w:val="both"/>
      </w:pPr>
    </w:p>
    <w:p w14:paraId="6404C600" w14:textId="363F1CD1" w:rsidR="000006D7" w:rsidRPr="00BA6F73" w:rsidRDefault="00BA6F73" w:rsidP="00BA6F73">
      <w:pPr>
        <w:spacing w:after="120" w:line="276" w:lineRule="auto"/>
        <w:ind w:firstLine="709"/>
        <w:jc w:val="both"/>
      </w:pPr>
      <w:r>
        <w:t xml:space="preserve">La clave de una gestión financiera exitosa no radica en elegir un único instrumento, sino en articular una estrategia de distribución temporal y de riesgo. Combinar el corto, mediano y largo </w:t>
      </w:r>
      <w:r w:rsidRPr="00BA6F73">
        <w:rPr>
          <w:b/>
          <w:color w:val="0070C0"/>
        </w:rPr>
        <w:t>tiempo</w:t>
      </w:r>
      <w:r>
        <w:t xml:space="preserve"> permite al inversionista contar con liquidez inmediata a través de la renta fija, mientras permite que los activos de mayor riesgo maduren y mitiguen su volatilidad a lo largo de los años, maximizando así la salud financiera global de la cartera.</w:t>
      </w:r>
    </w:p>
    <w:p w14:paraId="2BEF52D2" w14:textId="77777777" w:rsidR="00E30B63" w:rsidRDefault="00E30B63">
      <w:r>
        <w:br w:type="page"/>
      </w:r>
    </w:p>
    <w:p w14:paraId="14E8B567" w14:textId="77777777" w:rsidR="00E7056F" w:rsidRDefault="00E7056F" w:rsidP="000006D7">
      <w:pPr>
        <w:sectPr w:rsidR="00E7056F" w:rsidSect="00E7056F">
          <w:pgSz w:w="12240" w:h="15840" w:code="1"/>
          <w:pgMar w:top="1417" w:right="1701" w:bottom="1417" w:left="1701" w:header="708" w:footer="708" w:gutter="0"/>
          <w:cols w:space="708"/>
          <w:docGrid w:linePitch="360"/>
        </w:sectPr>
      </w:pPr>
    </w:p>
    <w:p w14:paraId="262CD16F" w14:textId="50280FB4" w:rsidR="000006D7" w:rsidRDefault="000006D7" w:rsidP="00E7056F">
      <w:pPr>
        <w:pStyle w:val="Ttulo1"/>
      </w:pPr>
      <w:r>
        <w:lastRenderedPageBreak/>
        <w:t>5. Anexos y Tablas Complementarias</w:t>
      </w:r>
    </w:p>
    <w:p w14:paraId="206B443A" w14:textId="77777777" w:rsidR="000006D7" w:rsidRDefault="000006D7" w:rsidP="000006D7"/>
    <w:p w14:paraId="7678CD94" w14:textId="6F220306" w:rsidR="00BA6F73" w:rsidRDefault="000006D7" w:rsidP="00BA6F73">
      <w:pPr>
        <w:spacing w:after="120" w:line="276" w:lineRule="auto"/>
        <w:ind w:firstLine="709"/>
        <w:jc w:val="both"/>
      </w:pPr>
      <w:r>
        <w:t>En esta sección final se adjuntan las tablas complementarias de auditoría interna y desglose detallado de los activos financieros.</w:t>
      </w:r>
    </w:p>
    <w:p w14:paraId="28128637" w14:textId="77777777" w:rsidR="00BA6F73" w:rsidRDefault="00BA6F73" w:rsidP="00BA6F73">
      <w:pPr>
        <w:spacing w:after="120" w:line="276" w:lineRule="auto"/>
        <w:ind w:firstLine="709"/>
        <w:jc w:val="both"/>
      </w:pPr>
    </w:p>
    <w:p w14:paraId="730352BC" w14:textId="77777777" w:rsidR="00BA6F73" w:rsidRDefault="00BA6F73" w:rsidP="00BA6F73">
      <w:pPr>
        <w:spacing w:after="120" w:line="276" w:lineRule="auto"/>
        <w:ind w:firstLine="709"/>
        <w:jc w:val="both"/>
      </w:pPr>
      <w:r>
        <w:t>La inclusión de estos reportes de auditoría interna responde a la necesidad de garantizar la máxima transparencia y precisión en la gestión de los recursos financieros. Cada tabla adjunta actúa como un registro de verificación que valida la consistencia de los saldos, asegurando que los movimientos registrados coincidan estrictamente con las operaciones reales de la cartera. Este nivel de detalle no solo mitiga el riesgo de errores operativos, sino que también proporciona un respaldo institucional indispensable para cumplir con las normativas fiscales y los estándares de cumplimiento más exigentes.</w:t>
      </w:r>
    </w:p>
    <w:p w14:paraId="2CB0E964" w14:textId="77777777" w:rsidR="00BA6F73" w:rsidRDefault="00BA6F73" w:rsidP="00BA6F73">
      <w:pPr>
        <w:spacing w:after="120" w:line="276" w:lineRule="auto"/>
        <w:ind w:firstLine="709"/>
        <w:jc w:val="both"/>
      </w:pPr>
    </w:p>
    <w:p w14:paraId="6189FC7E" w14:textId="77777777" w:rsidR="00BA6F73" w:rsidRDefault="00BA6F73" w:rsidP="00BA6F73">
      <w:pPr>
        <w:spacing w:after="120" w:line="276" w:lineRule="auto"/>
        <w:ind w:firstLine="709"/>
        <w:jc w:val="both"/>
      </w:pPr>
      <w:r>
        <w:t>Por otro lado, el desglose detallado de los activos permite examinar de forma individual la composición y el peso específico de cada instrumento dentro del portafolio global. Al desarmar la estructura de la cartera en componentes específicos —desde títulos individuales de renta fija hasta acciones específicas en el mercado bursátil— el inversionista puede evaluar con exactitud su nivel de diversificación. Esta información analítica es fundamental para identificar posibles concentraciones excesivas de riesgo en un solo sector o emisor, facilitando la toma de decisiones correctivas oportunas.</w:t>
      </w:r>
    </w:p>
    <w:p w14:paraId="1D4DAFE9" w14:textId="77777777" w:rsidR="00BA6F73" w:rsidRDefault="00BA6F73" w:rsidP="00BA6F73">
      <w:pPr>
        <w:spacing w:after="120" w:line="276" w:lineRule="auto"/>
        <w:ind w:firstLine="709"/>
        <w:jc w:val="both"/>
      </w:pPr>
    </w:p>
    <w:p w14:paraId="36379C3D" w14:textId="1CE4BF76" w:rsidR="00BA6F73" w:rsidRDefault="00BA6F73" w:rsidP="00BA6F73">
      <w:pPr>
        <w:spacing w:after="120" w:line="276" w:lineRule="auto"/>
        <w:ind w:firstLine="709"/>
        <w:jc w:val="both"/>
      </w:pPr>
      <w:r>
        <w:t xml:space="preserve">Este compendio de datos complementarios se consolida como la fuente de consulta técnica principal para futuras revisiones estratégicas y proyecciones presupuestarias. Al centralizar los históricos de costos, las fechas de vencimiento y las tasas de rendimiento pactadas, se optimiza el tiempo de análisis en los cierres de periodos fiscales. De este modo, los anexos dejan de ser simples documentos de archivo y se transforman en una herramienta de diagnóstico continuo para asegurar la rentabilidad y la salud financiera a largo </w:t>
      </w:r>
      <w:r w:rsidRPr="00BA6F73">
        <w:rPr>
          <w:b/>
          <w:color w:val="0070C0"/>
        </w:rPr>
        <w:t>tiempo</w:t>
      </w:r>
      <w:r>
        <w:t>.</w:t>
      </w:r>
    </w:p>
    <w:sectPr w:rsidR="00BA6F73" w:rsidSect="00E7056F">
      <w:pgSz w:w="15840" w:h="12240" w:orient="landscape" w:code="1"/>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B071F" w14:textId="77777777" w:rsidR="00DA5133" w:rsidRDefault="00DA5133" w:rsidP="002B2FB4">
      <w:pPr>
        <w:spacing w:after="0" w:line="240" w:lineRule="auto"/>
      </w:pPr>
      <w:r>
        <w:separator/>
      </w:r>
    </w:p>
  </w:endnote>
  <w:endnote w:type="continuationSeparator" w:id="0">
    <w:p w14:paraId="0101D987" w14:textId="77777777" w:rsidR="00DA5133" w:rsidRDefault="00DA5133" w:rsidP="002B2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C28BB" w14:textId="77777777" w:rsidR="002B2FB4" w:rsidRDefault="002B2F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D9EA" w14:textId="77777777" w:rsidR="002B2FB4" w:rsidRDefault="002B2FB4">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48594C25" w14:textId="77777777" w:rsidR="002B2FB4" w:rsidRDefault="002B2FB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4511E" w14:textId="77777777" w:rsidR="002B2FB4" w:rsidRDefault="002B2F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86FE0" w14:textId="77777777" w:rsidR="00DA5133" w:rsidRDefault="00DA5133" w:rsidP="002B2FB4">
      <w:pPr>
        <w:spacing w:after="0" w:line="240" w:lineRule="auto"/>
      </w:pPr>
      <w:r>
        <w:separator/>
      </w:r>
    </w:p>
  </w:footnote>
  <w:footnote w:type="continuationSeparator" w:id="0">
    <w:p w14:paraId="4991C4E5" w14:textId="77777777" w:rsidR="00DA5133" w:rsidRDefault="00DA5133" w:rsidP="002B2FB4">
      <w:pPr>
        <w:spacing w:after="0" w:line="240" w:lineRule="auto"/>
      </w:pPr>
      <w:r>
        <w:continuationSeparator/>
      </w:r>
    </w:p>
  </w:footnote>
  <w:footnote w:id="1">
    <w:p w14:paraId="76B597D2" w14:textId="4C11ECE5" w:rsidR="000A451D" w:rsidRPr="000A451D" w:rsidRDefault="000A451D">
      <w:pPr>
        <w:pStyle w:val="Textonotapie"/>
        <w:rPr>
          <w:lang w:val="es-SV"/>
        </w:rPr>
      </w:pPr>
      <w:r>
        <w:rPr>
          <w:rStyle w:val="Refdenotaalpie"/>
        </w:rPr>
        <w:footnoteRef/>
      </w:r>
      <w:r>
        <w:t xml:space="preserve"> </w:t>
      </w:r>
      <w:r w:rsidRPr="000A451D">
        <w:t>“Es el interés calculado sobre el capital inicial y también sobre los intereses ya ganados.”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3028" w14:textId="77777777" w:rsidR="002B2FB4" w:rsidRDefault="002B2F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67DD" w14:textId="34FFAC80" w:rsidR="002B2FB4" w:rsidRPr="002B2FB4" w:rsidRDefault="002B2FB4" w:rsidP="002B2FB4">
    <w:pPr>
      <w:pStyle w:val="Encabezado"/>
      <w:jc w:val="right"/>
      <w:rPr>
        <w:i/>
        <w:iCs/>
        <w:color w:val="0070C0"/>
      </w:rPr>
    </w:pPr>
    <w:r w:rsidRPr="002B2FB4">
      <w:rPr>
        <w:i/>
        <w:iCs/>
        <w:color w:val="0070C0"/>
      </w:rPr>
      <w:t>Informe Financiero Anual</w:t>
    </w:r>
  </w:p>
  <w:p w14:paraId="700B106D" w14:textId="77777777" w:rsidR="002B2FB4" w:rsidRDefault="002B2FB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729F" w14:textId="77777777" w:rsidR="002B2FB4" w:rsidRDefault="002B2F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356B2"/>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9375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6D7"/>
    <w:rsid w:val="000006D7"/>
    <w:rsid w:val="00030BD6"/>
    <w:rsid w:val="00071382"/>
    <w:rsid w:val="000A451D"/>
    <w:rsid w:val="001226BA"/>
    <w:rsid w:val="001B4D1F"/>
    <w:rsid w:val="00292312"/>
    <w:rsid w:val="002B2FB4"/>
    <w:rsid w:val="003500F5"/>
    <w:rsid w:val="00362808"/>
    <w:rsid w:val="00364041"/>
    <w:rsid w:val="003C0341"/>
    <w:rsid w:val="004A67A0"/>
    <w:rsid w:val="005F47F5"/>
    <w:rsid w:val="00635937"/>
    <w:rsid w:val="00736FCF"/>
    <w:rsid w:val="00A03725"/>
    <w:rsid w:val="00A95D4B"/>
    <w:rsid w:val="00AB06E3"/>
    <w:rsid w:val="00BA6F73"/>
    <w:rsid w:val="00C23CD6"/>
    <w:rsid w:val="00DA5133"/>
    <w:rsid w:val="00E30B63"/>
    <w:rsid w:val="00E7056F"/>
    <w:rsid w:val="00E91A60"/>
    <w:rsid w:val="00EA70E4"/>
    <w:rsid w:val="00EC12B9"/>
    <w:rsid w:val="00F13DE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60657"/>
  <w15:chartTrackingRefBased/>
  <w15:docId w15:val="{1F64DCB9-8263-4DD1-9587-FB51CE6B4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26BA"/>
    <w:pPr>
      <w:keepNext/>
      <w:keepLines/>
      <w:spacing w:before="240" w:after="120"/>
      <w:outlineLvl w:val="0"/>
    </w:pPr>
    <w:rPr>
      <w:rFonts w:eastAsiaTheme="majorEastAsia" w:cstheme="majorBidi"/>
      <w:szCs w:val="40"/>
    </w:rPr>
  </w:style>
  <w:style w:type="paragraph" w:styleId="Ttulo2">
    <w:name w:val="heading 2"/>
    <w:basedOn w:val="Normal"/>
    <w:next w:val="Normal"/>
    <w:link w:val="Ttulo2Car"/>
    <w:uiPriority w:val="9"/>
    <w:semiHidden/>
    <w:unhideWhenUsed/>
    <w:qFormat/>
    <w:rsid w:val="00000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06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06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06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06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06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06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06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26BA"/>
    <w:rPr>
      <w:rFonts w:eastAsiaTheme="majorEastAsia" w:cstheme="majorBidi"/>
      <w:szCs w:val="40"/>
    </w:rPr>
  </w:style>
  <w:style w:type="character" w:customStyle="1" w:styleId="Ttulo2Car">
    <w:name w:val="Título 2 Car"/>
    <w:basedOn w:val="Fuentedeprrafopredeter"/>
    <w:link w:val="Ttulo2"/>
    <w:uiPriority w:val="9"/>
    <w:semiHidden/>
    <w:rsid w:val="000006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06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06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06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06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06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06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06D7"/>
    <w:rPr>
      <w:rFonts w:eastAsiaTheme="majorEastAsia" w:cstheme="majorBidi"/>
      <w:color w:val="272727" w:themeColor="text1" w:themeTint="D8"/>
    </w:rPr>
  </w:style>
  <w:style w:type="paragraph" w:styleId="Ttulo">
    <w:name w:val="Title"/>
    <w:basedOn w:val="Normal"/>
    <w:next w:val="Normal"/>
    <w:link w:val="TtuloCar"/>
    <w:uiPriority w:val="10"/>
    <w:qFormat/>
    <w:rsid w:val="00000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06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06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06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06D7"/>
    <w:pPr>
      <w:spacing w:before="160"/>
      <w:jc w:val="center"/>
    </w:pPr>
    <w:rPr>
      <w:i/>
      <w:iCs/>
      <w:color w:val="404040" w:themeColor="text1" w:themeTint="BF"/>
    </w:rPr>
  </w:style>
  <w:style w:type="character" w:customStyle="1" w:styleId="CitaCar">
    <w:name w:val="Cita Car"/>
    <w:basedOn w:val="Fuentedeprrafopredeter"/>
    <w:link w:val="Cita"/>
    <w:uiPriority w:val="29"/>
    <w:rsid w:val="000006D7"/>
    <w:rPr>
      <w:i/>
      <w:iCs/>
      <w:color w:val="404040" w:themeColor="text1" w:themeTint="BF"/>
    </w:rPr>
  </w:style>
  <w:style w:type="paragraph" w:styleId="Prrafodelista">
    <w:name w:val="List Paragraph"/>
    <w:basedOn w:val="Normal"/>
    <w:uiPriority w:val="34"/>
    <w:qFormat/>
    <w:rsid w:val="000006D7"/>
    <w:pPr>
      <w:ind w:left="720"/>
      <w:contextualSpacing/>
    </w:pPr>
  </w:style>
  <w:style w:type="character" w:styleId="nfasisintenso">
    <w:name w:val="Intense Emphasis"/>
    <w:basedOn w:val="Fuentedeprrafopredeter"/>
    <w:uiPriority w:val="21"/>
    <w:qFormat/>
    <w:rsid w:val="000006D7"/>
    <w:rPr>
      <w:i/>
      <w:iCs/>
      <w:color w:val="0F4761" w:themeColor="accent1" w:themeShade="BF"/>
    </w:rPr>
  </w:style>
  <w:style w:type="paragraph" w:styleId="Citadestacada">
    <w:name w:val="Intense Quote"/>
    <w:basedOn w:val="Normal"/>
    <w:next w:val="Normal"/>
    <w:link w:val="CitadestacadaCar"/>
    <w:uiPriority w:val="30"/>
    <w:qFormat/>
    <w:rsid w:val="00000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06D7"/>
    <w:rPr>
      <w:i/>
      <w:iCs/>
      <w:color w:val="0F4761" w:themeColor="accent1" w:themeShade="BF"/>
    </w:rPr>
  </w:style>
  <w:style w:type="character" w:styleId="Referenciaintensa">
    <w:name w:val="Intense Reference"/>
    <w:basedOn w:val="Fuentedeprrafopredeter"/>
    <w:uiPriority w:val="32"/>
    <w:qFormat/>
    <w:rsid w:val="000006D7"/>
    <w:rPr>
      <w:b/>
      <w:bCs/>
      <w:smallCaps/>
      <w:color w:val="0F4761" w:themeColor="accent1" w:themeShade="BF"/>
      <w:spacing w:val="5"/>
    </w:rPr>
  </w:style>
  <w:style w:type="table" w:styleId="Tablaconcuadrcula">
    <w:name w:val="Table Grid"/>
    <w:basedOn w:val="Tablanormal"/>
    <w:uiPriority w:val="39"/>
    <w:rsid w:val="000713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07138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cabezado">
    <w:name w:val="header"/>
    <w:basedOn w:val="Normal"/>
    <w:link w:val="EncabezadoCar"/>
    <w:uiPriority w:val="99"/>
    <w:unhideWhenUsed/>
    <w:rsid w:val="002B2F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B2FB4"/>
  </w:style>
  <w:style w:type="paragraph" w:styleId="Piedepgina">
    <w:name w:val="footer"/>
    <w:basedOn w:val="Normal"/>
    <w:link w:val="PiedepginaCar"/>
    <w:uiPriority w:val="99"/>
    <w:unhideWhenUsed/>
    <w:rsid w:val="002B2F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2FB4"/>
  </w:style>
  <w:style w:type="paragraph" w:styleId="Textonotapie">
    <w:name w:val="footnote text"/>
    <w:basedOn w:val="Normal"/>
    <w:link w:val="TextonotapieCar"/>
    <w:uiPriority w:val="99"/>
    <w:semiHidden/>
    <w:unhideWhenUsed/>
    <w:rsid w:val="000A451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A451D"/>
    <w:rPr>
      <w:sz w:val="20"/>
      <w:szCs w:val="20"/>
    </w:rPr>
  </w:style>
  <w:style w:type="character" w:styleId="Refdenotaalpie">
    <w:name w:val="footnote reference"/>
    <w:basedOn w:val="Fuentedeprrafopredeter"/>
    <w:uiPriority w:val="99"/>
    <w:semiHidden/>
    <w:unhideWhenUsed/>
    <w:rsid w:val="000A451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44DDD-B3C6-42EC-80EA-C90A12D01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940</Words>
  <Characters>5173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Estragegias Financieras</dc:title>
  <dc:subject/>
  <dc:creator>Herberth Contreras</dc:creator>
  <cp:keywords/>
  <dc:description/>
  <cp:lastModifiedBy>Herberth Contreras</cp:lastModifiedBy>
  <cp:revision>8</cp:revision>
  <cp:lastPrinted>2026-09-28T23:18:00Z</cp:lastPrinted>
  <dcterms:created xsi:type="dcterms:W3CDTF">2026-09-28T21:29:00Z</dcterms:created>
  <dcterms:modified xsi:type="dcterms:W3CDTF">2026-10-05T23:36:00Z</dcterms:modified>
</cp:coreProperties>
</file>