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3BBD" w14:textId="05F4A590" w:rsidR="00FC48B5" w:rsidRPr="00FC48B5" w:rsidRDefault="00FC48B5" w:rsidP="003A1D3F">
      <w:pPr>
        <w:pStyle w:val="Ttulo"/>
        <w:rPr>
          <w:lang w:val="es-SV"/>
        </w:rPr>
      </w:pPr>
      <w:r w:rsidRPr="00FC48B5">
        <w:rPr>
          <w:lang w:val="es-SV"/>
        </w:rPr>
        <w:t xml:space="preserve">Bono – Inversiones </w:t>
      </w:r>
      <w:commentRangeStart w:id="0"/>
      <w:r w:rsidRPr="00FC48B5">
        <w:rPr>
          <w:lang w:val="es-SV"/>
        </w:rPr>
        <w:t>Inteligentes</w:t>
      </w:r>
      <w:commentRangeEnd w:id="0"/>
      <w:r w:rsidR="007957C4" w:rsidRPr="00FC48B5">
        <w:rPr>
          <w:rStyle w:val="Refdecomentario"/>
          <w:sz w:val="52"/>
          <w:szCs w:val="52"/>
          <w:lang w:val="es-SV"/>
        </w:rPr>
        <w:commentReference w:id="0"/>
      </w:r>
    </w:p>
    <w:p w14:paraId="574ED220" w14:textId="767469F8" w:rsidR="00FC48B5" w:rsidRDefault="00FC48B5" w:rsidP="00FC48B5">
      <w:pPr>
        <w:jc w:val="both"/>
        <w:rPr>
          <w:lang w:val="es-SV"/>
        </w:rPr>
      </w:pPr>
      <w:r w:rsidRPr="00FC48B5">
        <w:rPr>
          <w:lang w:val="es-SV"/>
        </w:rPr>
        <w:t>Un bono es un instrumento de deuda emitido por empresas o entidades gubernamentales para financiarse. Al comprar un bono, le estás prestando dinero al emisor a cambio de recibir intereses periódicos y la devolución de tu capital inicial en una fecha determinada.</w:t>
      </w:r>
    </w:p>
    <w:p w14:paraId="140E10D3" w14:textId="78974980" w:rsidR="004B15D6" w:rsidRPr="00FC48B5" w:rsidRDefault="00E05603" w:rsidP="004B15D6">
      <w:pPr>
        <w:spacing w:after="160" w:line="278" w:lineRule="auto"/>
        <w:jc w:val="center"/>
        <w:rPr>
          <w:lang w:val="es-SV"/>
        </w:rPr>
      </w:pPr>
      <w:r>
        <w:rPr>
          <w:noProof/>
          <w:lang w:val="es-SV"/>
        </w:rPr>
        <w:drawing>
          <wp:inline distT="0" distB="0" distL="0" distR="0" wp14:anchorId="5EEBBE7E" wp14:editId="270CD438">
            <wp:extent cx="4828032" cy="2048256"/>
            <wp:effectExtent l="0" t="0" r="0" b="9525"/>
            <wp:docPr id="36803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2531" name="Imagen 368032531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96F" w14:textId="77777777" w:rsidR="00FC48B5" w:rsidRPr="00FC48B5" w:rsidRDefault="00FC48B5" w:rsidP="00FC48B5">
      <w:p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Para operar e invertir de forma inteligente en bonos, es fundamental comprender sus pilares y dinámicas clave:</w:t>
      </w:r>
    </w:p>
    <w:p w14:paraId="7C70C8B3" w14:textId="77777777" w:rsidR="00FC48B5" w:rsidRPr="00FC48B5" w:rsidRDefault="00FC48B5" w:rsidP="00433262">
      <w:pPr>
        <w:pStyle w:val="Ttulo2"/>
        <w:rPr>
          <w:lang w:val="es-SV"/>
        </w:rPr>
      </w:pPr>
      <w:r w:rsidRPr="00FC48B5">
        <w:rPr>
          <w:lang w:val="es-SV"/>
        </w:rPr>
        <w:t>1. Elementos clave de un bono</w:t>
      </w:r>
    </w:p>
    <w:p w14:paraId="0DD06FC5" w14:textId="77777777" w:rsidR="00FC48B5" w:rsidRPr="00FC48B5" w:rsidRDefault="00FC48B5" w:rsidP="00FC48B5">
      <w:pPr>
        <w:numPr>
          <w:ilvl w:val="0"/>
          <w:numId w:val="5"/>
        </w:num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Valor Nominal (Par): El monto total que el emisor promete devolverte cuando el bono venza (al vencimiento).</w:t>
      </w:r>
    </w:p>
    <w:p w14:paraId="105C8C0C" w14:textId="77777777" w:rsidR="00FC48B5" w:rsidRPr="00FC48B5" w:rsidRDefault="00FC48B5" w:rsidP="00FC48B5">
      <w:pPr>
        <w:numPr>
          <w:ilvl w:val="0"/>
          <w:numId w:val="5"/>
        </w:num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Cupón: La tasa de interés que paga el emisor sobre el valor nominal. Puede ser de renta fija (ej. 6% anual) o de renta variable/flotante (ej. SOFR + 2%).</w:t>
      </w:r>
    </w:p>
    <w:p w14:paraId="497553AB" w14:textId="77777777" w:rsidR="00FC48B5" w:rsidRPr="00FC48B5" w:rsidRDefault="00FC48B5" w:rsidP="00FC48B5">
      <w:pPr>
        <w:numPr>
          <w:ilvl w:val="0"/>
          <w:numId w:val="5"/>
        </w:num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Fecha de Vencimiento: El día en que finaliza el contrato y se liquida el principal.</w:t>
      </w:r>
    </w:p>
    <w:p w14:paraId="3517A083" w14:textId="4C9F499D" w:rsidR="00FC48B5" w:rsidRPr="00FC48B5" w:rsidRDefault="00FC48B5" w:rsidP="00FC48B5">
      <w:pPr>
        <w:numPr>
          <w:ilvl w:val="0"/>
          <w:numId w:val="5"/>
        </w:num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Calificación Crediticia: Evaluaciones asignadas por agencias como</w:t>
      </w:r>
      <w:r w:rsidR="003A1D3F">
        <w:rPr>
          <w:lang w:val="es-SV"/>
        </w:rPr>
        <w:t xml:space="preserve"> ©</w:t>
      </w:r>
      <w:r w:rsidR="00102C87">
        <w:rPr>
          <w:lang w:val="es-SV"/>
        </w:rPr>
        <w:t xml:space="preserve"> </w:t>
      </w:r>
      <w:r w:rsidRPr="00FC48B5">
        <w:rPr>
          <w:lang w:val="es-SV"/>
        </w:rPr>
        <w:t>Moody's, S&amp;P o Fitch que miden la solvencia del emisor (</w:t>
      </w:r>
      <w:r w:rsidRPr="00262A53">
        <w:rPr>
          <w:lang w:val="es-SV"/>
        </w:rPr>
        <w:t>desde Investment Grade hasta High Yield</w:t>
      </w:r>
      <w:r w:rsidRPr="00FC48B5">
        <w:rPr>
          <w:lang w:val="es-SV"/>
        </w:rPr>
        <w:t>).</w:t>
      </w:r>
    </w:p>
    <w:p w14:paraId="7293D49D" w14:textId="77777777" w:rsidR="00FC48B5" w:rsidRDefault="00FC48B5" w:rsidP="00FC48B5">
      <w:pPr>
        <w:jc w:val="both"/>
        <w:rPr>
          <w:lang w:val="es-SV"/>
        </w:rPr>
      </w:pPr>
    </w:p>
    <w:p w14:paraId="66758FD0" w14:textId="15803592" w:rsidR="00FC48B5" w:rsidRPr="00FC48B5" w:rsidRDefault="00FC48B5" w:rsidP="00433262">
      <w:pPr>
        <w:pStyle w:val="Ttulo2"/>
        <w:rPr>
          <w:lang w:val="es-SV"/>
        </w:rPr>
      </w:pPr>
      <w:r w:rsidRPr="00FC48B5">
        <w:rPr>
          <w:lang w:val="es-SV"/>
        </w:rPr>
        <w:t>2. La regla de oro del mercado de renta fija</w:t>
      </w:r>
    </w:p>
    <w:p w14:paraId="471B10AE" w14:textId="77777777" w:rsidR="00FC48B5" w:rsidRPr="00FC48B5" w:rsidRDefault="00FC48B5" w:rsidP="00FC48B5">
      <w:p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Existe una relación inversa entre el precio de un bono en el mercado secundario y los tipos de interés de la economía:</w:t>
      </w:r>
    </w:p>
    <w:p w14:paraId="745BAF2F" w14:textId="5E5E5B3B" w:rsidR="00FC48B5" w:rsidRPr="00FC48B5" w:rsidRDefault="00FC48B5" w:rsidP="00FC48B5">
      <w:pPr>
        <w:spacing w:after="160" w:line="278" w:lineRule="auto"/>
        <w:jc w:val="both"/>
        <w:rPr>
          <w:lang w:val="es-SV"/>
        </w:rPr>
      </w:pPr>
      <m:oMathPara>
        <m:oMath>
          <m:r>
            <m:rPr>
              <m:nor/>
            </m:rPr>
            <w:rPr>
              <w:highlight w:val="lightGray"/>
              <w:lang w:val="es-SV"/>
            </w:rPr>
            <m:t>Precio del Bono</m:t>
          </m:r>
          <m:r>
            <w:rPr>
              <w:rFonts w:ascii="Cambria Math" w:hAnsi="Cambria Math"/>
              <w:highlight w:val="lightGray"/>
              <w:lang w:val="es-SV"/>
            </w:rPr>
            <m:t>∝</m:t>
          </m:r>
          <m:f>
            <m:fPr>
              <m:ctrlPr>
                <w:rPr>
                  <w:rFonts w:ascii="Cambria Math" w:hAnsi="Cambria Math"/>
                  <w:highlight w:val="lightGray"/>
                  <w:lang w:val="es-SV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  <w:lang w:val="es-SV"/>
                </w:rPr>
                <m:t>1</m:t>
              </m:r>
            </m:num>
            <m:den>
              <m:r>
                <m:rPr>
                  <m:nor/>
                </m:rPr>
                <w:rPr>
                  <w:highlight w:val="lightGray"/>
                  <w:lang w:val="es-SV"/>
                </w:rPr>
                <m:t>Tipos de Interés</m:t>
              </m:r>
            </m:den>
          </m:f>
        </m:oMath>
      </m:oMathPara>
    </w:p>
    <w:p w14:paraId="7C5CA551" w14:textId="77777777" w:rsidR="00FC48B5" w:rsidRPr="00FC48B5" w:rsidRDefault="00FC48B5" w:rsidP="00FC48B5">
      <w:pPr>
        <w:numPr>
          <w:ilvl w:val="0"/>
          <w:numId w:val="6"/>
        </w:num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Si los tipos de interés SUBEN: Los bonos emitidos previamente con cupones más bajos pierden atractivo, por lo que su precio en el mercado cae.</w:t>
      </w:r>
    </w:p>
    <w:p w14:paraId="093F0F63" w14:textId="77777777" w:rsidR="00FC48B5" w:rsidRDefault="00FC48B5" w:rsidP="00FC48B5">
      <w:pPr>
        <w:numPr>
          <w:ilvl w:val="0"/>
          <w:numId w:val="6"/>
        </w:numPr>
        <w:jc w:val="both"/>
        <w:rPr>
          <w:lang w:val="es-SV"/>
        </w:rPr>
      </w:pPr>
      <w:r w:rsidRPr="00FC48B5">
        <w:rPr>
          <w:lang w:val="es-SV"/>
        </w:rPr>
        <w:t>Si los tipos de interés BAJAN: Los bonos emitidos con cupones más altos aumentan su valor, por lo que su precio sube.</w:t>
      </w:r>
    </w:p>
    <w:p w14:paraId="28953253" w14:textId="77777777" w:rsidR="004B15D6" w:rsidRDefault="004B15D6" w:rsidP="004B15D6">
      <w:pPr>
        <w:jc w:val="both"/>
        <w:rPr>
          <w:lang w:val="es-SV"/>
        </w:rPr>
      </w:pPr>
    </w:p>
    <w:p w14:paraId="533DFF49" w14:textId="73B421F9" w:rsidR="00FC48B5" w:rsidRPr="004B15D6" w:rsidRDefault="00FC48B5" w:rsidP="00433262">
      <w:pPr>
        <w:pStyle w:val="Ttulo2"/>
        <w:rPr>
          <w:lang w:val="es-SV"/>
        </w:rPr>
      </w:pPr>
      <w:r w:rsidRPr="00FC48B5">
        <w:rPr>
          <w:lang w:val="es-SV"/>
        </w:rPr>
        <w:t>3. Tipos principales de bonos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940"/>
        <w:gridCol w:w="2340"/>
        <w:gridCol w:w="1858"/>
        <w:gridCol w:w="2700"/>
      </w:tblGrid>
      <w:tr w:rsidR="00FC48B5" w:rsidRPr="00FC48B5" w14:paraId="781D940F" w14:textId="77777777" w:rsidTr="00433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787D0" w14:textId="7CC7B77F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 xml:space="preserve">Tipo de </w:t>
            </w:r>
            <w:r>
              <w:rPr>
                <w:b w:val="0"/>
                <w:bCs w:val="0"/>
                <w:lang w:val="es-SV"/>
              </w:rPr>
              <w:t>b</w:t>
            </w:r>
            <w:r w:rsidRPr="00FC48B5">
              <w:rPr>
                <w:b w:val="0"/>
                <w:bCs w:val="0"/>
                <w:lang w:val="es-SV"/>
              </w:rPr>
              <w:t>ono</w:t>
            </w:r>
          </w:p>
        </w:tc>
        <w:tc>
          <w:tcPr>
            <w:tcW w:w="0" w:type="auto"/>
            <w:hideMark/>
          </w:tcPr>
          <w:p w14:paraId="60A1E671" w14:textId="77777777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Emisor</w:t>
            </w:r>
          </w:p>
        </w:tc>
        <w:tc>
          <w:tcPr>
            <w:tcW w:w="0" w:type="auto"/>
            <w:hideMark/>
          </w:tcPr>
          <w:p w14:paraId="3E125983" w14:textId="77777777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Riesgo Crediticio</w:t>
            </w:r>
          </w:p>
        </w:tc>
        <w:tc>
          <w:tcPr>
            <w:tcW w:w="0" w:type="auto"/>
            <w:hideMark/>
          </w:tcPr>
          <w:p w14:paraId="6100D5F9" w14:textId="06DDAA3A" w:rsidR="00FC48B5" w:rsidRPr="00FC48B5" w:rsidRDefault="00FC48B5" w:rsidP="00FC48B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 xml:space="preserve">Objetivo </w:t>
            </w:r>
            <w:r>
              <w:rPr>
                <w:b w:val="0"/>
                <w:bCs w:val="0"/>
                <w:lang w:val="es-SV"/>
              </w:rPr>
              <w:t>t</w:t>
            </w:r>
            <w:r w:rsidRPr="00FC48B5">
              <w:rPr>
                <w:b w:val="0"/>
                <w:bCs w:val="0"/>
                <w:lang w:val="es-SV"/>
              </w:rPr>
              <w:t>ípico</w:t>
            </w:r>
          </w:p>
        </w:tc>
      </w:tr>
      <w:tr w:rsidR="00FC48B5" w:rsidRPr="00FC48B5" w14:paraId="56B29E9F" w14:textId="77777777" w:rsidTr="00433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60527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Soberano / Gubernamental</w:t>
            </w:r>
          </w:p>
        </w:tc>
        <w:tc>
          <w:tcPr>
            <w:tcW w:w="0" w:type="auto"/>
            <w:hideMark/>
          </w:tcPr>
          <w:p w14:paraId="44C06CD4" w14:textId="77777777" w:rsidR="00FC48B5" w:rsidRPr="00FC48B5" w:rsidRDefault="00FC48B5" w:rsidP="00FC48B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Gobiernos nacionales (ej. Treasuries de EE. UU.)</w:t>
            </w:r>
          </w:p>
        </w:tc>
        <w:tc>
          <w:tcPr>
            <w:tcW w:w="0" w:type="auto"/>
            <w:hideMark/>
          </w:tcPr>
          <w:p w14:paraId="251BDBAE" w14:textId="77777777" w:rsidR="00FC48B5" w:rsidRPr="00FC48B5" w:rsidRDefault="00FC48B5" w:rsidP="00FC48B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Bajo (dependiendo del país)</w:t>
            </w:r>
          </w:p>
        </w:tc>
        <w:tc>
          <w:tcPr>
            <w:tcW w:w="0" w:type="auto"/>
            <w:hideMark/>
          </w:tcPr>
          <w:p w14:paraId="38C773CF" w14:textId="77777777" w:rsidR="00FC48B5" w:rsidRPr="00FC48B5" w:rsidRDefault="00FC48B5" w:rsidP="00FC48B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Preservación de capital y refugio</w:t>
            </w:r>
          </w:p>
        </w:tc>
      </w:tr>
      <w:tr w:rsidR="00FC48B5" w:rsidRPr="00FC48B5" w14:paraId="37EF2487" w14:textId="77777777" w:rsidTr="0043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C0C1C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Corporativo (Grade)</w:t>
            </w:r>
          </w:p>
        </w:tc>
        <w:tc>
          <w:tcPr>
            <w:tcW w:w="0" w:type="auto"/>
            <w:hideMark/>
          </w:tcPr>
          <w:p w14:paraId="3AE9598D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Empresas con alta solidez financiera</w:t>
            </w:r>
          </w:p>
        </w:tc>
        <w:tc>
          <w:tcPr>
            <w:tcW w:w="0" w:type="auto"/>
            <w:hideMark/>
          </w:tcPr>
          <w:p w14:paraId="251D45B9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Moderado</w:t>
            </w:r>
          </w:p>
        </w:tc>
        <w:tc>
          <w:tcPr>
            <w:tcW w:w="0" w:type="auto"/>
            <w:hideMark/>
          </w:tcPr>
          <w:p w14:paraId="6F089954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Generar rendimiento estable</w:t>
            </w:r>
          </w:p>
        </w:tc>
      </w:tr>
      <w:tr w:rsidR="00FC48B5" w:rsidRPr="00FC48B5" w14:paraId="75C7227A" w14:textId="77777777" w:rsidTr="00433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91001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High Yield / Basura</w:t>
            </w:r>
          </w:p>
        </w:tc>
        <w:tc>
          <w:tcPr>
            <w:tcW w:w="0" w:type="auto"/>
            <w:hideMark/>
          </w:tcPr>
          <w:p w14:paraId="2FC7E2B6" w14:textId="77777777" w:rsidR="00FC48B5" w:rsidRPr="00FC48B5" w:rsidRDefault="00FC48B5" w:rsidP="00FC48B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Empresas o países con menor perfil crediticio</w:t>
            </w:r>
          </w:p>
        </w:tc>
        <w:tc>
          <w:tcPr>
            <w:tcW w:w="0" w:type="auto"/>
            <w:hideMark/>
          </w:tcPr>
          <w:p w14:paraId="22512CC5" w14:textId="77777777" w:rsidR="00FC48B5" w:rsidRPr="00FC48B5" w:rsidRDefault="00FC48B5" w:rsidP="00FC48B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Alto</w:t>
            </w:r>
          </w:p>
        </w:tc>
        <w:tc>
          <w:tcPr>
            <w:tcW w:w="0" w:type="auto"/>
            <w:hideMark/>
          </w:tcPr>
          <w:p w14:paraId="1F2F5470" w14:textId="77777777" w:rsidR="00FC48B5" w:rsidRPr="00FC48B5" w:rsidRDefault="00FC48B5" w:rsidP="00FC48B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Buscar cupones elevados a cambio de riesgo de impago</w:t>
            </w:r>
          </w:p>
        </w:tc>
      </w:tr>
      <w:tr w:rsidR="00FC48B5" w:rsidRPr="00FC48B5" w14:paraId="467EF0CC" w14:textId="77777777" w:rsidTr="0043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2A1B2" w14:textId="77777777" w:rsidR="00FC48B5" w:rsidRPr="00FC48B5" w:rsidRDefault="00FC48B5" w:rsidP="00FC48B5">
            <w:pPr>
              <w:spacing w:after="160" w:line="278" w:lineRule="auto"/>
              <w:jc w:val="both"/>
              <w:rPr>
                <w:b w:val="0"/>
                <w:bCs w:val="0"/>
                <w:lang w:val="es-SV"/>
              </w:rPr>
            </w:pPr>
            <w:r w:rsidRPr="00FC48B5">
              <w:rPr>
                <w:b w:val="0"/>
                <w:bCs w:val="0"/>
                <w:lang w:val="es-SV"/>
              </w:rPr>
              <w:t>Indexado a la Inflación</w:t>
            </w:r>
          </w:p>
        </w:tc>
        <w:tc>
          <w:tcPr>
            <w:tcW w:w="0" w:type="auto"/>
            <w:hideMark/>
          </w:tcPr>
          <w:p w14:paraId="758221C5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Gobiernos (ej. TIPS en EE. UU.)</w:t>
            </w:r>
          </w:p>
        </w:tc>
        <w:tc>
          <w:tcPr>
            <w:tcW w:w="0" w:type="auto"/>
            <w:hideMark/>
          </w:tcPr>
          <w:p w14:paraId="1C56895D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Bajo</w:t>
            </w:r>
          </w:p>
        </w:tc>
        <w:tc>
          <w:tcPr>
            <w:tcW w:w="0" w:type="auto"/>
            <w:hideMark/>
          </w:tcPr>
          <w:p w14:paraId="3EE085EF" w14:textId="77777777" w:rsidR="00FC48B5" w:rsidRPr="00FC48B5" w:rsidRDefault="00FC48B5" w:rsidP="00FC48B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C48B5">
              <w:rPr>
                <w:lang w:val="es-SV"/>
              </w:rPr>
              <w:t>Proteger el poder adquisitivo frente al IPC</w:t>
            </w:r>
          </w:p>
        </w:tc>
      </w:tr>
    </w:tbl>
    <w:p w14:paraId="34853CA6" w14:textId="77777777" w:rsidR="00FC48B5" w:rsidRDefault="00FC48B5" w:rsidP="00FC48B5">
      <w:pPr>
        <w:jc w:val="both"/>
        <w:rPr>
          <w:lang w:val="es-SV"/>
        </w:rPr>
      </w:pPr>
    </w:p>
    <w:p w14:paraId="64D3AF3D" w14:textId="77777777" w:rsidR="004B15D6" w:rsidRDefault="004B15D6">
      <w:pPr>
        <w:rPr>
          <w:b/>
          <w:bCs/>
          <w:lang w:val="es-SV"/>
        </w:rPr>
      </w:pPr>
      <w:r>
        <w:rPr>
          <w:b/>
          <w:bCs/>
          <w:lang w:val="es-SV"/>
        </w:rPr>
        <w:br w:type="page"/>
      </w:r>
    </w:p>
    <w:p w14:paraId="0EE8AD2F" w14:textId="608837DB" w:rsidR="00FC48B5" w:rsidRPr="00FC48B5" w:rsidRDefault="00FC48B5" w:rsidP="00433262">
      <w:pPr>
        <w:pStyle w:val="Ttulo2"/>
        <w:rPr>
          <w:lang w:val="es-SV"/>
        </w:rPr>
      </w:pPr>
      <w:r w:rsidRPr="00FC48B5">
        <w:rPr>
          <w:lang w:val="es-SV"/>
        </w:rPr>
        <w:lastRenderedPageBreak/>
        <w:t>4. Métricas clave para analizar antes de invertir</w:t>
      </w:r>
    </w:p>
    <w:p w14:paraId="0F48AD35" w14:textId="77777777" w:rsidR="00FC48B5" w:rsidRPr="00433262" w:rsidRDefault="00FC48B5" w:rsidP="00433262">
      <w:pPr>
        <w:pStyle w:val="Prrafodelista"/>
        <w:numPr>
          <w:ilvl w:val="0"/>
          <w:numId w:val="9"/>
        </w:numPr>
        <w:jc w:val="both"/>
        <w:rPr>
          <w:lang w:val="es-SV"/>
        </w:rPr>
      </w:pPr>
      <w:r w:rsidRPr="00433262">
        <w:rPr>
          <w:lang w:val="es-SV"/>
        </w:rPr>
        <w:t>Yield to Maturity (YTM): La rentabilidad total anualizada que obtendrás si compras el bono hoy y lo mantienes hasta su fecha de vencimiento, asumiendo que todos los cupones se reinvierten a la misma tasa.</w:t>
      </w:r>
    </w:p>
    <w:p w14:paraId="72298884" w14:textId="77777777" w:rsidR="00FC48B5" w:rsidRPr="00433262" w:rsidRDefault="00FC48B5" w:rsidP="00433262">
      <w:pPr>
        <w:pStyle w:val="Prrafodelista"/>
        <w:numPr>
          <w:ilvl w:val="0"/>
          <w:numId w:val="9"/>
        </w:numPr>
        <w:jc w:val="both"/>
        <w:rPr>
          <w:lang w:val="es-SV"/>
        </w:rPr>
      </w:pPr>
      <w:r w:rsidRPr="00433262">
        <w:rPr>
          <w:lang w:val="es-SV"/>
        </w:rPr>
        <w:t>Duración (Duration): Mide la sensibilidad del precio del bono ante cambios en las tasas de interés. A mayor duración, más fluctuará el precio si las tasas cambian.</w:t>
      </w:r>
    </w:p>
    <w:p w14:paraId="3A6A500F" w14:textId="77777777" w:rsidR="004B15D6" w:rsidRPr="00FC48B5" w:rsidRDefault="004B15D6" w:rsidP="00FC48B5">
      <w:pPr>
        <w:spacing w:after="160" w:line="278" w:lineRule="auto"/>
        <w:jc w:val="both"/>
        <w:rPr>
          <w:lang w:val="es-SV"/>
        </w:rPr>
      </w:pPr>
    </w:p>
    <w:p w14:paraId="3E672DFC" w14:textId="5E9E89CB" w:rsidR="00FC48B5" w:rsidRPr="00FC48B5" w:rsidRDefault="00FC48B5" w:rsidP="00FC48B5">
      <w:pPr>
        <w:spacing w:after="160" w:line="278" w:lineRule="auto"/>
        <w:jc w:val="both"/>
        <w:rPr>
          <w:lang w:val="es-SV"/>
        </w:rPr>
      </w:pPr>
      <w:r w:rsidRPr="00FC48B5">
        <w:rPr>
          <w:lang w:val="es-SV"/>
        </w:rPr>
        <w:t>Estrategias habituales de inversión en bonos</w:t>
      </w:r>
      <w:r>
        <w:rPr>
          <w:lang w:val="es-SV"/>
        </w:rPr>
        <w:t>:</w:t>
      </w:r>
    </w:p>
    <w:p w14:paraId="175BE41B" w14:textId="77777777" w:rsidR="00FC48B5" w:rsidRPr="00433262" w:rsidRDefault="00FC48B5" w:rsidP="00433262">
      <w:pPr>
        <w:pStyle w:val="Prrafodelista"/>
        <w:numPr>
          <w:ilvl w:val="0"/>
          <w:numId w:val="10"/>
        </w:numPr>
        <w:jc w:val="both"/>
        <w:rPr>
          <w:lang w:val="es-SV"/>
        </w:rPr>
      </w:pPr>
      <w:r w:rsidRPr="00433262">
        <w:rPr>
          <w:lang w:val="es-SV"/>
        </w:rPr>
        <w:t>Estrategia Laddering (Escalera): Consiste en comprar bonos con vencimientos escalonados (ej. 1, 2, 3, 4 y 5 años). A medida que vence cada bono, reusas el capital a los tipos de interés vigentes, manteniendo liquidez constante.</w:t>
      </w:r>
    </w:p>
    <w:p w14:paraId="3B4AA531" w14:textId="77777777" w:rsidR="00FC48B5" w:rsidRPr="00433262" w:rsidRDefault="00FC48B5" w:rsidP="00433262">
      <w:pPr>
        <w:pStyle w:val="Prrafodelista"/>
        <w:numPr>
          <w:ilvl w:val="0"/>
          <w:numId w:val="10"/>
        </w:numPr>
        <w:jc w:val="both"/>
        <w:rPr>
          <w:lang w:val="es-SV"/>
        </w:rPr>
      </w:pPr>
      <w:r w:rsidRPr="00433262">
        <w:rPr>
          <w:lang w:val="es-SV"/>
        </w:rPr>
        <w:t>Buy and Hold (Comprar y mantener): Adquirir bonos de emisores sólidos para cobrar los cupones periódicos hasta el vencimiento, ignorando la volatilidad del precio de mercado intermedio.</w:t>
      </w:r>
    </w:p>
    <w:p w14:paraId="23245096" w14:textId="161D847D" w:rsidR="00EA70E4" w:rsidRPr="00433262" w:rsidRDefault="00FC48B5" w:rsidP="00433262">
      <w:pPr>
        <w:pStyle w:val="Prrafodelista"/>
        <w:numPr>
          <w:ilvl w:val="0"/>
          <w:numId w:val="10"/>
        </w:numPr>
        <w:jc w:val="both"/>
        <w:rPr>
          <w:lang w:val="es-SV"/>
        </w:rPr>
      </w:pPr>
      <w:r w:rsidRPr="00433262">
        <w:rPr>
          <w:lang w:val="es-SV"/>
        </w:rPr>
        <w:t>Fondos y ETFs de Renta Fija: Permiten acceder a una cesta diversificada de cientos de bonos con un solo vehículo de inversión, reduciendo el riesgo individual de impago.</w:t>
      </w:r>
    </w:p>
    <w:sectPr w:rsidR="00EA70E4" w:rsidRPr="00433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rberth Contreras" w:date="2026-10-05T18:48:00Z" w:initials="HC">
    <w:p w14:paraId="00CCFEF8" w14:textId="77777777" w:rsidR="007957C4" w:rsidRDefault="007957C4" w:rsidP="007957C4">
      <w:pPr>
        <w:pStyle w:val="Textocomentario"/>
      </w:pPr>
      <w:r>
        <w:rPr>
          <w:rStyle w:val="Refdecomentario"/>
        </w:rPr>
        <w:annotationRef/>
      </w:r>
      <w:r>
        <w:rPr>
          <w:lang w:val="es-SV"/>
        </w:rPr>
        <w:t>Luis Enrique Herrera González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CCFE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8C6064" w16cex:dateUtc="2026-10-06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CCFEF8" w16cid:durableId="728C60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.75pt;height:384.75pt" o:bullet="t">
        <v:imagedata r:id="rId1" o:title="dinero"/>
      </v:shape>
    </w:pict>
  </w:numPicBullet>
  <w:abstractNum w:abstractNumId="0" w15:restartNumberingAfterBreak="0">
    <w:nsid w:val="09F817E7"/>
    <w:multiLevelType w:val="multilevel"/>
    <w:tmpl w:val="464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78E9"/>
    <w:multiLevelType w:val="multilevel"/>
    <w:tmpl w:val="8F8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3C22"/>
    <w:multiLevelType w:val="multilevel"/>
    <w:tmpl w:val="2A0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80DCA"/>
    <w:multiLevelType w:val="multilevel"/>
    <w:tmpl w:val="55C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10A19"/>
    <w:multiLevelType w:val="multilevel"/>
    <w:tmpl w:val="009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30701"/>
    <w:multiLevelType w:val="hybridMultilevel"/>
    <w:tmpl w:val="A18C1F10"/>
    <w:lvl w:ilvl="0" w:tplc="45A4F13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D7FAB"/>
    <w:multiLevelType w:val="multilevel"/>
    <w:tmpl w:val="4D14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A33F0"/>
    <w:multiLevelType w:val="multilevel"/>
    <w:tmpl w:val="618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07757"/>
    <w:multiLevelType w:val="multilevel"/>
    <w:tmpl w:val="35A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622B1"/>
    <w:multiLevelType w:val="hybridMultilevel"/>
    <w:tmpl w:val="454CD400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685958">
    <w:abstractNumId w:val="1"/>
  </w:num>
  <w:num w:numId="2" w16cid:durableId="890963494">
    <w:abstractNumId w:val="4"/>
  </w:num>
  <w:num w:numId="3" w16cid:durableId="1630238076">
    <w:abstractNumId w:val="0"/>
  </w:num>
  <w:num w:numId="4" w16cid:durableId="1366491389">
    <w:abstractNumId w:val="7"/>
  </w:num>
  <w:num w:numId="5" w16cid:durableId="1519347998">
    <w:abstractNumId w:val="2"/>
  </w:num>
  <w:num w:numId="6" w16cid:durableId="710803461">
    <w:abstractNumId w:val="8"/>
  </w:num>
  <w:num w:numId="7" w16cid:durableId="1654916827">
    <w:abstractNumId w:val="6"/>
  </w:num>
  <w:num w:numId="8" w16cid:durableId="2025282574">
    <w:abstractNumId w:val="3"/>
  </w:num>
  <w:num w:numId="9" w16cid:durableId="1414933032">
    <w:abstractNumId w:val="9"/>
  </w:num>
  <w:num w:numId="10" w16cid:durableId="213498334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rberth Contreras">
    <w15:presenceInfo w15:providerId="AD" w15:userId="S::herberth.contreras@tboxplanet.com::897a81cc-8406-4e9a-b687-31cda724fb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B5"/>
    <w:rsid w:val="00102C87"/>
    <w:rsid w:val="001B4D1F"/>
    <w:rsid w:val="00262A53"/>
    <w:rsid w:val="003A1D3F"/>
    <w:rsid w:val="00433262"/>
    <w:rsid w:val="004B15D6"/>
    <w:rsid w:val="00635937"/>
    <w:rsid w:val="00736FCF"/>
    <w:rsid w:val="0076029D"/>
    <w:rsid w:val="007957C4"/>
    <w:rsid w:val="008A3C7C"/>
    <w:rsid w:val="00E05603"/>
    <w:rsid w:val="00E91A60"/>
    <w:rsid w:val="00EA70E4"/>
    <w:rsid w:val="00F17650"/>
    <w:rsid w:val="00F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4AD29"/>
  <w15:chartTrackingRefBased/>
  <w15:docId w15:val="{58614AAF-51B5-4B83-8DFC-132F0673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262"/>
  </w:style>
  <w:style w:type="paragraph" w:styleId="Ttulo1">
    <w:name w:val="heading 1"/>
    <w:basedOn w:val="Normal"/>
    <w:next w:val="Normal"/>
    <w:link w:val="Ttulo1Car"/>
    <w:uiPriority w:val="9"/>
    <w:qFormat/>
    <w:rsid w:val="0043326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26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26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26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26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26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26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2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2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26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33262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262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262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262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262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262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26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262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3326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3326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2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433262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433262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33262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FC48B5"/>
    <w:pPr>
      <w:ind w:left="720"/>
      <w:contextualSpacing/>
    </w:pPr>
  </w:style>
  <w:style w:type="character" w:styleId="nfasisintenso">
    <w:name w:val="Intense Emphasis"/>
    <w:uiPriority w:val="21"/>
    <w:qFormat/>
    <w:rsid w:val="00433262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26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262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433262"/>
    <w:rPr>
      <w:b/>
      <w:bCs/>
      <w:i/>
      <w:iCs/>
      <w:caps/>
      <w:color w:val="156082" w:themeColor="accent1"/>
    </w:rPr>
  </w:style>
  <w:style w:type="table" w:styleId="Tablaconcuadrcula1clara">
    <w:name w:val="Grid Table 1 Light"/>
    <w:basedOn w:val="Tablanormal"/>
    <w:uiPriority w:val="46"/>
    <w:rsid w:val="00FC48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43326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2">
    <w:name w:val="Grid Table 2"/>
    <w:basedOn w:val="Tablanormal"/>
    <w:uiPriority w:val="47"/>
    <w:rsid w:val="0043326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semiHidden/>
    <w:unhideWhenUsed/>
    <w:qFormat/>
    <w:rsid w:val="00433262"/>
    <w:rPr>
      <w:b/>
      <w:bCs/>
      <w:color w:val="0F4761" w:themeColor="accent1" w:themeShade="BF"/>
      <w:sz w:val="16"/>
      <w:szCs w:val="16"/>
    </w:rPr>
  </w:style>
  <w:style w:type="character" w:styleId="Fuerte">
    <w:name w:val="Strong"/>
    <w:uiPriority w:val="22"/>
    <w:qFormat/>
    <w:rsid w:val="00433262"/>
    <w:rPr>
      <w:b/>
      <w:bCs/>
    </w:rPr>
  </w:style>
  <w:style w:type="character" w:styleId="nfasis">
    <w:name w:val="Emphasis"/>
    <w:uiPriority w:val="20"/>
    <w:qFormat/>
    <w:rsid w:val="00433262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433262"/>
    <w:pPr>
      <w:spacing w:after="0" w:line="240" w:lineRule="auto"/>
    </w:pPr>
  </w:style>
  <w:style w:type="character" w:styleId="nfasissutil">
    <w:name w:val="Subtle Emphasis"/>
    <w:uiPriority w:val="19"/>
    <w:qFormat/>
    <w:rsid w:val="00433262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433262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433262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33262"/>
    <w:pPr>
      <w:outlineLvl w:val="9"/>
    </w:pPr>
  </w:style>
  <w:style w:type="character" w:styleId="Refdecomentario">
    <w:name w:val="annotation reference"/>
    <w:basedOn w:val="Fuentedeprrafopredeter"/>
    <w:uiPriority w:val="99"/>
    <w:semiHidden/>
    <w:unhideWhenUsed/>
    <w:rsid w:val="007957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57C4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57C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57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5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D346C-3275-450F-9B1C-A60FE28C7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464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Herberth Contreras</dc:creator>
  <cp:keywords/>
  <dc:description/>
  <cp:lastModifiedBy>Herberth Contreras</cp:lastModifiedBy>
  <cp:revision>6</cp:revision>
  <dcterms:created xsi:type="dcterms:W3CDTF">2026-10-06T00:20:00Z</dcterms:created>
  <dcterms:modified xsi:type="dcterms:W3CDTF">2026-10-06T17:48:00Z</dcterms:modified>
</cp:coreProperties>
</file>