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7FED" w14:textId="35AD0E72" w:rsidR="00D53108" w:rsidRPr="00D53108" w:rsidRDefault="00D53108" w:rsidP="00D53108">
      <w:pPr>
        <w:pStyle w:val="Ttulo2"/>
        <w:jc w:val="both"/>
        <w:rPr>
          <w:lang w:val="es-SV"/>
        </w:rPr>
      </w:pPr>
      <w:r w:rsidRPr="00D53108">
        <w:rPr>
          <w:lang w:val="es-SV"/>
        </w:rPr>
        <w:t>1. FUNDAMENTOS TEÓRICOS Y LA RELACIÓN DE INTERCAMBIO</w:t>
      </w:r>
    </w:p>
    <w:p w14:paraId="7B27D7AD" w14:textId="77777777" w:rsidR="00D53108" w:rsidRDefault="00D53108" w:rsidP="00D53108">
      <w:pPr>
        <w:spacing w:after="160" w:line="278" w:lineRule="auto"/>
        <w:jc w:val="both"/>
        <w:rPr>
          <w:lang w:val="es-SV"/>
        </w:rPr>
      </w:pPr>
    </w:p>
    <w:p w14:paraId="17939672" w14:textId="5AFEC712" w:rsidR="00D53108" w:rsidRPr="00D53108" w:rsidRDefault="00D53108" w:rsidP="00D53108">
      <w:pPr>
        <w:spacing w:after="160" w:line="278" w:lineRule="auto"/>
        <w:jc w:val="both"/>
        <w:rPr>
          <w:lang w:val="es-SV"/>
        </w:rPr>
      </w:pPr>
      <w:r w:rsidRPr="00D53108">
        <w:rPr>
          <w:lang w:val="es-SV"/>
        </w:rPr>
        <w:t>La liquidez se define como la capacidad o rapidez con la que un activo financiero o real puede transformarse en dinero en efectivo (el activo líquido por excelencia) sin sufrir una pérdida significativa de su valor de mercado. Por otro lado, el rendimiento (o rentabilidad) representa la ganancia, compensación o retorno que genera un activo durante un período determinado, expresado habitualmente como un porcentaje del capital invertido.</w:t>
      </w:r>
      <w:r w:rsidRPr="00D53108">
        <w:rPr>
          <w:lang w:val="es-SV"/>
        </w:rPr>
        <w:t xml:space="preserve"> </w:t>
      </w:r>
    </w:p>
    <w:p w14:paraId="13FF43BF" w14:textId="77777777" w:rsidR="00D53108" w:rsidRPr="00D53108" w:rsidRDefault="00D53108" w:rsidP="00D53108">
      <w:pPr>
        <w:spacing w:after="160" w:line="278" w:lineRule="auto"/>
        <w:jc w:val="both"/>
        <w:rPr>
          <w:lang w:val="es-SV"/>
        </w:rPr>
      </w:pPr>
      <w:r w:rsidRPr="00D53108">
        <w:rPr>
          <w:lang w:val="es-SV"/>
        </w:rPr>
        <w:t>La Compensación por el Riesgo y la Inmovilización</w:t>
      </w:r>
    </w:p>
    <w:p w14:paraId="42D6AFEF" w14:textId="77777777" w:rsidR="00D53108" w:rsidRPr="00981F74" w:rsidRDefault="00D53108" w:rsidP="00981F74">
      <w:pPr>
        <w:spacing w:after="160" w:line="278" w:lineRule="auto"/>
        <w:jc w:val="both"/>
        <w:rPr>
          <w:lang w:val="es-SV"/>
        </w:rPr>
      </w:pPr>
      <w:r w:rsidRPr="00981F74">
        <w:rPr>
          <w:lang w:val="es-SV"/>
        </w:rPr>
        <w:t>La teoría financiera establece que los mercados exigen una prima para incentivar a los inversores a desprenderse de la liquidez. Cuando un agente financiero compromete su capital a un plazo determinado o en un activo de difícil realización, asume principalmente tres tipos de riesgos:</w:t>
      </w:r>
    </w:p>
    <w:p w14:paraId="41282A7B" w14:textId="77777777" w:rsidR="00D53108" w:rsidRPr="00217549" w:rsidRDefault="00D53108" w:rsidP="00217549">
      <w:pPr>
        <w:pStyle w:val="Prrafodelista"/>
        <w:numPr>
          <w:ilvl w:val="0"/>
          <w:numId w:val="3"/>
        </w:numPr>
        <w:spacing w:after="160" w:line="278" w:lineRule="auto"/>
        <w:jc w:val="both"/>
        <w:rPr>
          <w:lang w:val="es-SV"/>
        </w:rPr>
      </w:pPr>
      <w:r w:rsidRPr="00217549">
        <w:rPr>
          <w:lang w:val="es-SV"/>
        </w:rPr>
        <w:t>Riesgo de liquidez: La imposibilidad de disponer del efectivo ante un evento imprevisto o una oportunidad de inversión alternativa.</w:t>
      </w:r>
    </w:p>
    <w:p w14:paraId="3CF2958A" w14:textId="77777777" w:rsidR="00D53108" w:rsidRPr="00217549" w:rsidRDefault="00D53108" w:rsidP="00217549">
      <w:pPr>
        <w:pStyle w:val="Prrafodelista"/>
        <w:numPr>
          <w:ilvl w:val="0"/>
          <w:numId w:val="3"/>
        </w:numPr>
        <w:spacing w:after="160" w:line="278" w:lineRule="auto"/>
        <w:jc w:val="both"/>
        <w:rPr>
          <w:lang w:val="es-SV"/>
        </w:rPr>
      </w:pPr>
      <w:r w:rsidRPr="00217549">
        <w:rPr>
          <w:lang w:val="es-SV"/>
        </w:rPr>
        <w:t>Riesgo de mercado o tipo de interés: La fluctuación en el valor del activo debido a variaciones en la economía o en las tasas de interés de referencia.</w:t>
      </w:r>
    </w:p>
    <w:p w14:paraId="415F9557" w14:textId="77777777" w:rsidR="00D53108" w:rsidRPr="00981F74" w:rsidRDefault="00D53108" w:rsidP="00981F74">
      <w:pPr>
        <w:pStyle w:val="Prrafodelista"/>
        <w:numPr>
          <w:ilvl w:val="0"/>
          <w:numId w:val="3"/>
        </w:numPr>
        <w:spacing w:after="160" w:line="278" w:lineRule="auto"/>
        <w:jc w:val="both"/>
        <w:rPr>
          <w:lang w:val="es-SV"/>
        </w:rPr>
      </w:pPr>
      <w:r w:rsidRPr="00981F74">
        <w:rPr>
          <w:lang w:val="es-SV"/>
        </w:rPr>
        <w:t>Riesgo de crédito: La posibilidad de que la contraparte o el emisor no cumpla con sus obligaciones de pago.</w:t>
      </w:r>
    </w:p>
    <w:p w14:paraId="0AF10C04" w14:textId="77777777" w:rsidR="00D53108" w:rsidRPr="00D53108" w:rsidRDefault="00D53108" w:rsidP="00D53108">
      <w:pPr>
        <w:spacing w:after="160" w:line="278" w:lineRule="auto"/>
        <w:jc w:val="both"/>
        <w:rPr>
          <w:lang w:val="es-SV"/>
        </w:rPr>
      </w:pPr>
      <w:r w:rsidRPr="00D53108">
        <w:rPr>
          <w:lang w:val="es-SV"/>
        </w:rPr>
        <w:t>A mayor inmovilización del capital o mayor nivel de riesgo asumido, el inversor exige un rendimiento esperado más elevado para compensar la pérdida de flexibilidad operativa.</w:t>
      </w:r>
    </w:p>
    <w:p w14:paraId="5C66AE06" w14:textId="3E623152" w:rsidR="00D53108" w:rsidRPr="00D53108" w:rsidRDefault="00D53108" w:rsidP="00D53108">
      <w:pPr>
        <w:pStyle w:val="Ttulo2"/>
        <w:jc w:val="both"/>
        <w:rPr>
          <w:lang w:val="es-SV"/>
        </w:rPr>
      </w:pPr>
      <w:r w:rsidRPr="00D53108">
        <w:rPr>
          <w:lang w:val="es-SV"/>
        </w:rPr>
        <w:t>2. COMPARATIVA DE INSTRUMENTOS FINANCIEROS</w:t>
      </w:r>
    </w:p>
    <w:p w14:paraId="7FF12738" w14:textId="77777777" w:rsidR="00D53108" w:rsidRDefault="00D53108" w:rsidP="00D53108">
      <w:pPr>
        <w:spacing w:after="160" w:line="278" w:lineRule="auto"/>
        <w:jc w:val="both"/>
        <w:rPr>
          <w:lang w:val="es-SV"/>
        </w:rPr>
      </w:pPr>
    </w:p>
    <w:p w14:paraId="6A2EFB56" w14:textId="078E7A29" w:rsidR="00D53108" w:rsidRPr="00D53108" w:rsidRDefault="00D53108" w:rsidP="00D53108">
      <w:pPr>
        <w:spacing w:after="160" w:line="278" w:lineRule="auto"/>
        <w:jc w:val="both"/>
        <w:rPr>
          <w:lang w:val="es-SV"/>
        </w:rPr>
      </w:pPr>
      <w:r w:rsidRPr="00D53108">
        <w:rPr>
          <w:lang w:val="es-SV"/>
        </w:rPr>
        <w:t>Para visualizar de manera práctica esta relación, se presenta la siguiente clasificación de activos financieros en función de su nivel de liquidez, el horizonte temporal recomendado y el rendimiento relativo esperado:</w:t>
      </w:r>
    </w:p>
    <w:tbl>
      <w:tblPr>
        <w:tblStyle w:val="Tablaconcuadrcula3-nfasis1"/>
        <w:tblW w:w="0" w:type="auto"/>
        <w:tblLook w:val="04A0" w:firstRow="1" w:lastRow="0" w:firstColumn="1" w:lastColumn="0" w:noHBand="0" w:noVBand="1"/>
      </w:tblPr>
      <w:tblGrid>
        <w:gridCol w:w="2430"/>
        <w:gridCol w:w="1973"/>
        <w:gridCol w:w="2423"/>
        <w:gridCol w:w="2012"/>
      </w:tblGrid>
      <w:tr w:rsidR="00D53108" w:rsidRPr="00D53108" w14:paraId="21A769B4" w14:textId="77777777" w:rsidTr="00A70C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6D064F" w14:textId="77777777" w:rsidR="00D53108" w:rsidRPr="00D53108" w:rsidRDefault="00D53108" w:rsidP="00D53108">
            <w:pPr>
              <w:spacing w:after="160" w:line="278" w:lineRule="auto"/>
              <w:jc w:val="both"/>
              <w:rPr>
                <w:lang w:val="es-SV"/>
              </w:rPr>
            </w:pPr>
            <w:r w:rsidRPr="00D53108">
              <w:rPr>
                <w:lang w:val="es-SV"/>
              </w:rPr>
              <w:t>Instrumento Financiero</w:t>
            </w:r>
          </w:p>
        </w:tc>
        <w:tc>
          <w:tcPr>
            <w:tcW w:w="0" w:type="auto"/>
            <w:hideMark/>
          </w:tcPr>
          <w:p w14:paraId="1C97C60A" w14:textId="77777777" w:rsidR="00D53108" w:rsidRPr="00D53108" w:rsidRDefault="00D53108" w:rsidP="00D531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es-SV"/>
              </w:rPr>
            </w:pPr>
            <w:r w:rsidRPr="00D53108">
              <w:rPr>
                <w:lang w:val="es-SV"/>
              </w:rPr>
              <w:t>Nivel de Liquidez</w:t>
            </w:r>
          </w:p>
        </w:tc>
        <w:tc>
          <w:tcPr>
            <w:tcW w:w="0" w:type="auto"/>
            <w:hideMark/>
          </w:tcPr>
          <w:p w14:paraId="05953019" w14:textId="77777777" w:rsidR="00D53108" w:rsidRPr="00D53108" w:rsidRDefault="00D53108" w:rsidP="00D531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es-SV"/>
              </w:rPr>
            </w:pPr>
            <w:r w:rsidRPr="00D53108">
              <w:rPr>
                <w:lang w:val="es-SV"/>
              </w:rPr>
              <w:t>Horizonte Recomendado</w:t>
            </w:r>
          </w:p>
        </w:tc>
        <w:tc>
          <w:tcPr>
            <w:tcW w:w="0" w:type="auto"/>
            <w:hideMark/>
          </w:tcPr>
          <w:p w14:paraId="4762E6FA" w14:textId="77777777" w:rsidR="00D53108" w:rsidRPr="00D53108" w:rsidRDefault="00D53108" w:rsidP="00D531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es-SV"/>
              </w:rPr>
            </w:pPr>
            <w:r w:rsidRPr="00D53108">
              <w:rPr>
                <w:lang w:val="es-SV"/>
              </w:rPr>
              <w:t>Rendimiento Esperado</w:t>
            </w:r>
          </w:p>
        </w:tc>
      </w:tr>
      <w:tr w:rsidR="00D53108" w:rsidRPr="00D53108" w14:paraId="7483DE6E" w14:textId="77777777" w:rsidTr="00A70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EDC5C" w14:textId="77777777" w:rsidR="00D53108" w:rsidRPr="00D53108" w:rsidRDefault="00D53108" w:rsidP="00D53108">
            <w:pPr>
              <w:spacing w:after="160" w:line="278" w:lineRule="auto"/>
              <w:jc w:val="both"/>
              <w:rPr>
                <w:lang w:val="es-SV"/>
              </w:rPr>
            </w:pPr>
            <w:r w:rsidRPr="00D53108">
              <w:rPr>
                <w:b/>
                <w:bCs/>
                <w:lang w:val="es-SV"/>
              </w:rPr>
              <w:t>Cuenta de Ahorro / Depósito a la Vista</w:t>
            </w:r>
          </w:p>
        </w:tc>
        <w:tc>
          <w:tcPr>
            <w:tcW w:w="0" w:type="auto"/>
            <w:hideMark/>
          </w:tcPr>
          <w:p w14:paraId="39A87137"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Alta (Inmediata)</w:t>
            </w:r>
          </w:p>
        </w:tc>
        <w:tc>
          <w:tcPr>
            <w:tcW w:w="0" w:type="auto"/>
            <w:hideMark/>
          </w:tcPr>
          <w:p w14:paraId="0E0C22E0"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Corto Plazo (1 a 30 días)</w:t>
            </w:r>
          </w:p>
        </w:tc>
        <w:tc>
          <w:tcPr>
            <w:tcW w:w="0" w:type="auto"/>
            <w:hideMark/>
          </w:tcPr>
          <w:p w14:paraId="02A2A154"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Bajo</w:t>
            </w:r>
          </w:p>
        </w:tc>
      </w:tr>
      <w:tr w:rsidR="00D53108" w:rsidRPr="00D53108" w14:paraId="212F7391" w14:textId="77777777" w:rsidTr="00A70CFC">
        <w:tc>
          <w:tcPr>
            <w:cnfStyle w:val="001000000000" w:firstRow="0" w:lastRow="0" w:firstColumn="1" w:lastColumn="0" w:oddVBand="0" w:evenVBand="0" w:oddHBand="0" w:evenHBand="0" w:firstRowFirstColumn="0" w:firstRowLastColumn="0" w:lastRowFirstColumn="0" w:lastRowLastColumn="0"/>
            <w:tcW w:w="0" w:type="auto"/>
            <w:hideMark/>
          </w:tcPr>
          <w:p w14:paraId="01F9138E" w14:textId="77777777" w:rsidR="00D53108" w:rsidRPr="00D53108" w:rsidRDefault="00D53108" w:rsidP="00D53108">
            <w:pPr>
              <w:spacing w:after="160" w:line="278" w:lineRule="auto"/>
              <w:jc w:val="both"/>
              <w:rPr>
                <w:lang w:val="es-SV"/>
              </w:rPr>
            </w:pPr>
            <w:r w:rsidRPr="00D53108">
              <w:rPr>
                <w:b/>
                <w:bCs/>
                <w:lang w:val="es-SV"/>
              </w:rPr>
              <w:t>Fondos del Mercado Monetario</w:t>
            </w:r>
          </w:p>
        </w:tc>
        <w:tc>
          <w:tcPr>
            <w:tcW w:w="0" w:type="auto"/>
            <w:hideMark/>
          </w:tcPr>
          <w:p w14:paraId="4B6FF026"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Alta (24 - 48 horas)</w:t>
            </w:r>
          </w:p>
        </w:tc>
        <w:tc>
          <w:tcPr>
            <w:tcW w:w="0" w:type="auto"/>
            <w:hideMark/>
          </w:tcPr>
          <w:p w14:paraId="205CB92D"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Corto Plazo (1 a 6 meses)</w:t>
            </w:r>
          </w:p>
        </w:tc>
        <w:tc>
          <w:tcPr>
            <w:tcW w:w="0" w:type="auto"/>
            <w:hideMark/>
          </w:tcPr>
          <w:p w14:paraId="2038B5E3"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Moderado-Bajo</w:t>
            </w:r>
          </w:p>
        </w:tc>
      </w:tr>
      <w:tr w:rsidR="00D53108" w:rsidRPr="00D53108" w14:paraId="19FF8E61" w14:textId="77777777" w:rsidTr="00A70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14E7A" w14:textId="77777777" w:rsidR="00D53108" w:rsidRPr="00D53108" w:rsidRDefault="00D53108" w:rsidP="00D53108">
            <w:pPr>
              <w:spacing w:after="160" w:line="278" w:lineRule="auto"/>
              <w:jc w:val="both"/>
              <w:rPr>
                <w:lang w:val="es-SV"/>
              </w:rPr>
            </w:pPr>
            <w:r w:rsidRPr="00D53108">
              <w:rPr>
                <w:b/>
                <w:bCs/>
                <w:lang w:val="es-SV"/>
              </w:rPr>
              <w:t>Certificados de Depósito / Pagares</w:t>
            </w:r>
          </w:p>
        </w:tc>
        <w:tc>
          <w:tcPr>
            <w:tcW w:w="0" w:type="auto"/>
            <w:hideMark/>
          </w:tcPr>
          <w:p w14:paraId="79DC7F20"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Media-Baja (Al vencimiento)</w:t>
            </w:r>
          </w:p>
        </w:tc>
        <w:tc>
          <w:tcPr>
            <w:tcW w:w="0" w:type="auto"/>
            <w:hideMark/>
          </w:tcPr>
          <w:p w14:paraId="1B05E28B"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Corto a Mediano Plazo (3 a 24 meses)</w:t>
            </w:r>
          </w:p>
        </w:tc>
        <w:tc>
          <w:tcPr>
            <w:tcW w:w="0" w:type="auto"/>
            <w:hideMark/>
          </w:tcPr>
          <w:p w14:paraId="4BD0A1F9"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Moderado</w:t>
            </w:r>
          </w:p>
        </w:tc>
      </w:tr>
      <w:tr w:rsidR="00D53108" w:rsidRPr="00D53108" w14:paraId="1EC80A3A" w14:textId="77777777" w:rsidTr="00A70CFC">
        <w:tc>
          <w:tcPr>
            <w:cnfStyle w:val="001000000000" w:firstRow="0" w:lastRow="0" w:firstColumn="1" w:lastColumn="0" w:oddVBand="0" w:evenVBand="0" w:oddHBand="0" w:evenHBand="0" w:firstRowFirstColumn="0" w:firstRowLastColumn="0" w:lastRowFirstColumn="0" w:lastRowLastColumn="0"/>
            <w:tcW w:w="0" w:type="auto"/>
            <w:hideMark/>
          </w:tcPr>
          <w:p w14:paraId="7C05ED76" w14:textId="77777777" w:rsidR="00D53108" w:rsidRPr="00D53108" w:rsidRDefault="00D53108" w:rsidP="00D53108">
            <w:pPr>
              <w:spacing w:after="160" w:line="278" w:lineRule="auto"/>
              <w:jc w:val="both"/>
              <w:rPr>
                <w:lang w:val="es-SV"/>
              </w:rPr>
            </w:pPr>
            <w:r w:rsidRPr="00D53108">
              <w:rPr>
                <w:b/>
                <w:bCs/>
                <w:lang w:val="es-SV"/>
              </w:rPr>
              <w:t>Renta Fija / Bonos Corporativos</w:t>
            </w:r>
          </w:p>
        </w:tc>
        <w:tc>
          <w:tcPr>
            <w:tcW w:w="0" w:type="auto"/>
            <w:hideMark/>
          </w:tcPr>
          <w:p w14:paraId="0A73B9FD"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Media (Mercado secundario)</w:t>
            </w:r>
          </w:p>
        </w:tc>
        <w:tc>
          <w:tcPr>
            <w:tcW w:w="0" w:type="auto"/>
            <w:hideMark/>
          </w:tcPr>
          <w:p w14:paraId="14B2C49A"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Mediano Plazo (3 a 7 años)</w:t>
            </w:r>
          </w:p>
        </w:tc>
        <w:tc>
          <w:tcPr>
            <w:tcW w:w="0" w:type="auto"/>
            <w:hideMark/>
          </w:tcPr>
          <w:p w14:paraId="292D096F"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Moderado-Alto</w:t>
            </w:r>
          </w:p>
        </w:tc>
      </w:tr>
      <w:tr w:rsidR="00D53108" w:rsidRPr="00D53108" w14:paraId="04BEE9D7" w14:textId="77777777" w:rsidTr="00A70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D1AA0" w14:textId="77777777" w:rsidR="00D53108" w:rsidRPr="00D53108" w:rsidRDefault="00D53108" w:rsidP="00D53108">
            <w:pPr>
              <w:spacing w:after="160" w:line="278" w:lineRule="auto"/>
              <w:jc w:val="both"/>
              <w:rPr>
                <w:lang w:val="es-SV"/>
              </w:rPr>
            </w:pPr>
            <w:r w:rsidRPr="00D53108">
              <w:rPr>
                <w:b/>
                <w:bCs/>
                <w:lang w:val="es-SV"/>
              </w:rPr>
              <w:lastRenderedPageBreak/>
              <w:t>Renta Variable / Acciones</w:t>
            </w:r>
          </w:p>
        </w:tc>
        <w:tc>
          <w:tcPr>
            <w:tcW w:w="0" w:type="auto"/>
            <w:hideMark/>
          </w:tcPr>
          <w:p w14:paraId="723357DF"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Media-Alta (Días hábiles)</w:t>
            </w:r>
          </w:p>
        </w:tc>
        <w:tc>
          <w:tcPr>
            <w:tcW w:w="0" w:type="auto"/>
            <w:hideMark/>
          </w:tcPr>
          <w:p w14:paraId="36BEE7A5"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Largo Plazo (&gt; 5 años)</w:t>
            </w:r>
          </w:p>
        </w:tc>
        <w:tc>
          <w:tcPr>
            <w:tcW w:w="0" w:type="auto"/>
            <w:hideMark/>
          </w:tcPr>
          <w:p w14:paraId="54C9727E"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Alto (Históricamente)</w:t>
            </w:r>
          </w:p>
        </w:tc>
      </w:tr>
      <w:tr w:rsidR="00D53108" w:rsidRPr="00D53108" w14:paraId="73C1095C" w14:textId="77777777" w:rsidTr="00A70CFC">
        <w:tc>
          <w:tcPr>
            <w:cnfStyle w:val="001000000000" w:firstRow="0" w:lastRow="0" w:firstColumn="1" w:lastColumn="0" w:oddVBand="0" w:evenVBand="0" w:oddHBand="0" w:evenHBand="0" w:firstRowFirstColumn="0" w:firstRowLastColumn="0" w:lastRowFirstColumn="0" w:lastRowLastColumn="0"/>
            <w:tcW w:w="0" w:type="auto"/>
            <w:hideMark/>
          </w:tcPr>
          <w:p w14:paraId="2B1D9441" w14:textId="77777777" w:rsidR="00D53108" w:rsidRPr="00D53108" w:rsidRDefault="00D53108" w:rsidP="00D53108">
            <w:pPr>
              <w:spacing w:after="160" w:line="278" w:lineRule="auto"/>
              <w:jc w:val="both"/>
              <w:rPr>
                <w:lang w:val="es-SV"/>
              </w:rPr>
            </w:pPr>
            <w:r w:rsidRPr="00D53108">
              <w:rPr>
                <w:b/>
                <w:bCs/>
                <w:lang w:val="es-SV"/>
              </w:rPr>
              <w:t>Bienes Raíces / Bienes Inmuebles</w:t>
            </w:r>
          </w:p>
        </w:tc>
        <w:tc>
          <w:tcPr>
            <w:tcW w:w="0" w:type="auto"/>
            <w:hideMark/>
          </w:tcPr>
          <w:p w14:paraId="28CD4F77"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Muy Baja (Meses o años)</w:t>
            </w:r>
          </w:p>
        </w:tc>
        <w:tc>
          <w:tcPr>
            <w:tcW w:w="0" w:type="auto"/>
            <w:hideMark/>
          </w:tcPr>
          <w:p w14:paraId="676E5781"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Largo Plazo (&gt; 7 años)</w:t>
            </w:r>
          </w:p>
        </w:tc>
        <w:tc>
          <w:tcPr>
            <w:tcW w:w="0" w:type="auto"/>
            <w:hideMark/>
          </w:tcPr>
          <w:p w14:paraId="0F1FD073"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Alto (Capital + Renta)</w:t>
            </w:r>
          </w:p>
        </w:tc>
      </w:tr>
    </w:tbl>
    <w:p w14:paraId="41996FB3" w14:textId="77777777" w:rsidR="00D53108" w:rsidRDefault="00D53108" w:rsidP="00D53108">
      <w:pPr>
        <w:jc w:val="both"/>
        <w:rPr>
          <w:b/>
          <w:bCs/>
          <w:lang w:val="es-SV"/>
        </w:rPr>
      </w:pPr>
    </w:p>
    <w:p w14:paraId="4F90FE5D" w14:textId="0774F999" w:rsidR="00D53108" w:rsidRPr="00D53108" w:rsidRDefault="00D53108" w:rsidP="00D53108">
      <w:pPr>
        <w:pStyle w:val="Ttulo2"/>
        <w:jc w:val="both"/>
        <w:rPr>
          <w:lang w:val="es-SV"/>
        </w:rPr>
      </w:pPr>
      <w:r w:rsidRPr="00D53108">
        <w:rPr>
          <w:lang w:val="es-SV"/>
        </w:rPr>
        <w:t>3. ESTRATEGIAS OPERATIVAS PARA OPTIMIZAR EL PAR LIQUIDEZ-RENDIMIENTO</w:t>
      </w:r>
    </w:p>
    <w:p w14:paraId="78155DB5" w14:textId="77777777" w:rsidR="00D024C6" w:rsidRDefault="00D024C6" w:rsidP="00D53108">
      <w:pPr>
        <w:spacing w:after="160" w:line="278" w:lineRule="auto"/>
        <w:jc w:val="both"/>
        <w:rPr>
          <w:lang w:val="es-SV"/>
        </w:rPr>
      </w:pPr>
    </w:p>
    <w:p w14:paraId="087B1E04" w14:textId="04BA3F27" w:rsidR="00D53108" w:rsidRPr="00D53108" w:rsidRDefault="00D53108" w:rsidP="00D53108">
      <w:pPr>
        <w:spacing w:after="160" w:line="278" w:lineRule="auto"/>
        <w:jc w:val="both"/>
        <w:rPr>
          <w:lang w:val="es-SV"/>
        </w:rPr>
      </w:pPr>
      <w:r w:rsidRPr="00D53108">
        <w:rPr>
          <w:lang w:val="es-SV"/>
        </w:rPr>
        <w:t>Para lograr un equilibrio adecuado en la administración de tesorería e inversiones, los analistas y directores financieros emplean diversas estrategias estructuradas:</w:t>
      </w:r>
    </w:p>
    <w:p w14:paraId="763B25F7" w14:textId="77777777" w:rsidR="00D53108" w:rsidRPr="00D53108" w:rsidRDefault="00D53108" w:rsidP="00D53108">
      <w:pPr>
        <w:numPr>
          <w:ilvl w:val="0"/>
          <w:numId w:val="2"/>
        </w:numPr>
        <w:spacing w:after="160" w:line="278" w:lineRule="auto"/>
        <w:jc w:val="both"/>
        <w:rPr>
          <w:lang w:val="es-SV"/>
        </w:rPr>
      </w:pPr>
      <w:r w:rsidRPr="00D53108">
        <w:rPr>
          <w:lang w:val="es-SV"/>
        </w:rPr>
        <w:t>Estrategia de Escalonamiento de Vencimientos (</w:t>
      </w:r>
      <w:proofErr w:type="spellStart"/>
      <w:r w:rsidRPr="00D53108">
        <w:rPr>
          <w:i/>
          <w:iCs/>
          <w:lang w:val="es-SV"/>
        </w:rPr>
        <w:t>Laddering</w:t>
      </w:r>
      <w:proofErr w:type="spellEnd"/>
      <w:r w:rsidRPr="00D53108">
        <w:rPr>
          <w:lang w:val="es-SV"/>
        </w:rPr>
        <w:t>):</w:t>
      </w:r>
    </w:p>
    <w:p w14:paraId="562C5C81" w14:textId="77777777" w:rsidR="00D53108" w:rsidRPr="00D53108" w:rsidRDefault="00D53108" w:rsidP="00D53108">
      <w:pPr>
        <w:spacing w:after="160" w:line="278" w:lineRule="auto"/>
        <w:jc w:val="both"/>
        <w:rPr>
          <w:lang w:val="es-SV"/>
        </w:rPr>
      </w:pPr>
      <w:r w:rsidRPr="00D53108">
        <w:rPr>
          <w:lang w:val="es-SV"/>
        </w:rPr>
        <w:t>Consiste en dividir el capital disponible en partes iguales e invertir cada una en instrumentos de renta fija con distintos plazos de vencimiento (por ejemplo: a 3, 6, 9 y 12 meses). Conforme vence cada tramo, el capital y los intereses pueden reinvertirse al plazo más largo disponible o utilizarse si surge una necesidad de liquidez, garantizando un flujo constante de efectivo sin renunciar por completo al rendimiento.</w:t>
      </w:r>
    </w:p>
    <w:p w14:paraId="7EE5B0BA" w14:textId="77777777" w:rsidR="00D53108" w:rsidRPr="00D53108" w:rsidRDefault="00D53108" w:rsidP="00D53108">
      <w:pPr>
        <w:numPr>
          <w:ilvl w:val="0"/>
          <w:numId w:val="2"/>
        </w:numPr>
        <w:spacing w:after="160" w:line="278" w:lineRule="auto"/>
        <w:jc w:val="both"/>
        <w:rPr>
          <w:lang w:val="es-SV"/>
        </w:rPr>
      </w:pPr>
      <w:r w:rsidRPr="00D53108">
        <w:rPr>
          <w:lang w:val="es-SV"/>
        </w:rPr>
        <w:t>Constitución de un Fondo de Emergencia y Reserva Operativa:</w:t>
      </w:r>
    </w:p>
    <w:p w14:paraId="4CB9D70A" w14:textId="77777777" w:rsidR="00D53108" w:rsidRPr="00D53108" w:rsidRDefault="00D53108" w:rsidP="00D53108">
      <w:pPr>
        <w:spacing w:after="160" w:line="278" w:lineRule="auto"/>
        <w:jc w:val="both"/>
        <w:rPr>
          <w:lang w:val="es-SV"/>
        </w:rPr>
      </w:pPr>
      <w:r w:rsidRPr="00D53108">
        <w:rPr>
          <w:lang w:val="es-SV"/>
        </w:rPr>
        <w:t>A nivel personal o corporativo, se recomienda mantener entre 3 y 6 meses de gastos operativos en activos de liquidez inmediata (cuentas de alto rendimiento o fondos monetarios). El excedente sobre este umbral se destina a activos de mayor rendimiento y menor liquidez.</w:t>
      </w:r>
    </w:p>
    <w:p w14:paraId="107B840F" w14:textId="77777777" w:rsidR="00D53108" w:rsidRPr="00D53108" w:rsidRDefault="00D53108" w:rsidP="00D53108">
      <w:pPr>
        <w:numPr>
          <w:ilvl w:val="0"/>
          <w:numId w:val="2"/>
        </w:numPr>
        <w:spacing w:after="160" w:line="278" w:lineRule="auto"/>
        <w:jc w:val="both"/>
        <w:rPr>
          <w:lang w:val="es-SV"/>
        </w:rPr>
      </w:pPr>
      <w:r w:rsidRPr="00D53108">
        <w:rPr>
          <w:lang w:val="es-SV"/>
        </w:rPr>
        <w:t>Inversión en Mosaico / Diversificación por Horizontes:</w:t>
      </w:r>
    </w:p>
    <w:p w14:paraId="6D85FCBA" w14:textId="77777777" w:rsidR="00D53108" w:rsidRPr="00D53108" w:rsidRDefault="00D53108" w:rsidP="00D53108">
      <w:pPr>
        <w:spacing w:after="160" w:line="278" w:lineRule="auto"/>
        <w:jc w:val="both"/>
        <w:rPr>
          <w:lang w:val="es-SV"/>
        </w:rPr>
      </w:pPr>
      <w:r w:rsidRPr="00D53108">
        <w:rPr>
          <w:lang w:val="es-SV"/>
        </w:rPr>
        <w:t>Asignación de recursos basada en la línea de tiempo de los objetivos financieros:</w:t>
      </w:r>
    </w:p>
    <w:p w14:paraId="483D5E23" w14:textId="77777777" w:rsidR="00D53108" w:rsidRPr="00D53108" w:rsidRDefault="00D53108" w:rsidP="00981F74">
      <w:pPr>
        <w:numPr>
          <w:ilvl w:val="1"/>
          <w:numId w:val="2"/>
        </w:numPr>
        <w:spacing w:after="160" w:line="278" w:lineRule="auto"/>
        <w:jc w:val="both"/>
        <w:rPr>
          <w:lang w:val="es-SV"/>
        </w:rPr>
      </w:pPr>
      <w:r w:rsidRPr="00D53108">
        <w:rPr>
          <w:lang w:val="es-SV"/>
        </w:rPr>
        <w:t>Tramo de Liquidez (0 a 12 meses): Activos ultra líquidos dedicados a compromisos inmediatos.</w:t>
      </w:r>
    </w:p>
    <w:p w14:paraId="75513436" w14:textId="77777777" w:rsidR="00D53108" w:rsidRPr="00D53108" w:rsidRDefault="00D53108" w:rsidP="00981F74">
      <w:pPr>
        <w:numPr>
          <w:ilvl w:val="1"/>
          <w:numId w:val="2"/>
        </w:numPr>
        <w:spacing w:after="160" w:line="278" w:lineRule="auto"/>
        <w:jc w:val="both"/>
        <w:rPr>
          <w:lang w:val="es-SV"/>
        </w:rPr>
      </w:pPr>
      <w:r w:rsidRPr="00D53108">
        <w:rPr>
          <w:lang w:val="es-SV"/>
        </w:rPr>
        <w:t>Tramo de Conservación (1 a 3 años): Renta fija de corto/mediano plazo para metas de plazo cercano.</w:t>
      </w:r>
    </w:p>
    <w:p w14:paraId="474CF11B" w14:textId="77777777" w:rsidR="00D53108" w:rsidRDefault="00D53108" w:rsidP="00981F74">
      <w:pPr>
        <w:numPr>
          <w:ilvl w:val="1"/>
          <w:numId w:val="2"/>
        </w:numPr>
        <w:spacing w:after="160" w:line="278" w:lineRule="auto"/>
        <w:jc w:val="both"/>
        <w:rPr>
          <w:lang w:val="es-SV"/>
        </w:rPr>
      </w:pPr>
      <w:r w:rsidRPr="00D53108">
        <w:rPr>
          <w:lang w:val="es-SV"/>
        </w:rPr>
        <w:t>Tramo de Crecimiento (&gt; 3 a 5 años): Renta variable, fondos indexados o inmuebles, donde la liquidez inmediata no es prioritaria pero el rendimiento potencial es mayor.</w:t>
      </w:r>
    </w:p>
    <w:p w14:paraId="68EBDA35" w14:textId="77777777" w:rsidR="00217549" w:rsidRPr="00D53108" w:rsidRDefault="00217549" w:rsidP="00217549">
      <w:pPr>
        <w:spacing w:after="160" w:line="278" w:lineRule="auto"/>
        <w:jc w:val="both"/>
        <w:rPr>
          <w:lang w:val="es-SV"/>
        </w:rPr>
      </w:pPr>
    </w:p>
    <w:p w14:paraId="13002C39" w14:textId="77777777" w:rsidR="00EA70E4" w:rsidRPr="00D53108" w:rsidRDefault="00EA70E4" w:rsidP="00D53108">
      <w:pPr>
        <w:jc w:val="both"/>
        <w:rPr>
          <w:lang w:val="es-SV"/>
        </w:rPr>
      </w:pPr>
    </w:p>
    <w:sectPr w:rsidR="00EA70E4" w:rsidRPr="00D53108">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2FEF7" w14:textId="77777777" w:rsidR="00D7768A" w:rsidRDefault="00D7768A" w:rsidP="001119C1">
      <w:pPr>
        <w:spacing w:after="0" w:line="240" w:lineRule="auto"/>
      </w:pPr>
      <w:r>
        <w:separator/>
      </w:r>
    </w:p>
  </w:endnote>
  <w:endnote w:type="continuationSeparator" w:id="0">
    <w:p w14:paraId="5A50F5B8" w14:textId="77777777" w:rsidR="00D7768A" w:rsidRDefault="00D7768A" w:rsidP="00111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86E8" w14:textId="77777777" w:rsidR="001E23E1" w:rsidRDefault="001E23E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8E99" w14:textId="77777777" w:rsidR="00D7768A" w:rsidRDefault="00D7768A" w:rsidP="001119C1">
      <w:pPr>
        <w:spacing w:after="0" w:line="240" w:lineRule="auto"/>
      </w:pPr>
      <w:r>
        <w:separator/>
      </w:r>
    </w:p>
  </w:footnote>
  <w:footnote w:type="continuationSeparator" w:id="0">
    <w:p w14:paraId="0BF1EB21" w14:textId="77777777" w:rsidR="00D7768A" w:rsidRDefault="00D7768A" w:rsidP="00111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D575" w14:textId="77777777" w:rsidR="001119C1" w:rsidRDefault="001119C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658"/>
    <w:multiLevelType w:val="hybridMultilevel"/>
    <w:tmpl w:val="7014526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364A7732"/>
    <w:multiLevelType w:val="multilevel"/>
    <w:tmpl w:val="02CE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037CC3"/>
    <w:multiLevelType w:val="multilevel"/>
    <w:tmpl w:val="20FCA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174689">
    <w:abstractNumId w:val="1"/>
  </w:num>
  <w:num w:numId="2" w16cid:durableId="1308323288">
    <w:abstractNumId w:val="2"/>
  </w:num>
  <w:num w:numId="3" w16cid:durableId="197606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08"/>
    <w:rsid w:val="001119C1"/>
    <w:rsid w:val="001B4D1F"/>
    <w:rsid w:val="001E23E1"/>
    <w:rsid w:val="00217549"/>
    <w:rsid w:val="00635937"/>
    <w:rsid w:val="00736FCF"/>
    <w:rsid w:val="007E1383"/>
    <w:rsid w:val="00981F74"/>
    <w:rsid w:val="00A70CFC"/>
    <w:rsid w:val="00CB0330"/>
    <w:rsid w:val="00D024C6"/>
    <w:rsid w:val="00D53108"/>
    <w:rsid w:val="00D7768A"/>
    <w:rsid w:val="00E91A60"/>
    <w:rsid w:val="00EA70E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34D43"/>
  <w15:chartTrackingRefBased/>
  <w15:docId w15:val="{DAA85918-6F0B-42EE-8024-FAB2229B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108"/>
  </w:style>
  <w:style w:type="paragraph" w:styleId="Ttulo1">
    <w:name w:val="heading 1"/>
    <w:basedOn w:val="Normal"/>
    <w:next w:val="Normal"/>
    <w:link w:val="Ttulo1Car"/>
    <w:uiPriority w:val="9"/>
    <w:qFormat/>
    <w:rsid w:val="00D53108"/>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unhideWhenUsed/>
    <w:qFormat/>
    <w:rsid w:val="00D53108"/>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semiHidden/>
    <w:unhideWhenUsed/>
    <w:qFormat/>
    <w:rsid w:val="00D53108"/>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semiHidden/>
    <w:unhideWhenUsed/>
    <w:qFormat/>
    <w:rsid w:val="00D53108"/>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rsid w:val="00D53108"/>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rsid w:val="00D53108"/>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rsid w:val="00D53108"/>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rsid w:val="00D53108"/>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rsid w:val="00D53108"/>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3108"/>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rsid w:val="00D53108"/>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semiHidden/>
    <w:rsid w:val="00D53108"/>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semiHidden/>
    <w:rsid w:val="00D53108"/>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rsid w:val="00D53108"/>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rsid w:val="00D53108"/>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rsid w:val="00D53108"/>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rsid w:val="00D53108"/>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rsid w:val="00D53108"/>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ar"/>
    <w:uiPriority w:val="10"/>
    <w:qFormat/>
    <w:rsid w:val="00D5310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53108"/>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53108"/>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53108"/>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D53108"/>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53108"/>
    <w:rPr>
      <w:i/>
      <w:iCs/>
      <w:color w:val="262626" w:themeColor="text1" w:themeTint="D9"/>
    </w:rPr>
  </w:style>
  <w:style w:type="paragraph" w:styleId="Prrafodelista">
    <w:name w:val="List Paragraph"/>
    <w:basedOn w:val="Normal"/>
    <w:uiPriority w:val="34"/>
    <w:qFormat/>
    <w:rsid w:val="00D53108"/>
    <w:pPr>
      <w:ind w:left="720"/>
      <w:contextualSpacing/>
    </w:pPr>
  </w:style>
  <w:style w:type="character" w:styleId="nfasisintenso">
    <w:name w:val="Intense Emphasis"/>
    <w:basedOn w:val="Fuentedeprrafopredeter"/>
    <w:uiPriority w:val="21"/>
    <w:qFormat/>
    <w:rsid w:val="00D53108"/>
    <w:rPr>
      <w:b/>
      <w:bCs/>
      <w:i/>
      <w:iCs/>
    </w:rPr>
  </w:style>
  <w:style w:type="paragraph" w:styleId="Citadestacada">
    <w:name w:val="Intense Quote"/>
    <w:basedOn w:val="Normal"/>
    <w:next w:val="Normal"/>
    <w:link w:val="CitadestacadaCar"/>
    <w:uiPriority w:val="30"/>
    <w:qFormat/>
    <w:rsid w:val="00D53108"/>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rsid w:val="00D53108"/>
    <w:rPr>
      <w:rFonts w:asciiTheme="majorHAnsi" w:eastAsiaTheme="majorEastAsia" w:hAnsiTheme="majorHAnsi" w:cstheme="majorBidi"/>
      <w:i/>
      <w:iCs/>
      <w:color w:val="4EA72E" w:themeColor="accent6"/>
      <w:sz w:val="32"/>
      <w:szCs w:val="32"/>
    </w:rPr>
  </w:style>
  <w:style w:type="character" w:styleId="Referenciaintensa">
    <w:name w:val="Intense Reference"/>
    <w:basedOn w:val="Fuentedeprrafopredeter"/>
    <w:uiPriority w:val="32"/>
    <w:qFormat/>
    <w:rsid w:val="00D53108"/>
    <w:rPr>
      <w:b/>
      <w:bCs/>
      <w:smallCaps/>
      <w:color w:val="4EA72E" w:themeColor="accent6"/>
    </w:rPr>
  </w:style>
  <w:style w:type="paragraph" w:styleId="Descripcin">
    <w:name w:val="caption"/>
    <w:basedOn w:val="Normal"/>
    <w:next w:val="Normal"/>
    <w:uiPriority w:val="35"/>
    <w:semiHidden/>
    <w:unhideWhenUsed/>
    <w:qFormat/>
    <w:rsid w:val="00D53108"/>
    <w:pPr>
      <w:spacing w:line="240" w:lineRule="auto"/>
    </w:pPr>
    <w:rPr>
      <w:b/>
      <w:bCs/>
      <w:smallCaps/>
      <w:color w:val="595959" w:themeColor="text1" w:themeTint="A6"/>
    </w:rPr>
  </w:style>
  <w:style w:type="character" w:styleId="Fuerte">
    <w:name w:val="Strong"/>
    <w:basedOn w:val="Fuentedeprrafopredeter"/>
    <w:uiPriority w:val="22"/>
    <w:qFormat/>
    <w:rsid w:val="00D53108"/>
    <w:rPr>
      <w:b/>
      <w:bCs/>
    </w:rPr>
  </w:style>
  <w:style w:type="character" w:styleId="nfasis">
    <w:name w:val="Emphasis"/>
    <w:basedOn w:val="Fuentedeprrafopredeter"/>
    <w:uiPriority w:val="20"/>
    <w:qFormat/>
    <w:rsid w:val="00D53108"/>
    <w:rPr>
      <w:i/>
      <w:iCs/>
      <w:color w:val="4EA72E" w:themeColor="accent6"/>
    </w:rPr>
  </w:style>
  <w:style w:type="paragraph" w:styleId="Sinespaciado">
    <w:name w:val="No Spacing"/>
    <w:uiPriority w:val="1"/>
    <w:qFormat/>
    <w:rsid w:val="00D53108"/>
    <w:pPr>
      <w:spacing w:after="0" w:line="240" w:lineRule="auto"/>
    </w:pPr>
  </w:style>
  <w:style w:type="character" w:styleId="nfasissutil">
    <w:name w:val="Subtle Emphasis"/>
    <w:basedOn w:val="Fuentedeprrafopredeter"/>
    <w:uiPriority w:val="19"/>
    <w:qFormat/>
    <w:rsid w:val="00D53108"/>
    <w:rPr>
      <w:i/>
      <w:iCs/>
    </w:rPr>
  </w:style>
  <w:style w:type="character" w:styleId="Referenciasutil">
    <w:name w:val="Subtle Reference"/>
    <w:basedOn w:val="Fuentedeprrafopredeter"/>
    <w:uiPriority w:val="31"/>
    <w:qFormat/>
    <w:rsid w:val="00D53108"/>
    <w:rPr>
      <w:smallCaps/>
      <w:color w:val="595959" w:themeColor="text1" w:themeTint="A6"/>
    </w:rPr>
  </w:style>
  <w:style w:type="character" w:styleId="Ttulodellibro">
    <w:name w:val="Book Title"/>
    <w:basedOn w:val="Fuentedeprrafopredeter"/>
    <w:uiPriority w:val="33"/>
    <w:qFormat/>
    <w:rsid w:val="00D53108"/>
    <w:rPr>
      <w:b/>
      <w:bCs/>
      <w:caps w:val="0"/>
      <w:smallCaps/>
      <w:spacing w:val="7"/>
      <w:sz w:val="21"/>
      <w:szCs w:val="21"/>
    </w:rPr>
  </w:style>
  <w:style w:type="paragraph" w:styleId="TtuloTDC">
    <w:name w:val="TOC Heading"/>
    <w:basedOn w:val="Ttulo1"/>
    <w:next w:val="Normal"/>
    <w:uiPriority w:val="39"/>
    <w:semiHidden/>
    <w:unhideWhenUsed/>
    <w:qFormat/>
    <w:rsid w:val="00D53108"/>
    <w:pPr>
      <w:outlineLvl w:val="9"/>
    </w:pPr>
  </w:style>
  <w:style w:type="table" w:styleId="Tablaconcuadrcula3-nfasis1">
    <w:name w:val="Grid Table 3 Accent 1"/>
    <w:basedOn w:val="Tablanormal"/>
    <w:uiPriority w:val="48"/>
    <w:rsid w:val="00A70CF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0876E-2B18-43C2-8D62-B4908B227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597</Words>
  <Characters>3287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Herberth Contreras</dc:creator>
  <cp:keywords/>
  <dc:description/>
  <cp:lastModifiedBy>Herberth Contreras</cp:lastModifiedBy>
  <cp:revision>5</cp:revision>
  <dcterms:created xsi:type="dcterms:W3CDTF">2026-10-07T00:05:00Z</dcterms:created>
  <dcterms:modified xsi:type="dcterms:W3CDTF">2026-10-07T01:23:00Z</dcterms:modified>
</cp:coreProperties>
</file>