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p>
      <w:r>
        <w:t>### 5.1 ASI01–ASI10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b/>
                <w:sz w:val="20"/>
              </w:rPr>
              <w:t>ASI01</w:t>
            </w:r>
            <w:r>
              <w:rPr>
                <w:rFonts w:ascii="Calibri" w:hAnsi="Calibri"/>
                <w:sz w:val="20"/>
              </w:rPr>
              <w:t xml:space="preserve"> Agent Goal Hijack</w:t>
            </w:r>
          </w:p>
        </w:tc>
        <w:tc>
          <w:tcPr>
            <w:tcW w:type="dxa" w:w="3120"/>
          </w:tcPr>
          <w:p>
            <w:r>
              <w:rPr>
                <w:rFonts w:ascii="Calibri" w:hAnsi="Calibri"/>
                <w:sz w:val="20"/>
              </w:rPr>
            </w:r>
            <w:r>
              <w:rPr>
                <w:rFonts w:ascii="Calibri" w:hAnsi="Calibri"/>
                <w:sz w:val="20"/>
              </w:rPr>
              <w:t xml:space="preserve">🟢 </w:t>
            </w:r>
            <w:r>
              <w:rPr>
                <w:rFonts w:ascii="Calibri" w:hAnsi="Calibri"/>
                <w:b/>
                <w:sz w:val="20"/>
              </w:rPr>
              <w:t>Closed 2026-10-11</w:t>
            </w:r>
          </w:p>
        </w:tc>
        <w:tc>
          <w:tcPr>
            <w:tcW w:type="dxa" w:w="3120"/>
          </w:tcPr>
          <w:p>
            <w:r>
              <w:rPr>
                <w:rFonts w:ascii="Calibri" w:hAnsi="Calibri"/>
                <w:sz w:val="20"/>
              </w:rPr>
            </w:r>
            <w:r>
              <w:rPr>
                <w:rFonts w:ascii="Calibri" w:hAnsi="Calibri"/>
                <w:sz w:val="20"/>
              </w:rPr>
              <w:t>`app/core/prompting.py::fence_untrusted` is now the single implementation for both planes. The harness fences at `_observation` — the one point where tool results become model-visible text — so every agent and tool inherits the control. The runtime's inline fence was replaced by a call to the same function. Angle brackets are defanged, so a payload cannot forge a closing delimiter</w:t>
            </w:r>
          </w:p>
        </w:tc>
      </w:tr>
      <w:tr>
        <w:tc>
          <w:tcPr>
            <w:tcW w:type="dxa" w:w="3120"/>
          </w:tcPr>
          <w:p>
            <w:r>
              <w:rPr>
                <w:rFonts w:ascii="Calibri" w:hAnsi="Calibri"/>
                <w:sz w:val="20"/>
              </w:rPr>
            </w:r>
            <w:r>
              <w:rPr>
                <w:rFonts w:ascii="Calibri" w:hAnsi="Calibri"/>
                <w:b/>
                <w:sz w:val="20"/>
              </w:rPr>
              <w:t>ASI02</w:t>
            </w:r>
            <w:r>
              <w:rPr>
                <w:rFonts w:ascii="Calibri" w:hAnsi="Calibri"/>
                <w:sz w:val="20"/>
              </w:rPr>
              <w:t xml:space="preserve"> Tool Misuse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`tools/gateway.py:1-6` — *"authorization happens outside the model, execution happens once, and the call is recorded"*. `ApprovedPlan` required for writes. Pydantic arg validation. Analyst: 3 read-only tools; coder: 4 tools, capped at 40 calls / 300k tokens / $1.50</w:t>
            </w:r>
          </w:p>
        </w:tc>
      </w:tr>
      <w:tr>
        <w:tc>
          <w:tcPr>
            <w:tcW w:type="dxa" w:w="3120"/>
          </w:tcPr>
          <w:p>
            <w:r>
              <w:rPr>
                <w:rFonts w:ascii="Calibri" w:hAnsi="Calibri"/>
                <w:sz w:val="20"/>
              </w:rPr>
            </w:r>
            <w:r>
              <w:rPr>
                <w:rFonts w:ascii="Calibri" w:hAnsi="Calibri"/>
                <w:b/>
                <w:sz w:val="20"/>
              </w:rPr>
              <w:t>ASI03</w:t>
            </w:r>
            <w:r>
              <w:rPr>
                <w:rFonts w:ascii="Calibri" w:hAnsi="Calibri"/>
                <w:sz w:val="20"/>
              </w:rPr>
              <w:t xml:space="preserve"> Identity &amp; Privilege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`ExecutionContext` is frozen — *"once built, a stage cannot widen its own scope"* — and built from trusted infrastructure *"never from, or modified by, model output"*. `workspace_reference` is opaque, *"never a physical path"*. </w:t>
            </w:r>
            <w:r>
              <w:rPr>
                <w:rFonts w:ascii="Calibri" w:hAnsi="Calibri"/>
                <w:b/>
                <w:sz w:val="20"/>
              </w:rPr>
              <w:t>Caveat:</w:t>
            </w:r>
            <w:r>
              <w:rPr>
                <w:rFonts w:ascii="Calibri" w:hAnsi="Calibri"/>
                <w:sz w:val="20"/>
              </w:rPr>
              <w:t xml:space="preserve"> scope is enforced, *identity* is not — agents share the tenant's GitHub credential rather than short-lived per-task tokens</w:t>
            </w:r>
          </w:p>
        </w:tc>
      </w:tr>
      <w:tr>
        <w:tc>
          <w:tcPr>
            <w:tcW w:type="dxa" w:w="3120"/>
          </w:tcPr>
          <w:p>
            <w:r>
              <w:rPr>
                <w:rFonts w:ascii="Calibri" w:hAnsi="Calibri"/>
                <w:sz w:val="20"/>
              </w:rPr>
            </w:r>
            <w:r>
              <w:rPr>
                <w:rFonts w:ascii="Calibri" w:hAnsi="Calibri"/>
                <w:b/>
                <w:sz w:val="20"/>
              </w:rPr>
              <w:t>ASI04</w:t>
            </w:r>
            <w:r>
              <w:rPr>
                <w:rFonts w:ascii="Calibri" w:hAnsi="Calibri"/>
                <w:sz w:val="20"/>
              </w:rPr>
              <w:t xml:space="preserve"> Supply Chain</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Dependencies pinned; `AgentRegistry` refuses silent replacement. </w:t>
            </w:r>
            <w:r>
              <w:rPr>
                <w:rFonts w:ascii="Calibri" w:hAnsi="Calibri"/>
                <w:b/>
                <w:sz w:val="20"/>
              </w:rPr>
              <w:t>No AIBOM.</w:t>
            </w:r>
            <w:r>
              <w:rPr>
                <w:rFonts w:ascii="Calibri" w:hAnsi="Calibri"/>
                <w:sz w:val="20"/>
              </w:rPr>
              <w:t xml:space="preserve"> `agent_version` per run is reproducibility, adjacent to provenance but not the same artifact</w:t>
            </w:r>
          </w:p>
        </w:tc>
      </w:tr>
      <w:tr>
        <w:tc>
          <w:tcPr>
            <w:tcW w:type="dxa" w:w="3120"/>
          </w:tcPr>
          <w:p>
            <w:r>
              <w:rPr>
                <w:rFonts w:ascii="Calibri" w:hAnsi="Calibri"/>
                <w:sz w:val="20"/>
              </w:rPr>
            </w:r>
            <w:r>
              <w:rPr>
                <w:rFonts w:ascii="Calibri" w:hAnsi="Calibri"/>
                <w:b/>
                <w:sz w:val="20"/>
              </w:rPr>
              <w:t>ASI05</w:t>
            </w:r>
            <w:r>
              <w:rPr>
                <w:rFonts w:ascii="Calibri" w:hAnsi="Calibri"/>
                <w:sz w:val="20"/>
              </w:rPr>
              <w:t xml:space="preserve"> Unexpected Code Exec.</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b/>
                <w:sz w:val="20"/>
              </w:rPr>
              <w:t>Better than this repo previously documented.</w:t>
            </w:r>
            <w:r>
              <w:rPr>
                <w:rFonts w:ascii="Calibri" w:hAnsi="Calibri"/>
                <w:sz w:val="20"/>
              </w:rPr>
              <w:t xml:space="preserve"> `sandbox.py:65-66` — *"no process, filesystem or network isolation. It therefore </w:t>
            </w:r>
            <w:r>
              <w:rPr>
                <w:rFonts w:ascii="Calibri" w:hAnsi="Calibri"/>
                <w:b/>
                <w:sz w:val="20"/>
              </w:rPr>
              <w:t>refuses `run()`</w:t>
            </w:r>
            <w:r>
              <w:rPr>
                <w:rFonts w:ascii="Calibri" w:hAnsi="Calibri"/>
                <w:sz w:val="20"/>
              </w:rPr>
              <w:t>"*. Refusing the capability beats faking the control. `assert_path_contained` resolves symlinks then checks `is_relative_to`. `subprocess.run(argv, …)` with no `shell=True` and a `--` separator (`reader.py:234-240`)</w:t>
            </w:r>
          </w:p>
        </w:tc>
      </w:tr>
      <w:tr>
        <w:tc>
          <w:tcPr>
            <w:tcW w:type="dxa" w:w="3120"/>
          </w:tcPr>
          <w:p>
            <w:r>
              <w:rPr>
                <w:rFonts w:ascii="Calibri" w:hAnsi="Calibri"/>
                <w:sz w:val="20"/>
              </w:rPr>
            </w:r>
            <w:r>
              <w:rPr>
                <w:rFonts w:ascii="Calibri" w:hAnsi="Calibri"/>
                <w:b/>
                <w:sz w:val="20"/>
              </w:rPr>
              <w:t>ASI06</w:t>
            </w:r>
            <w:r>
              <w:rPr>
                <w:rFonts w:ascii="Calibri" w:hAnsi="Calibri"/>
                <w:sz w:val="20"/>
              </w:rPr>
              <w:t xml:space="preserve"> Memory &amp; Context Poisoning</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Run records are written by the harness, not the model, so there is no model-writable memory. </w:t>
            </w:r>
            <w:r>
              <w:rPr>
                <w:rFonts w:ascii="Calibri" w:hAnsi="Calibri"/>
                <w:b/>
                <w:sz w:val="20"/>
              </w:rPr>
              <w:t>But</w:t>
            </w:r>
            <w:r>
              <w:rPr>
                <w:rFonts w:ascii="Calibri" w:hAnsi="Calibri"/>
                <w:sz w:val="20"/>
              </w:rPr>
              <w:t xml:space="preserve"> knowledge ingestion has no provenance verification (G3), and ASI01 applies to repository reads</w:t>
            </w:r>
          </w:p>
        </w:tc>
      </w:tr>
      <w:tr>
        <w:tc>
          <w:tcPr>
            <w:tcW w:type="dxa" w:w="3120"/>
          </w:tcPr>
          <w:p>
            <w:r>
              <w:rPr>
                <w:rFonts w:ascii="Calibri" w:hAnsi="Calibri"/>
                <w:sz w:val="20"/>
              </w:rPr>
            </w:r>
            <w:r>
              <w:rPr>
                <w:rFonts w:ascii="Calibri" w:hAnsi="Calibri"/>
                <w:b/>
                <w:sz w:val="20"/>
              </w:rPr>
              <w:t>ASI07</w:t>
            </w:r>
            <w:r>
              <w:rPr>
                <w:rFonts w:ascii="Calibri" w:hAnsi="Calibri"/>
                <w:sz w:val="20"/>
              </w:rPr>
              <w:t xml:space="preserve"> Inter-Agent Comm.</w:t>
            </w:r>
          </w:p>
        </w:tc>
        <w:tc>
          <w:tcPr>
            <w:tcW w:type="dxa" w:w="3120"/>
          </w:tcPr>
          <w:p>
            <w:r>
              <w:rPr>
                <w:rFonts w:ascii="Calibri" w:hAnsi="Calibri"/>
                <w:sz w:val="20"/>
              </w:rPr>
            </w:r>
            <w:r>
              <w:rPr>
                <w:rFonts w:ascii="Calibri" w:hAnsi="Calibri"/>
                <w:sz w:val="20"/>
              </w:rPr>
              <w:t>⚪ N/A</w:t>
            </w:r>
          </w:p>
        </w:tc>
        <w:tc>
          <w:tcPr>
            <w:tcW w:type="dxa" w:w="3120"/>
          </w:tcPr>
          <w:p>
            <w:r>
              <w:rPr>
                <w:rFonts w:ascii="Calibri" w:hAnsi="Calibri"/>
                <w:sz w:val="20"/>
              </w:rPr>
            </w:r>
            <w:r>
              <w:rPr>
                <w:rFonts w:ascii="Calibri" w:hAnsi="Calibri"/>
                <w:sz w:val="20"/>
              </w:rPr>
              <w:t>One agent per run, no mesh. Correct to have nothing</w:t>
            </w:r>
          </w:p>
        </w:tc>
      </w:tr>
      <w:tr>
        <w:tc>
          <w:tcPr>
            <w:tcW w:type="dxa" w:w="3120"/>
          </w:tcPr>
          <w:p>
            <w:r>
              <w:rPr>
                <w:rFonts w:ascii="Calibri" w:hAnsi="Calibri"/>
                <w:sz w:val="20"/>
              </w:rPr>
            </w:r>
            <w:r>
              <w:rPr>
                <w:rFonts w:ascii="Calibri" w:hAnsi="Calibri"/>
                <w:b/>
                <w:sz w:val="20"/>
              </w:rPr>
              <w:t>ASI08</w:t>
            </w:r>
            <w:r>
              <w:rPr>
                <w:rFonts w:ascii="Calibri" w:hAnsi="Calibri"/>
                <w:sz w:val="20"/>
              </w:rPr>
              <w:t xml:space="preserve"> Cascading Failures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 xml:space="preserve">`harness/halt.py::CircuitBreaker` stops a run after `AGENT_CIRCUIT_BREAKER_THRESHOLD` (default 5) </w:t>
            </w:r>
            <w:r>
              <w:rPr>
                <w:rFonts w:ascii="Calibri" w:hAnsi="Calibri"/>
                <w:b/>
                <w:sz w:val="20"/>
              </w:rPr>
              <w:t>consecutive</w:t>
            </w:r>
            <w:r>
              <w:rPr>
                <w:rFonts w:ascii="Calibri" w:hAnsi="Calibri"/>
                <w:sz w:val="20"/>
              </w:rPr>
              <w:t xml:space="preserve"> tool failures, classified `TERMINAL`. Checked per tool call in `execute_tool`. A denial does not count — the gateway working correctly is not the agent failing. Still no cross-run blast-radius isolation</w:t>
            </w:r>
          </w:p>
        </w:tc>
      </w:tr>
      <w:tr>
        <w:tc>
          <w:tcPr>
            <w:tcW w:type="dxa" w:w="3120"/>
          </w:tcPr>
          <w:p>
            <w:r>
              <w:rPr>
                <w:rFonts w:ascii="Calibri" w:hAnsi="Calibri"/>
                <w:sz w:val="20"/>
              </w:rPr>
            </w:r>
            <w:r>
              <w:rPr>
                <w:rFonts w:ascii="Calibri" w:hAnsi="Calibri"/>
                <w:b/>
                <w:sz w:val="20"/>
              </w:rPr>
              <w:t>ASI09</w:t>
            </w:r>
            <w:r>
              <w:rPr>
                <w:rFonts w:ascii="Calibri" w:hAnsi="Calibri"/>
                <w:sz w:val="20"/>
              </w:rPr>
              <w:t xml:space="preserve"> Human-Agent Trust</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`ApprovedPlan` + </w:t>
            </w:r>
            <w:r>
              <w:rPr>
                <w:rFonts w:ascii="Calibri" w:hAnsi="Calibri"/>
                <w:b/>
                <w:sz w:val="20"/>
              </w:rPr>
              <w:t>PR-only delivery</w:t>
            </w:r>
            <w:r>
              <w:rPr>
                <w:rFonts w:ascii="Calibri" w:hAnsi="Calibri"/>
                <w:sz w:val="20"/>
              </w:rPr>
              <w:t xml:space="preserve"> — code reaches production as a reviewable diff, never a direct push. OWASP asks to *"show raw actions at confirmation time"*; the PR </w:t>
            </w:r>
            <w:r>
              <w:rPr>
                <w:rFonts w:ascii="Calibri" w:hAnsi="Calibri"/>
                <w:b/>
                <w:sz w:val="20"/>
              </w:rPr>
              <w:t>is</w:t>
            </w:r>
            <w:r>
              <w:rPr>
                <w:rFonts w:ascii="Calibri" w:hAnsi="Calibri"/>
                <w:sz w:val="20"/>
              </w:rPr>
              <w:t xml:space="preserve"> the raw action. </w:t>
            </w:r>
            <w:r>
              <w:rPr>
                <w:rFonts w:ascii="Calibri" w:hAnsi="Calibri"/>
                <w:b/>
                <w:sz w:val="20"/>
              </w:rPr>
              <w:t>Caveat — see G7:</w:t>
            </w:r>
            <w:r>
              <w:rPr>
                <w:rFonts w:ascii="Calibri" w:hAnsi="Calibri"/>
                <w:sz w:val="20"/>
              </w:rPr>
              <w:t xml:space="preserve"> `approved_by=user_id or org_id` can record an organisation, not a person</w:t>
            </w:r>
          </w:p>
        </w:tc>
      </w:tr>
      <w:tr>
        <w:tc>
          <w:tcPr>
            <w:tcW w:type="dxa" w:w="3120"/>
          </w:tcPr>
          <w:p>
            <w:r>
              <w:rPr>
                <w:rFonts w:ascii="Calibri" w:hAnsi="Calibri"/>
                <w:sz w:val="20"/>
              </w:rPr>
            </w:r>
            <w:r>
              <w:rPr>
                <w:rFonts w:ascii="Calibri" w:hAnsi="Calibri"/>
                <w:b/>
                <w:sz w:val="20"/>
              </w:rPr>
              <w:t>ASI10</w:t>
            </w:r>
            <w:r>
              <w:rPr>
                <w:rFonts w:ascii="Calibri" w:hAnsi="Calibri"/>
                <w:sz w:val="20"/>
              </w:rPr>
              <w:t xml:space="preserve"> Rogue Agents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Operator kill switch (`services/killswitch.py`), global or per-organization, checked before every tool call; a halted run is classified `RETRYABLE` so releasing the switch and re-queuing works. Wired into both `run_agent` call sites in `coder.py`, including the repair loop. Still no behavioural baseline or per-agent owner/expiry</w:t>
            </w:r>
          </w:p>
        </w:tc>
      </w:tr>
    </w:tbl>
    <w:p>
      <w:pPr>
        <w:spacing w:after="40"/>
      </w:pPr>
    </w:p>
    <w:p>
      <w:r>
        <w:t>### 5.2 ASI01 — closed, and what it took</w:t>
      </w:r>
    </w:p>
    <w:p>
      <w:r>
        <w:t xml:space="preserve">The runtime, which reads tenant-curated documents, fenced untrusted content explicitly. </w:t>
      </w:r>
      <w:r>
        <w:rPr>
          <w:b/>
        </w:rPr>
        <w:t>The engineering plane, which reads arbitrary third-party repositories, did not.</w:t>
      </w:r>
      <w:r>
        <w:t xml:space="preserve"> With `coding_agent` carrying `workspace.write`, the chain was:</w:t>
      </w:r>
    </w:p>
    <w:p>
      <w:r>
        <w:t>``` attacker commits instructions into a repo → website_analyst reads them (unfenced, read-only) → coding_agent writes code into that repo, steered by the same content → human reviews the PR → merge ```</w:t>
      </w:r>
    </w:p>
    <w:p>
      <w:r>
        <w:t>That is the Amazon Q shape. PR-only delivery was the brake, which is why ASI01 was serious rather than critical — but a brake is not a control.</w:t>
      </w:r>
    </w:p>
    <w:p>
      <w:r>
        <w:rPr>
          <w:b/>
        </w:rPr>
        <w:t>Closed by `app/core/prompting.py`.</w:t>
      </w:r>
      <w:r>
        <w:t xml:space="preserve"> Three things made it stick rather than decorate:</w:t>
      </w:r>
    </w:p>
    <w:p>
      <w:pPr>
        <w:pStyle w:val="ListNumber"/>
      </w:pPr>
      <w:r>
        <w:rPr>
          <w:b/>
        </w:rPr>
        <w:t>Fenced at the boundary, not the call site.</w:t>
      </w:r>
      <w:r>
        <w:t xml:space="preserve"> `_observation()` in the harness is the single</w:t>
      </w:r>
    </w:p>
    <w:p>
      <w:r>
        <w:t>place a tool result becomes model-visible text. Fencing there means a new agent or tool inherits the control instead of having to remember it. This is the WET lesson applied.</w:t>
      </w:r>
    </w:p>
    <w:p>
      <w:pPr>
        <w:pStyle w:val="ListNumber"/>
      </w:pPr>
      <w:r>
        <w:rPr>
          <w:b/>
        </w:rPr>
        <w:t>The payload cannot forge a delimiter.</w:t>
      </w:r>
      <w:r>
        <w:t xml:space="preserve"> Angle brackets are defanged to `‹ ›`. Only those</w:t>
      </w:r>
    </w:p>
    <w:p>
      <w:r>
        <w:t>characters, so code and paths stay readable — fencing that broke the product would have been worse than none.</w:t>
      </w:r>
    </w:p>
    <w:p>
      <w:pPr>
        <w:pStyle w:val="ListNumber"/>
      </w:pPr>
      <w:r>
        <w:rPr>
          <w:b/>
        </w:rPr>
        <w:t>Both planes call one function.</w:t>
      </w:r>
      <w:r>
        <w:t xml:space="preserve"> The runtime's inline `CONTEXT (...)` fence was deleted</w:t>
      </w:r>
    </w:p>
    <w:p>
      <w:r>
        <w:t>and replaced by a call to the shared helper, so the two cannot drift again.</w:t>
      </w:r>
    </w:p>
    <w:p>
      <w:r>
        <w:t xml:space="preserve">Errors are deliberately </w:t>
      </w:r>
      <w:r>
        <w:rPr>
          <w:b/>
        </w:rPr>
        <w:t>not</w:t>
      </w:r>
      <w:r>
        <w:t xml:space="preserve"> fenced: they come from our own code, not the untrusted source, and fencing them would train the model to distrust our diagnostics.</w:t>
      </w:r>
    </w:p>
    <w:p>
      <w:r>
        <w:t>17 tests cover it, most of them attack cases — a payload containing the closing delimiter, a payload opening a second fence, and a classic `IGNORE ALL PREVIOUS INSTRUCTIONS` string that must survive as data rather than as instruction.</w:t>
      </w:r>
    </w:p>
    <w:p>
      <w:r>
        <w:t>### 5.3 The nine agent components, applied to this plane</w:t>
      </w:r>
    </w:p>
    <w:p>
      <w:r>
        <w:t xml:space="preserve">The nine-component model describes an agent at </w:t>
      </w:r>
      <w:r>
        <w:rPr>
          <w:b/>
        </w:rPr>
        <w:t>inference time</w:t>
      </w:r>
      <w:r>
        <w:t xml:space="preserve">. The engineering plane is a </w:t>
      </w:r>
      <w:r>
        <w:rPr>
          <w:b/>
        </w:rPr>
        <w:t>batch pipeline</w:t>
      </w:r>
      <w:r>
        <w:t xml:space="preserve"> that runs per integration, leaves a durable run record, and ends in a reviewed PR. The same checklist therefore yields different answers here than for the runtime.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w:t>
            </w:r>
          </w:p>
        </w:tc>
        <w:tc>
          <w:tcPr>
            <w:tcW w:type="dxa" w:w="3120"/>
            <w:shd w:val="clear" w:fill="1F3864"/>
          </w:tcPr>
          <w:p>
            <w:r>
              <w:rPr>
                <w:rFonts w:ascii="Calibri" w:hAnsi="Calibri"/>
                <w:b/>
                <w:color w:val="FFFFFF"/>
                <w:sz w:val="20"/>
              </w:rPr>
            </w:r>
            <w:r>
              <w:rPr>
                <w:rFonts w:ascii="Calibri" w:hAnsi="Calibri"/>
                <w:b/>
                <w:color w:val="FFFFFF"/>
                <w:sz w:val="20"/>
              </w:rPr>
              <w:t>Component</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1</w:t>
            </w:r>
          </w:p>
        </w:tc>
        <w:tc>
          <w:tcPr>
            <w:tcW w:type="dxa" w:w="3120"/>
          </w:tcPr>
          <w:p>
            <w:r>
              <w:rPr>
                <w:rFonts w:ascii="Calibri" w:hAnsi="Calibri"/>
                <w:sz w:val="20"/>
              </w:rPr>
            </w:r>
            <w:r>
              <w:rPr>
                <w:rFonts w:ascii="Calibri" w:hAnsi="Calibri"/>
                <w:sz w:val="20"/>
              </w:rPr>
              <w:t>Memory &amp; State</w:t>
            </w:r>
          </w:p>
        </w:tc>
        <w:tc>
          <w:tcPr>
            <w:tcW w:type="dxa" w:w="3120"/>
          </w:tcPr>
          <w:p>
            <w:r>
              <w:rPr>
                <w:rFonts w:ascii="Calibri" w:hAnsi="Calibri"/>
                <w:sz w:val="20"/>
              </w:rPr>
            </w:r>
            <w:r>
              <w:rPr>
                <w:rFonts w:ascii="Calibri" w:hAnsi="Calibri"/>
                <w:sz w:val="20"/>
              </w:rPr>
              <w:t xml:space="preserve">🟢 </w:t>
            </w:r>
            <w:r>
              <w:rPr>
                <w:rFonts w:ascii="Calibri" w:hAnsi="Calibri"/>
                <w:b/>
                <w:sz w:val="20"/>
              </w:rPr>
              <w:t>Present, different form.</w:t>
            </w:r>
            <w:r>
              <w:rPr>
                <w:rFonts w:ascii="Calibri" w:hAnsi="Calibri"/>
                <w:sz w:val="20"/>
              </w:rPr>
              <w:t xml:space="preserve"> `AgentRun` + `AgentToolCall` + `IntegrationRun` is durable auditable state rather than agent memory — better suited to a pipeline that must leave evidence</w:t>
            </w:r>
          </w:p>
        </w:tc>
      </w:tr>
      <w:tr>
        <w:tc>
          <w:tcPr>
            <w:tcW w:type="dxa" w:w="3120"/>
          </w:tcPr>
          <w:p>
            <w:r>
              <w:rPr>
                <w:rFonts w:ascii="Calibri" w:hAnsi="Calibri"/>
                <w:sz w:val="20"/>
              </w:rPr>
            </w:r>
            <w:r>
              <w:rPr>
                <w:rFonts w:ascii="Calibri" w:hAnsi="Calibri"/>
                <w:sz w:val="20"/>
              </w:rPr>
              <w:t>2</w:t>
            </w:r>
          </w:p>
        </w:tc>
        <w:tc>
          <w:tcPr>
            <w:tcW w:type="dxa" w:w="3120"/>
          </w:tcPr>
          <w:p>
            <w:r>
              <w:rPr>
                <w:rFonts w:ascii="Calibri" w:hAnsi="Calibri"/>
                <w:sz w:val="20"/>
              </w:rPr>
            </w:r>
            <w:r>
              <w:rPr>
                <w:rFonts w:ascii="Calibri" w:hAnsi="Calibri"/>
                <w:sz w:val="20"/>
              </w:rPr>
              <w:t>Orchestration</w:t>
            </w:r>
          </w:p>
        </w:tc>
        <w:tc>
          <w:tcPr>
            <w:tcW w:type="dxa" w:w="3120"/>
          </w:tcPr>
          <w:p>
            <w:r>
              <w:rPr>
                <w:rFonts w:ascii="Calibri" w:hAnsi="Calibri"/>
                <w:sz w:val="20"/>
              </w:rPr>
            </w:r>
            <w:r>
              <w:rPr>
                <w:rFonts w:ascii="Calibri" w:hAnsi="Calibri"/>
                <w:sz w:val="20"/>
              </w:rPr>
              <w:t xml:space="preserve">🟡 </w:t>
            </w:r>
            <w:r>
              <w:rPr>
                <w:rFonts w:ascii="Calibri" w:hAnsi="Calibri"/>
                <w:b/>
                <w:sz w:val="20"/>
              </w:rPr>
              <w:t>Not required, deliberately.</w:t>
            </w:r>
            <w:r>
              <w:rPr>
                <w:rFonts w:ascii="Calibri" w:hAnsi="Calibri"/>
                <w:sz w:val="20"/>
              </w:rPr>
              <w:t xml:space="preserve"> `pipeline.py` runs analyst → coder → validate → PR as a fixed sequence. Analysis is deterministic, the plan is a pure function. Dynamic orchestration would make a repeatable build *less* predictable</w:t>
            </w:r>
          </w:p>
        </w:tc>
      </w:tr>
      <w:tr>
        <w:tc>
          <w:tcPr>
            <w:tcW w:type="dxa" w:w="3120"/>
          </w:tcPr>
          <w:p>
            <w:r>
              <w:rPr>
                <w:rFonts w:ascii="Calibri" w:hAnsi="Calibri"/>
                <w:sz w:val="20"/>
              </w:rPr>
            </w:r>
            <w:r>
              <w:rPr>
                <w:rFonts w:ascii="Calibri" w:hAnsi="Calibri"/>
                <w:sz w:val="20"/>
              </w:rPr>
              <w:t>3</w:t>
            </w:r>
          </w:p>
        </w:tc>
        <w:tc>
          <w:tcPr>
            <w:tcW w:type="dxa" w:w="3120"/>
          </w:tcPr>
          <w:p>
            <w:r>
              <w:rPr>
                <w:rFonts w:ascii="Calibri" w:hAnsi="Calibri"/>
                <w:sz w:val="20"/>
              </w:rPr>
            </w:r>
            <w:r>
              <w:rPr>
                <w:rFonts w:ascii="Calibri" w:hAnsi="Calibri"/>
                <w:sz w:val="20"/>
              </w:rPr>
              <w:t>RAG</w:t>
            </w:r>
          </w:p>
        </w:tc>
        <w:tc>
          <w:tcPr>
            <w:tcW w:type="dxa" w:w="3120"/>
          </w:tcPr>
          <w:p>
            <w:r>
              <w:rPr>
                <w:rFonts w:ascii="Calibri" w:hAnsi="Calibri"/>
                <w:sz w:val="20"/>
              </w:rPr>
            </w:r>
            <w:r>
              <w:rPr>
                <w:rFonts w:ascii="Calibri" w:hAnsi="Calibri"/>
                <w:sz w:val="20"/>
              </w:rPr>
              <w:t>🟡 Partial. Deterministic `search_code` plus skill-based framework matching, not semantic retrieval over code. Correct for framework detection; *"find every use of this component across a large repo"* would want embeddings</w:t>
            </w:r>
          </w:p>
        </w:tc>
      </w:tr>
      <w:tr>
        <w:tc>
          <w:tcPr>
            <w:tcW w:type="dxa" w:w="3120"/>
          </w:tcPr>
          <w:p>
            <w:r>
              <w:rPr>
                <w:rFonts w:ascii="Calibri" w:hAnsi="Calibri"/>
                <w:sz w:val="20"/>
              </w:rPr>
            </w:r>
            <w:r>
              <w:rPr>
                <w:rFonts w:ascii="Calibri" w:hAnsi="Calibri"/>
                <w:sz w:val="20"/>
              </w:rPr>
              <w:t>4</w:t>
            </w:r>
          </w:p>
        </w:tc>
        <w:tc>
          <w:tcPr>
            <w:tcW w:type="dxa" w:w="3120"/>
          </w:tcPr>
          <w:p>
            <w:r>
              <w:rPr>
                <w:rFonts w:ascii="Calibri" w:hAnsi="Calibri"/>
                <w:sz w:val="20"/>
              </w:rPr>
            </w:r>
            <w:r>
              <w:rPr>
                <w:rFonts w:ascii="Calibri" w:hAnsi="Calibri"/>
                <w:b/>
                <w:sz w:val="20"/>
              </w:rPr>
              <w:t>Harness</w:t>
            </w:r>
          </w:p>
        </w:tc>
        <w:tc>
          <w:tcPr>
            <w:tcW w:type="dxa" w:w="3120"/>
          </w:tcPr>
          <w:p>
            <w:r>
              <w:rPr>
                <w:rFonts w:ascii="Calibri" w:hAnsi="Calibri"/>
                <w:sz w:val="20"/>
              </w:rPr>
            </w:r>
            <w:r>
              <w:rPr>
                <w:rFonts w:ascii="Calibri" w:hAnsi="Calibri"/>
                <w:sz w:val="20"/>
              </w:rPr>
              <w:t xml:space="preserve">🟢 </w:t>
            </w:r>
            <w:r>
              <w:rPr>
                <w:rFonts w:ascii="Calibri" w:hAnsi="Calibri"/>
                <w:b/>
                <w:sz w:val="20"/>
              </w:rPr>
              <w:t>Mature — the strongest component in the product</w:t>
            </w:r>
          </w:p>
        </w:tc>
      </w:tr>
      <w:tr>
        <w:tc>
          <w:tcPr>
            <w:tcW w:type="dxa" w:w="3120"/>
          </w:tcPr>
          <w:p>
            <w:r>
              <w:rPr>
                <w:rFonts w:ascii="Calibri" w:hAnsi="Calibri"/>
                <w:sz w:val="20"/>
              </w:rPr>
            </w:r>
            <w:r>
              <w:rPr>
                <w:rFonts w:ascii="Calibri" w:hAnsi="Calibri"/>
                <w:sz w:val="20"/>
              </w:rPr>
              <w:t>5</w:t>
            </w:r>
          </w:p>
        </w:tc>
        <w:tc>
          <w:tcPr>
            <w:tcW w:type="dxa" w:w="3120"/>
          </w:tcPr>
          <w:p>
            <w:r>
              <w:rPr>
                <w:rFonts w:ascii="Calibri" w:hAnsi="Calibri"/>
                <w:sz w:val="20"/>
              </w:rPr>
            </w:r>
            <w:r>
              <w:rPr>
                <w:rFonts w:ascii="Calibri" w:hAnsi="Calibri"/>
                <w:b/>
                <w:sz w:val="20"/>
              </w:rPr>
              <w:t>Evals</w:t>
            </w:r>
          </w:p>
        </w:tc>
        <w:tc>
          <w:tcPr>
            <w:tcW w:type="dxa" w:w="3120"/>
          </w:tcPr>
          <w:p>
            <w:r>
              <w:rPr>
                <w:rFonts w:ascii="Calibri" w:hAnsi="Calibri"/>
                <w:sz w:val="20"/>
              </w:rPr>
            </w:r>
            <w:r>
              <w:rPr>
                <w:rFonts w:ascii="Calibri" w:hAnsi="Calibri"/>
                <w:sz w:val="20"/>
              </w:rPr>
              <w:t xml:space="preserve">🔴 </w:t>
            </w:r>
            <w:r>
              <w:rPr>
                <w:rFonts w:ascii="Calibri" w:hAnsi="Calibri"/>
                <w:b/>
                <w:sz w:val="20"/>
              </w:rPr>
              <w:t>The sharpest gap — see G6</w:t>
            </w:r>
          </w:p>
        </w:tc>
      </w:tr>
      <w:tr>
        <w:tc>
          <w:tcPr>
            <w:tcW w:type="dxa" w:w="3120"/>
          </w:tcPr>
          <w:p>
            <w:r>
              <w:rPr>
                <w:rFonts w:ascii="Calibri" w:hAnsi="Calibri"/>
                <w:sz w:val="20"/>
              </w:rPr>
            </w:r>
            <w:r>
              <w:rPr>
                <w:rFonts w:ascii="Calibri" w:hAnsi="Calibri"/>
                <w:sz w:val="20"/>
              </w:rPr>
              <w:t>6</w:t>
            </w:r>
          </w:p>
        </w:tc>
        <w:tc>
          <w:tcPr>
            <w:tcW w:type="dxa" w:w="3120"/>
          </w:tcPr>
          <w:p>
            <w:r>
              <w:rPr>
                <w:rFonts w:ascii="Calibri" w:hAnsi="Calibri"/>
                <w:sz w:val="20"/>
              </w:rPr>
            </w:r>
            <w:r>
              <w:rPr>
                <w:rFonts w:ascii="Calibri" w:hAnsi="Calibri"/>
                <w:sz w:val="20"/>
              </w:rPr>
              <w:t>MCP</w:t>
            </w:r>
          </w:p>
        </w:tc>
        <w:tc>
          <w:tcPr>
            <w:tcW w:type="dxa" w:w="3120"/>
          </w:tcPr>
          <w:p>
            <w:r>
              <w:rPr>
                <w:rFonts w:ascii="Calibri" w:hAnsi="Calibri"/>
                <w:sz w:val="20"/>
              </w:rPr>
            </w:r>
            <w:r>
              <w:rPr>
                <w:rFonts w:ascii="Calibri" w:hAnsi="Calibri"/>
                <w:sz w:val="20"/>
              </w:rPr>
              <w:t>⚪ Not required. Four first-party tools create no interoperability problem</w:t>
            </w:r>
          </w:p>
        </w:tc>
      </w:tr>
      <w:tr>
        <w:tc>
          <w:tcPr>
            <w:tcW w:type="dxa" w:w="3120"/>
          </w:tcPr>
          <w:p>
            <w:r>
              <w:rPr>
                <w:rFonts w:ascii="Calibri" w:hAnsi="Calibri"/>
                <w:sz w:val="20"/>
              </w:rPr>
            </w:r>
            <w:r>
              <w:rPr>
                <w:rFonts w:ascii="Calibri" w:hAnsi="Calibri"/>
                <w:sz w:val="20"/>
              </w:rPr>
              <w:t>7</w:t>
            </w:r>
          </w:p>
        </w:tc>
        <w:tc>
          <w:tcPr>
            <w:tcW w:type="dxa" w:w="3120"/>
          </w:tcPr>
          <w:p>
            <w:r>
              <w:rPr>
                <w:rFonts w:ascii="Calibri" w:hAnsi="Calibri"/>
                <w:sz w:val="20"/>
              </w:rPr>
            </w:r>
            <w:r>
              <w:rPr>
                <w:rFonts w:ascii="Calibri" w:hAnsi="Calibri"/>
                <w:sz w:val="20"/>
              </w:rPr>
              <w:t>Skills</w:t>
            </w:r>
          </w:p>
        </w:tc>
        <w:tc>
          <w:tcPr>
            <w:tcW w:type="dxa" w:w="3120"/>
          </w:tcPr>
          <w:p>
            <w:r>
              <w:rPr>
                <w:rFonts w:ascii="Calibri" w:hAnsi="Calibri"/>
                <w:sz w:val="20"/>
              </w:rPr>
            </w:r>
            <w:r>
              <w:rPr>
                <w:rFonts w:ascii="Calibri" w:hAnsi="Calibri"/>
                <w:sz w:val="20"/>
              </w:rPr>
              <w:t xml:space="preserve">🟢 </w:t>
            </w:r>
            <w:r>
              <w:rPr>
                <w:rFonts w:ascii="Calibri" w:hAnsi="Calibri"/>
                <w:b/>
                <w:sz w:val="20"/>
              </w:rPr>
              <w:t>Genuinely well done</w:t>
            </w:r>
            <w:r>
              <w:rPr>
                <w:rFonts w:ascii="Calibri" w:hAnsi="Calibri"/>
                <w:sz w:val="20"/>
              </w:rPr>
              <w:t xml:space="preserve"> — progressive disclosure, versions pinned per run, </w:t>
            </w:r>
            <w:r>
              <w:rPr>
                <w:rFonts w:ascii="Calibri" w:hAnsi="Calibri"/>
                <w:b/>
                <w:sz w:val="20"/>
              </w:rPr>
              <w:t>and CI validates them</w:t>
            </w:r>
          </w:p>
        </w:tc>
      </w:tr>
      <w:tr>
        <w:tc>
          <w:tcPr>
            <w:tcW w:type="dxa" w:w="3120"/>
          </w:tcPr>
          <w:p>
            <w:r>
              <w:rPr>
                <w:rFonts w:ascii="Calibri" w:hAnsi="Calibri"/>
                <w:sz w:val="20"/>
              </w:rPr>
            </w:r>
            <w:r>
              <w:rPr>
                <w:rFonts w:ascii="Calibri" w:hAnsi="Calibri"/>
                <w:sz w:val="20"/>
              </w:rPr>
              <w:t>8</w:t>
            </w:r>
          </w:p>
        </w:tc>
        <w:tc>
          <w:tcPr>
            <w:tcW w:type="dxa" w:w="3120"/>
          </w:tcPr>
          <w:p>
            <w:r>
              <w:rPr>
                <w:rFonts w:ascii="Calibri" w:hAnsi="Calibri"/>
                <w:sz w:val="20"/>
              </w:rPr>
            </w:r>
            <w:r>
              <w:rPr>
                <w:rFonts w:ascii="Calibri" w:hAnsi="Calibri"/>
                <w:sz w:val="20"/>
              </w:rPr>
              <w:t>A2A</w:t>
            </w:r>
          </w:p>
        </w:tc>
        <w:tc>
          <w:tcPr>
            <w:tcW w:type="dxa" w:w="3120"/>
          </w:tcPr>
          <w:p>
            <w:r>
              <w:rPr>
                <w:rFonts w:ascii="Calibri" w:hAnsi="Calibri"/>
                <w:sz w:val="20"/>
              </w:rPr>
            </w:r>
            <w:r>
              <w:rPr>
                <w:rFonts w:ascii="Calibri" w:hAnsi="Calibri"/>
                <w:sz w:val="20"/>
              </w:rPr>
              <w:t>⚪ Not required. Cross-vendor federation only</w:t>
            </w:r>
          </w:p>
        </w:tc>
      </w:tr>
      <w:tr>
        <w:tc>
          <w:tcPr>
            <w:tcW w:type="dxa" w:w="3120"/>
          </w:tcPr>
          <w:p>
            <w:r>
              <w:rPr>
                <w:rFonts w:ascii="Calibri" w:hAnsi="Calibri"/>
                <w:sz w:val="20"/>
              </w:rPr>
            </w:r>
            <w:r>
              <w:rPr>
                <w:rFonts w:ascii="Calibri" w:hAnsi="Calibri"/>
                <w:sz w:val="20"/>
              </w:rPr>
              <w:t>9</w:t>
            </w:r>
          </w:p>
        </w:tc>
        <w:tc>
          <w:tcPr>
            <w:tcW w:type="dxa" w:w="3120"/>
          </w:tcPr>
          <w:p>
            <w:r>
              <w:rPr>
                <w:rFonts w:ascii="Calibri" w:hAnsi="Calibri"/>
                <w:sz w:val="20"/>
              </w:rPr>
            </w:r>
            <w:r>
              <w:rPr>
                <w:rFonts w:ascii="Calibri" w:hAnsi="Calibri"/>
                <w:sz w:val="20"/>
              </w:rPr>
              <w:t>Multi-Agent</w:t>
            </w:r>
          </w:p>
        </w:tc>
        <w:tc>
          <w:tcPr>
            <w:tcW w:type="dxa" w:w="3120"/>
          </w:tcPr>
          <w:p>
            <w:r>
              <w:rPr>
                <w:rFonts w:ascii="Calibri" w:hAnsi="Calibri"/>
                <w:sz w:val="20"/>
              </w:rPr>
            </w:r>
            <w:r>
              <w:rPr>
                <w:rFonts w:ascii="Calibri" w:hAnsi="Calibri"/>
                <w:sz w:val="20"/>
              </w:rPr>
              <w:t xml:space="preserve">🟡 </w:t>
            </w:r>
            <w:r>
              <w:rPr>
                <w:rFonts w:ascii="Calibri" w:hAnsi="Calibri"/>
                <w:b/>
                <w:sz w:val="20"/>
              </w:rPr>
              <w:t>Emerging.</w:t>
            </w:r>
            <w:r>
              <w:rPr>
                <w:rFonts w:ascii="Calibri" w:hAnsi="Calibri"/>
                <w:sz w:val="20"/>
              </w:rPr>
              <w:t xml:space="preserve"> Analyst and coder already share task state and context, but are *sequenced, not collaborating*</w:t>
            </w:r>
          </w:p>
        </w:tc>
      </w:tr>
    </w:tbl>
    <w:p>
      <w:pPr>
        <w:spacing w:after="40"/>
      </w:pPr>
    </w:p>
    <w:p>
      <w:r>
        <w:rPr>
          <w:b/>
        </w:rPr>
        <w:t>Required and present: 3 of 5. Required and missing: evals. Not required: orchestration, MCP, A2A.</w:t>
      </w:r>
    </w:p>
    <w:p>
      <w:r>
        <w:t>### 5.4 Keep the two agents as colleagues</w:t>
      </w:r>
    </w:p>
    <w:p>
      <w:r>
        <w:t xml:space="preserve">The current arrangement — `website_analyst` (read-only) → `coding_agent` (write-capable), sequenced through the pipeline with shared task state — </w:t>
      </w:r>
      <w:r>
        <w:rPr>
          <w:b/>
        </w:rPr>
        <w:t>should be kept as is.</w:t>
      </w:r>
      <w:r>
        <w:t xml:space="preserve"> It matches component 9's *"shared tasks, context"* without importing the part that would require ASI07: direct agent-to-agent messaging, discovery, and mutual authentication.</w:t>
      </w:r>
    </w:p>
    <w:p>
      <w:r>
        <w:t xml:space="preserve">The gap worth closing is not collaboration. It is </w:t>
      </w:r>
      <w:r>
        <w:rPr>
          <w:b/>
        </w:rPr>
        <w:t>eval coverage asymmetry</w:t>
      </w:r>
      <w:r>
        <w:t>: the read-only agent has evals, and the agent that writes code does not.</w:t>
      </w: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A2A)</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sz w:val="20"/>
              </w:rPr>
              <w:t>Engineering harness &amp; skills</w:t>
            </w:r>
          </w:p>
        </w:tc>
        <w:tc>
          <w:tcPr>
            <w:tcW w:type="dxa" w:w="4680"/>
          </w:tcPr>
          <w:p>
            <w:r>
              <w:rPr>
                <w:rFonts w:ascii="Calibri" w:hAnsi="Calibri"/>
                <w:sz w:val="20"/>
              </w:rPr>
            </w:r>
            <w:r>
              <w:rPr>
                <w:rFonts w:ascii="Calibri" w:hAnsi="Calibri"/>
                <w:sz w:val="20"/>
              </w:rPr>
              <w:t xml:space="preserve">🟢 </w:t>
            </w:r>
            <w:r>
              <w:rPr>
                <w:rFonts w:ascii="Calibri" w:hAnsi="Calibri"/>
                <w:b/>
                <w:sz w:val="20"/>
              </w:rPr>
              <w:t>Mature — strongest area</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 absent for the write-capable agent</w:t>
            </w:r>
          </w:p>
        </w:tc>
      </w:tr>
      <w:tr>
        <w:tc>
          <w:tcPr>
            <w:tcW w:type="dxa" w:w="4680"/>
          </w:tcPr>
          <w:p>
            <w:r>
              <w:rPr>
                <w:rFonts w:ascii="Calibri" w:hAnsi="Calibri"/>
                <w:sz w:val="20"/>
              </w:rPr>
            </w:r>
            <w:r>
              <w:rPr>
                <w:rFonts w:ascii="Calibri" w:hAnsi="Calibri"/>
                <w:b/>
                <w:sz w:val="20"/>
              </w:rPr>
              <w:t>Stopping a run — ASI08/ASI10</w:t>
            </w:r>
          </w:p>
        </w:tc>
        <w:tc>
          <w:tcPr>
            <w:tcW w:type="dxa" w:w="4680"/>
          </w:tcPr>
          <w:p>
            <w:r>
              <w:rPr>
                <w:rFonts w:ascii="Calibri" w:hAnsi="Calibri"/>
                <w:sz w:val="20"/>
              </w:rPr>
            </w:r>
            <w:r>
              <w:rPr>
                <w:rFonts w:ascii="Calibri" w:hAnsi="Calibri"/>
                <w:sz w:val="20"/>
              </w:rPr>
              <w:t xml:space="preserve">🟡 </w:t>
            </w:r>
            <w:r>
              <w:rPr>
                <w:rFonts w:ascii="Calibri" w:hAnsi="Calibri"/>
                <w:b/>
                <w:sz w:val="20"/>
              </w:rPr>
              <w:t>Kill switch + circuit breaker shipped</w:t>
            </w:r>
            <w:r>
              <w:rPr>
                <w:rFonts w:ascii="Calibri" w:hAnsi="Calibri"/>
                <w:sz w:val="20"/>
              </w:rPr>
              <w:t>; no behavioural baseline</w:t>
            </w:r>
          </w:p>
        </w:tc>
      </w:tr>
      <w:tr>
        <w:tc>
          <w:tcPr>
            <w:tcW w:type="dxa" w:w="4680"/>
          </w:tcPr>
          <w:p>
            <w:r>
              <w:rPr>
                <w:rFonts w:ascii="Calibri" w:hAnsi="Calibri"/>
                <w:sz w:val="20"/>
              </w:rPr>
            </w:r>
            <w:r>
              <w:rPr>
                <w:rFonts w:ascii="Calibri" w:hAnsi="Calibri"/>
                <w:b/>
                <w:sz w:val="20"/>
              </w:rPr>
              <w:t>Untrusted-content fencing — ASI01</w:t>
            </w:r>
          </w:p>
        </w:tc>
        <w:tc>
          <w:tcPr>
            <w:tcW w:type="dxa" w:w="4680"/>
          </w:tcPr>
          <w:p>
            <w:r>
              <w:rPr>
                <w:rFonts w:ascii="Calibri" w:hAnsi="Calibri"/>
                <w:sz w:val="20"/>
              </w:rPr>
            </w:r>
            <w:r>
              <w:rPr>
                <w:rFonts w:ascii="Calibri" w:hAnsi="Calibri"/>
                <w:sz w:val="20"/>
              </w:rPr>
              <w:t xml:space="preserve">🟢 </w:t>
            </w:r>
            <w:r>
              <w:rPr>
                <w:rFonts w:ascii="Calibri" w:hAnsi="Calibri"/>
                <w:b/>
                <w:sz w:val="20"/>
              </w:rPr>
              <w:t>Closed</w:t>
            </w:r>
            <w:r>
              <w:rPr>
                <w:rFonts w:ascii="Calibri" w:hAnsi="Calibri"/>
                <w:sz w:val="20"/>
              </w:rPr>
              <w:t xml:space="preserve"> — one shared implementation, both planes</w:t>
            </w:r>
          </w:p>
        </w:tc>
      </w:tr>
    </w:tbl>
    <w:p>
      <w:pPr>
        <w:spacing w:after="40"/>
      </w:pPr>
    </w:p>
    <w:p>
      <w:r>
        <w:rPr>
          <w:b/>
        </w:rPr>
        <w:t>Summary: strong on controls, weak on assurance.</w:t>
      </w:r>
      <w:r>
        <w:t xml:space="preserve"> The architecture is sound. The deficit is the ability to *prove* it keeps working, and to *notice* when it does not.</w:t>
      </w:r>
    </w:p>
    <w:p>
      <w:r>
        <w:t xml:space="preserve">Three of the four original red rows are now closed: ASI01 (fencing), ASI05 (sandbox), and the stopping half of ASI08/ASI10. What remains red is </w:t>
      </w:r>
      <w:r>
        <w:rPr>
          <w:b/>
        </w:rPr>
        <w:t>assurance</w:t>
      </w:r>
      <w:r>
        <w:t xml:space="preserve"> — evals exist for the read-only agent and not for the one that writes code, and there is no behavioural baseline. The engineering plane is now </w:t>
      </w:r>
      <w:r>
        <w:rPr>
          <w:b/>
        </w:rPr>
        <w:t>constrained, fenced, and stoppable</w:t>
      </w:r>
      <w:r>
        <w:t xml:space="preserve">; it is not yet </w:t>
      </w:r>
      <w:r>
        <w:rPr>
          <w:b/>
        </w:rPr>
        <w:t>observable</w:t>
      </w:r>
      <w:r>
        <w:t>.</w:t>
      </w:r>
    </w:p>
    <w:p>
      <w:r>
        <w:t>---</w:t>
      </w:r>
    </w:p>
    <w:p>
      <w:pPr>
        <w:pStyle w:val="Heading1"/>
      </w:pPr>
      <w:r>
        <w:t>9. Gaps, ranked</w:t>
      </w:r>
    </w:p>
    <w:p>
      <w:r>
        <w:t>### G1 — Evals · 🔴 High</w:t>
      </w:r>
    </w:p>
    <w:p>
      <w:r>
        <w:t xml:space="preserve">9 cases, engineering plane only, </w:t>
      </w:r>
      <w:r>
        <w:rPr>
          <w:b/>
        </w:rPr>
        <w:t>not referenced in `.github/workflows/ci.yml`</w:t>
      </w:r>
      <w:r>
        <w:t>. NIST's March 2026 work on automated benchmark evaluation is expected to define how agent assurance is measured. The K Hotels work items K3–K7 are all runtime behaviour with no regression net.</w:t>
      </w:r>
    </w:p>
    <w:p>
      <w:r>
        <w:rPr>
          <w:b/>
        </w:rPr>
        <w:t>Remedy:</w:t>
      </w:r>
      <w:r>
        <w:t xml:space="preserve"> `TODO-KHOTELS-EVOLUTION.md` K7, moved ahead of K3.</w:t>
      </w:r>
    </w:p>
    <w:p>
      <w:r>
        <w:t xml:space="preserve">### G2 — Sandbox · ✅ </w:t>
      </w:r>
      <w:r>
        <w:rPr>
          <w:b/>
        </w:rPr>
        <w:t>Closed since first assessment</w:t>
      </w:r>
    </w:p>
    <w:p>
      <w:r>
        <w:t xml:space="preserve">ASI05 was originally recorded here as a gap on the strength of this repo's own hazard note (*"path-checked dir only"*). Reading `sandbox.py` directly contradicts it. The module states at `:65-66` that it has *"no process, filesystem or network isolation"* and therefore </w:t>
      </w:r>
      <w:r>
        <w:rPr>
          <w:b/>
        </w:rPr>
        <w:t>refuses `run()`</w:t>
      </w:r>
      <w:r>
        <w:t xml:space="preserve"> — refusing the dangerous capability rather than half-implementing it. That is a stronger position than a nominal sandbox, and it is what ASI05 actually asks for.</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 G6 — No evals for `coding_agent` · 🔴 High · *new*</w:t>
      </w:r>
    </w:p>
    <w:p>
      <w:r>
        <w:t xml:space="preserve">`app/evals/` covers `website_analyst` only. `coding_agent` — which carries `workspace.write` and whose output becomes a pull request into a customer's repository — has </w:t>
      </w:r>
      <w:r>
        <w:rPr>
          <w:b/>
        </w:rPr>
        <w:t>no eval case type at all</w:t>
      </w:r>
      <w:r>
        <w:t>. Assurance currently sits on the agent that cannot cause damage and not on the one that can.</w:t>
      </w:r>
    </w:p>
    <w:p>
      <w:r>
        <w:t>This is distinct from G1. G1 is *the gate does not run*; G6 is *the most dangerous agent has no cases to run*. Both are prerequisites for ADR-003.</w:t>
      </w:r>
    </w:p>
    <w:p>
      <w:r>
        <w:rPr>
          <w:b/>
        </w:rPr>
        <w:t>Remedy:</w:t>
      </w:r>
      <w:r>
        <w:t xml:space="preserve"> eval cases asserting the coder writes only to approved paths, respects the `ApprovedPlan`, reports every modified file in `CodingAgentOutput`, and leaves the repo parseable — plus the repair loop terminating rather than oscillating.</w:t>
      </w:r>
    </w:p>
    <w:p>
      <w:r>
        <w:t>### G7 — `approved_by` can be an organisation · 🟠 Medium · *new*</w:t>
      </w:r>
    </w:p>
    <w:p>
      <w:r>
        <w:t>```python</w:t>
      </w:r>
    </w:p>
    <w:p>
      <w:pPr>
        <w:pStyle w:val="Title"/>
      </w:pPr>
      <w:r>
        <w:t>pipeline.py:222-224</w:t>
      </w:r>
    </w:p>
    <w:p>
      <w:r>
        <w:t>approved_plan = ApprovedPlan(plan_id=str(run_id), approved_by=user_id or org_id) ```</w:t>
      </w:r>
    </w:p>
    <w:p>
      <w:r>
        <w:t>`ApprovedPlan` documents itself as *"proof that a human approved the plan a write tool acts on"*, but the fallback records `org_id` — an organisation, not a person. ASI09 asks for an immutable record of what was approved; this records that approval happened, but not reliably *by whom*.</w:t>
      </w:r>
    </w:p>
    <w:p>
      <w:r>
        <w:rPr>
          <w:b/>
        </w:rPr>
        <w:t>Remedy:</w:t>
      </w:r>
      <w:r>
        <w:t xml:space="preserve"> make the approver mandatory on the write path, or split the type so an automated approval is visibly distinct from a human one.</w:t>
      </w:r>
    </w:p>
    <w:p>
      <w:r>
        <w:t>### G8 — The live coding-agent path is untested · 🟠 Medium · *new*</w:t>
      </w:r>
    </w:p>
    <w:p>
      <w:r>
        <w:t>```python</w:t>
      </w:r>
    </w:p>
    <w:p>
      <w:pPr>
        <w:pStyle w:val="Title"/>
      </w:pPr>
      <w:r>
        <w:t>pipeline.py:202</w:t>
      </w:r>
    </w:p>
    <w:p>
      <w:r>
        <w:t>if gateway is not None and getattr(settings, "ENABLE_CODING_AGENT", True) and settings.APP_ENV != "test": ```</w:t>
      </w:r>
    </w:p>
    <w:p>
      <w:r>
        <w:t xml:space="preserve">The agent is </w:t>
      </w:r>
      <w:r>
        <w:rPr>
          <w:b/>
        </w:rPr>
        <w:t>disabled whenever `APP_ENV == "test"`</w:t>
      </w:r>
      <w:r>
        <w:t>. `execute_coding_agent` is covered in isolation, but the surrounding wiring — `ExecutionContext` construction, `ApprovedPlan` creation, gateway and registry assembly, and the deterministic fallback at `:245-250` — is not exercised by any test. That is precisely where a wiring mistake would ship unnoticed.</w:t>
      </w:r>
    </w:p>
    <w:p>
      <w:r>
        <w:rPr>
          <w:b/>
        </w:rPr>
        <w:t>Remedy:</w:t>
      </w:r>
      <w:r>
        <w:t xml:space="preserve"> cover the pipeline assembly with `ENABLE_CODING_AGENT=True` in tests, using a stubbed runner. The fallback path deserves a test on its own — it is the resilience story.</w:t>
      </w:r>
    </w:p>
    <w:p>
      <w:r>
        <w:t>### G9 — No behavioural baseline or per-agent lifecycle · 🟠 Medium · *new*</w:t>
      </w:r>
    </w:p>
    <w:p>
      <w:r>
        <w:t>The kill switch (G10) and circuit breaker let an operator stop a run. Neither can *detect* one going wrong on its own: there is no alert on deviation from normal, no per-agent owner, and no expiry. ASI10's remaining scope after G10.</w:t>
      </w:r>
    </w:p>
    <w:p>
      <w:r>
        <w:t>`AgentRegistry` holds static singletons with no owner field and no expiry, and `AgentRun` gives perfect after-the-fact forensics — so the gap is alerting, not evidence.</w:t>
      </w:r>
    </w:p>
    <w:p>
      <w:r>
        <w:rPr>
          <w:b/>
        </w:rPr>
        <w:t>Remedy:</w:t>
      </w:r>
      <w:r>
        <w:t xml:space="preserve"> alert on circuit-breaker trips and kill-switch engagements (both already log at `WARNING`); give each `AgentDefinition` an owner and a review cadence.</w:t>
      </w:r>
    </w:p>
    <w:p>
      <w:r>
        <w:t xml:space="preserve">### G10 — Kill switch and circuit breaker · ✅ </w:t>
      </w:r>
      <w:r>
        <w:rPr>
          <w:b/>
        </w:rPr>
        <w:t>Closed 2026-10-11</w:t>
      </w:r>
    </w:p>
    <w:p>
      <w:r>
        <w:t xml:space="preserve">`app/harness/halt.py` (pure, no I/O) plus `app/services/killswitch.py` (Redis-backed). Checked </w:t>
      </w:r>
      <w:r>
        <w:rPr>
          <w:b/>
        </w:rPr>
        <w:t>before every tool call</w:t>
      </w:r>
      <w:r>
        <w:t>, not once per run, so an operator does not wait out the current step. Wired into both `run_agent` call sites in `coder.py`, including the repair loop — the ASI08 cascade shape.</w:t>
      </w:r>
    </w:p>
    <w:p>
      <w:r>
        <w:t>Two design decisions worth preserving:</w:t>
      </w:r>
    </w:p>
    <w:p>
      <w:pPr>
        <w:pStyle w:val="ListBullet"/>
      </w:pPr>
      <w:r>
        <w:rPr>
          <w:b/>
        </w:rPr>
        <w:t>Fail-open on reads, fail-closed on writes.</w:t>
      </w:r>
      <w:r>
        <w:t xml:space="preserve"> If Redis is unreachable, `is_halted` logs and</w:t>
      </w:r>
    </w:p>
    <w:p>
      <w:r>
        <w:t>returns `None` (runs proceed) but `halt_global` raises `KillswitchUnavailable`. A kill switch that silently no-ops is worse than one that is visibly broken.</w:t>
      </w:r>
    </w:p>
    <w:p>
      <w:pPr>
        <w:pStyle w:val="ListBullet"/>
      </w:pPr>
      <w:r>
        <w:rPr>
          <w:b/>
        </w:rPr>
        <w:t>Halting is `RETRYABLE`, tripping the breaker is `TERMINAL`.</w:t>
      </w:r>
      <w:r>
        <w:t xml:space="preserve"> Releasing the switch and</w:t>
      </w:r>
    </w:p>
    <w:p>
      <w:r>
        <w:t>re-queuing is the intended operator response; re-running a breaker trip immediately would just repeat the loop.</w:t>
      </w:r>
    </w:p>
    <w:p>
      <w:r>
        <w:t>Redis was chosen over a table because ARQ already requires it, so no new infrastructure is introduced. The tradeoff — a Redis restart clears the switches — is the correct failure direction: a resolved incident should not leave a tenant permanently unable to run agents.</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 or a new agent</w:t>
      </w:r>
      <w:r>
        <w:t>, read §5.2. Repository content is the</w:t>
      </w:r>
    </w:p>
    <w:p>
      <w:r>
        <w:t>EchoLeak vector and is currently unfenced.</w:t>
      </w:r>
    </w:p>
    <w:p>
      <w:pPr>
        <w:pStyle w:val="ListBullet"/>
      </w:pPr>
      <w:r>
        <w:rPr>
          <w:b/>
        </w:rPr>
        <w:t>Before adding skills or channel adapters</w:t>
      </w:r>
      <w:r>
        <w:t>, read §9 G6. Evals must exist first.</w:t>
      </w:r>
    </w:p>
    <w:p>
      <w:pPr>
        <w:pStyle w:val="ListBullet"/>
      </w:pPr>
      <w:r>
        <w:rPr>
          <w:b/>
        </w:rPr>
        <w:t>When quoting "industry standard"</w:t>
      </w:r>
      <w:r>
        <w:t>, quote the framework, not a blog post — and pick the</w:t>
      </w:r>
    </w:p>
    <w:p>
      <w:r>
        <w:t>framework per §1.</w:t>
      </w:r>
    </w:p>
    <w:p>
      <w:pPr>
        <w:pStyle w:val="ListBullet"/>
      </w:pPr>
      <w:r>
        <w:rPr>
          <w:b/>
        </w:rPr>
        <w:t>Scoring the two planes together produces the wrong answer.</w:t>
      </w:r>
      <w:r>
        <w:t xml:space="preserve"> §4 and §5 disagree about</w:t>
      </w:r>
    </w:p>
    <w:p>
      <w:r>
        <w:t>orchestration, MCP and multi-agent, because a chat runtime and a build pipeline are different systems. Score each on its own terms.</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 G2 is the counter-example: it was recorded as a gap from a stale note in this repo and closed on inspection.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