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DA693" w14:textId="77777777" w:rsidR="00540EA8" w:rsidRPr="00D25E68" w:rsidRDefault="00000000">
      <w:pPr>
        <w:pStyle w:val="Title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Feasible Solution: Fussion as a Multi-Tenant Business-Agent Platform, Instantiated for K Hotels</w:t>
      </w:r>
    </w:p>
    <w:p w14:paraId="3CFC13F8" w14:textId="77777777" w:rsidR="00540EA8" w:rsidRPr="00D25E68" w:rsidRDefault="00000000">
      <w:pPr>
        <w:pStyle w:val="Heading1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1. Framing</w:t>
      </w:r>
    </w:p>
    <w:p w14:paraId="2D96DE45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 xml:space="preserve">Fussion is not a chatbot product and not a K Hotels system. It is a </w:t>
      </w:r>
      <w:r w:rsidRPr="00D25E68">
        <w:rPr>
          <w:rFonts w:ascii="Times New Roman" w:hAnsi="Times New Roman" w:cs="Times New Roman"/>
          <w:b/>
        </w:rPr>
        <w:t>multi-tenant platform that deploys and operates goal-conditioned business agents</w:t>
      </w:r>
      <w:r w:rsidRPr="00D25E68">
        <w:rPr>
          <w:rFonts w:ascii="Times New Roman" w:hAnsi="Times New Roman" w:cs="Times New Roman"/>
        </w:rPr>
        <w:t xml:space="preserve">, one (or more) per tenant. K Hotels Entebbe is </w:t>
      </w:r>
      <w:r w:rsidRPr="00D25E68">
        <w:rPr>
          <w:rFonts w:ascii="Times New Roman" w:hAnsi="Times New Roman" w:cs="Times New Roman"/>
          <w:b/>
        </w:rPr>
        <w:t>Tenant #1</w:t>
      </w:r>
      <w:r w:rsidRPr="00D25E68">
        <w:rPr>
          <w:rFonts w:ascii="Times New Roman" w:hAnsi="Times New Roman" w:cs="Times New Roman"/>
        </w:rPr>
        <w:t xml:space="preserve"> — the reference tenant that proves the model. Every design decision below must satisfy two masters: solve K Hotels' two problem statements now, and keep the platform generic enough that Tenant #2 (a clinic, a school, a tour operator) onboards without platform changes.</w:t>
      </w:r>
    </w:p>
    <w:p w14:paraId="0FD9DA5B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The tenant's needs evolve; the platform's contracts stay stable. That separation is the whole architecture.</w:t>
      </w:r>
    </w:p>
    <w:p w14:paraId="339A8E01" w14:textId="77777777" w:rsidR="00540EA8" w:rsidRPr="00D25E68" w:rsidRDefault="00000000">
      <w:pPr>
        <w:pStyle w:val="Heading1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2. Platform architecture (tenant-agnostic core)</w:t>
      </w:r>
    </w:p>
    <w:p w14:paraId="4B469800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Tenant layer</w:t>
      </w:r>
      <w:r w:rsidRPr="00D25E68">
        <w:rPr>
          <w:rFonts w:ascii="Times New Roman" w:hAnsi="Times New Roman" w:cs="Times New Roman"/>
        </w:rPr>
        <w:t xml:space="preserve"> (evolves per business, no redeploy): knowledge content, custom skills, channel bindings, approval policies, budgets/quotas, branding, staff roles.</w:t>
      </w:r>
    </w:p>
    <w:p w14:paraId="6E421775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Platform core</w:t>
      </w:r>
      <w:r w:rsidRPr="00D25E68">
        <w:rPr>
          <w:rFonts w:ascii="Times New Roman" w:hAnsi="Times New Roman" w:cs="Times New Roman"/>
        </w:rPr>
        <w:t xml:space="preserve"> (shared, versioned, evolves slowly): control plane (identity, orgs, RBAC, JWT, audit); knowledge plane (ingest, extract, chunk, embed, retrieve over pgvector); model gateway (provider-agnostic LLM plus embeddings, spend caps); tool gateway (auth scoping, budgets, rate limits, audit log); agent harness (bounded execution, budgets, memory tiers); channel framework (adapter interface for ingress and egress); skills runtime (versioned SKILL.md spec, detector, sandbox validation); evals (accuracy, hallucination, escalation precision); observability (per-tenant metrics, SSE activity, cost attribution).</w:t>
      </w:r>
    </w:p>
    <w:p w14:paraId="788ACD13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Tenant lifecycle</w:t>
      </w:r>
      <w:r w:rsidRPr="00D25E68">
        <w:rPr>
          <w:rFonts w:ascii="Times New Roman" w:hAnsi="Times New Roman" w:cs="Times New Roman"/>
        </w:rPr>
        <w:t xml:space="preserve"> (all assisted-or-self-serve, no code deploy):</w:t>
      </w:r>
    </w:p>
    <w:p w14:paraId="7FEA4F8E" w14:textId="77777777" w:rsidR="00540EA8" w:rsidRPr="00D25E68" w:rsidRDefault="00000000">
      <w:pPr>
        <w:pStyle w:val="ListNumber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Onboard</w:t>
      </w:r>
      <w:r w:rsidRPr="00D25E68">
        <w:rPr>
          <w:rFonts w:ascii="Times New Roman" w:hAnsi="Times New Roman" w:cs="Times New Roman"/>
        </w:rPr>
        <w:t xml:space="preserve"> — create org, connect site/repo, load knowledge, bind channels, define goal plus policies.</w:t>
      </w:r>
    </w:p>
    <w:p w14:paraId="5AFAEBF3" w14:textId="77777777" w:rsidR="00540EA8" w:rsidRPr="00D25E68" w:rsidRDefault="00000000">
      <w:pPr>
        <w:pStyle w:val="ListNumber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Operate</w:t>
      </w:r>
      <w:r w:rsidRPr="00D25E68">
        <w:rPr>
          <w:rFonts w:ascii="Times New Roman" w:hAnsi="Times New Roman" w:cs="Times New Roman"/>
        </w:rPr>
        <w:t xml:space="preserve"> — agent runs, staff approves commitments, metrics accumulate.</w:t>
      </w:r>
    </w:p>
    <w:p w14:paraId="673AC2BC" w14:textId="77777777" w:rsidR="00540EA8" w:rsidRPr="00D25E68" w:rsidRDefault="00000000">
      <w:pPr>
        <w:pStyle w:val="ListNumber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Evolve</w:t>
      </w:r>
      <w:r w:rsidRPr="00D25E68">
        <w:rPr>
          <w:rFonts w:ascii="Times New Roman" w:hAnsi="Times New Roman" w:cs="Times New Roman"/>
        </w:rPr>
        <w:t xml:space="preserve"> — add skills, bind new channels, tune policies, raise autonomy tiers as evals justify it.</w:t>
      </w:r>
    </w:p>
    <w:p w14:paraId="544D90FE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Isolation guarantees</w:t>
      </w:r>
      <w:r w:rsidRPr="00D25E68">
        <w:rPr>
          <w:rFonts w:ascii="Times New Roman" w:hAnsi="Times New Roman" w:cs="Times New Roman"/>
        </w:rPr>
        <w:t xml:space="preserve"> (non-negotiable for multi-tenancy): org-scoped rows everywhere, per-tenant vector namespaces, per-tenant encrypted secrets (channel tokens, API keys), per-tenant spend caps. A second tenant must never see, spend, or leak through the first.</w:t>
      </w:r>
    </w:p>
    <w:p w14:paraId="3EC0534A" w14:textId="77777777" w:rsidR="00540EA8" w:rsidRPr="00D25E68" w:rsidRDefault="00000000">
      <w:pPr>
        <w:pStyle w:val="Heading1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3. K Hotels as Tenant #1: the concrete instantiation</w:t>
      </w:r>
    </w:p>
    <w:p w14:paraId="734810C0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Tenant goal (declared, measurable):</w:t>
      </w:r>
      <w:r w:rsidRPr="00D25E68">
        <w:rPr>
          <w:rFonts w:ascii="Times New Roman" w:hAnsi="Times New Roman" w:cs="Times New Roman"/>
        </w:rPr>
        <w:t xml:space="preserve"> convert enquiries into revenue — qualified bookings plus attached services (dining, events, transfers, spa).</w:t>
      </w:r>
    </w:p>
    <w:p w14:paraId="2EB791E8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Knowledge:</w:t>
      </w:r>
      <w:r w:rsidRPr="00D25E68">
        <w:rPr>
          <w:rFonts w:ascii="Times New Roman" w:hAnsi="Times New Roman" w:cs="Times New Roman"/>
        </w:rPr>
        <w:t xml:space="preserve"> rooms (48, categories, amenities), rates and seasonality, restaurant plus rooftop, conferencing, pool, spa and fitness, transfers, policies (check-in and check-out, cancellation, children), event packages. Versioned; stale-rate detection flags answers sourced from outdated chunks.</w:t>
      </w:r>
    </w:p>
    <w:p w14:paraId="53654A5F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lastRenderedPageBreak/>
        <w:t>Tenant skills:</w:t>
      </w:r>
      <w:r w:rsidRPr="00D25E68">
        <w:rPr>
          <w:rFonts w:ascii="Times New Roman" w:hAnsi="Times New Roman" w:cs="Times New Roman"/>
        </w:rPr>
        <w:t xml:space="preserve"> room-catalog, event-package builder, transfer rules, Booking.com reservation awareness (see section 4), upsell rules (for example, lake-view plus spa on stays of two or more nights).</w:t>
      </w:r>
    </w:p>
    <w:p w14:paraId="6FE2F739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Staff roles</w:t>
      </w:r>
      <w:r w:rsidRPr="00D25E68">
        <w:rPr>
          <w:rFonts w:ascii="Times New Roman" w:hAnsi="Times New Roman" w:cs="Times New Roman"/>
        </w:rPr>
        <w:t xml:space="preserve"> (front-desk operators, not an IT team): front-desk (approval queue, escalations), manager (knowledge edits, metrics, policy thresholds), vendor/Hecma (platform ops, channel health). Memberships and RBAC already exist in the backend; this is a frontend wiring task.</w:t>
      </w:r>
    </w:p>
    <w:p w14:paraId="7133484E" w14:textId="77777777" w:rsidR="00540EA8" w:rsidRPr="00D25E68" w:rsidRDefault="00000000">
      <w:pPr>
        <w:pStyle w:val="Heading1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4. Booking.com: the honest integration design</w:t>
      </w:r>
    </w:p>
    <w:p w14:paraId="5769C940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 xml:space="preserve">Fact that shapes everything: </w:t>
      </w:r>
      <w:r w:rsidRPr="00D25E68">
        <w:rPr>
          <w:rFonts w:ascii="Times New Roman" w:hAnsi="Times New Roman" w:cs="Times New Roman"/>
          <w:b/>
        </w:rPr>
        <w:t>Booking.com's Connectivity API is certified for channel managers and PMS partners, not individual properties.</w:t>
      </w:r>
      <w:r w:rsidRPr="00D25E68">
        <w:rPr>
          <w:rFonts w:ascii="Times New Roman" w:hAnsi="Times New Roman" w:cs="Times New Roman"/>
        </w:rPr>
        <w:t xml:space="preserve"> K Hotels having an extranet account does not equal API access. So the integration is tiered — each tier feasible, in this order: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40EA8" w:rsidRPr="00D25E68" w14:paraId="12512B2B" w14:textId="77777777">
        <w:trPr>
          <w:jc w:val="center"/>
        </w:trPr>
        <w:tc>
          <w:tcPr>
            <w:tcW w:w="2340" w:type="dxa"/>
            <w:shd w:val="clear" w:color="auto" w:fill="1F3864"/>
          </w:tcPr>
          <w:p w14:paraId="105A9244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b/>
                <w:color w:val="FFFFFF"/>
                <w:sz w:val="20"/>
              </w:rPr>
              <w:t>Tier</w:t>
            </w:r>
          </w:p>
        </w:tc>
        <w:tc>
          <w:tcPr>
            <w:tcW w:w="2340" w:type="dxa"/>
            <w:shd w:val="clear" w:color="auto" w:fill="1F3864"/>
          </w:tcPr>
          <w:p w14:paraId="7DA9F166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b/>
                <w:color w:val="FFFFFF"/>
                <w:sz w:val="20"/>
              </w:rPr>
              <w:t>What</w:t>
            </w:r>
          </w:p>
        </w:tc>
        <w:tc>
          <w:tcPr>
            <w:tcW w:w="2340" w:type="dxa"/>
            <w:shd w:val="clear" w:color="auto" w:fill="1F3864"/>
          </w:tcPr>
          <w:p w14:paraId="7B9EC6D2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b/>
                <w:color w:val="FFFFFF"/>
                <w:sz w:val="20"/>
              </w:rPr>
              <w:t>Feasibility</w:t>
            </w:r>
          </w:p>
        </w:tc>
        <w:tc>
          <w:tcPr>
            <w:tcW w:w="2340" w:type="dxa"/>
            <w:shd w:val="clear" w:color="auto" w:fill="1F3864"/>
          </w:tcPr>
          <w:p w14:paraId="153E4E5E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b/>
                <w:color w:val="FFFFFF"/>
                <w:sz w:val="20"/>
              </w:rPr>
              <w:t>Covers</w:t>
            </w:r>
          </w:p>
        </w:tc>
      </w:tr>
      <w:tr w:rsidR="00540EA8" w:rsidRPr="00D25E68" w14:paraId="11F3FBBA" w14:textId="77777777">
        <w:trPr>
          <w:jc w:val="center"/>
        </w:trPr>
        <w:tc>
          <w:tcPr>
            <w:tcW w:w="2340" w:type="dxa"/>
          </w:tcPr>
          <w:p w14:paraId="4EF1BAE1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A. Reservation-email ingestion (MVP)</w:t>
            </w:r>
          </w:p>
        </w:tc>
        <w:tc>
          <w:tcPr>
            <w:tcW w:w="2340" w:type="dxa"/>
          </w:tcPr>
          <w:p w14:paraId="2A9B34AA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Booking.com sends confirmation, modification and cancellation emails; the Gmail adapter ingests them and a parser extracts property, dates, guest, rate and status, producing reservation awareness in knowledge and tools</w:t>
            </w:r>
          </w:p>
        </w:tc>
        <w:tc>
          <w:tcPr>
            <w:tcW w:w="2340" w:type="dxa"/>
          </w:tcPr>
          <w:p w14:paraId="1F4018F4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High — no partnership needed, read-only, uses the Gmail connector already planned</w:t>
            </w:r>
          </w:p>
        </w:tc>
        <w:tc>
          <w:tcPr>
            <w:tcW w:w="2340" w:type="dxa"/>
          </w:tcPr>
          <w:p w14:paraId="790A0F25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Know who is coming and when: pre-arrival upsell, transfer offers, stay-aware follow-up</w:t>
            </w:r>
          </w:p>
        </w:tc>
      </w:tr>
      <w:tr w:rsidR="00540EA8" w:rsidRPr="00D25E68" w14:paraId="1CD48E5B" w14:textId="77777777">
        <w:trPr>
          <w:jc w:val="center"/>
        </w:trPr>
        <w:tc>
          <w:tcPr>
            <w:tcW w:w="2340" w:type="dxa"/>
          </w:tcPr>
          <w:p w14:paraId="580CB6A8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B. Channel-manager passthrough</w:t>
            </w:r>
          </w:p>
        </w:tc>
        <w:tc>
          <w:tcPr>
            <w:tcW w:w="2340" w:type="dxa"/>
          </w:tcPr>
          <w:p w14:paraId="7AC82BAF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If K Hotels uses (or adopts) a channel manager, integrate to it; it already synchronises Booking.com availability, rates and reservations</w:t>
            </w:r>
          </w:p>
        </w:tc>
        <w:tc>
          <w:tcPr>
            <w:tcW w:w="2340" w:type="dxa"/>
          </w:tcPr>
          <w:p w14:paraId="6C40E4EA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High if a channel manager exists — this becomes the availability source of truth</w:t>
            </w:r>
          </w:p>
        </w:tc>
        <w:tc>
          <w:tcPr>
            <w:tcW w:w="2340" w:type="dxa"/>
          </w:tcPr>
          <w:p w14:paraId="109AC718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Live availability plus rates, so the agent can quote confidently</w:t>
            </w:r>
          </w:p>
        </w:tc>
      </w:tr>
      <w:tr w:rsidR="00540EA8" w:rsidRPr="00D25E68" w14:paraId="440DCF69" w14:textId="77777777">
        <w:trPr>
          <w:jc w:val="center"/>
        </w:trPr>
        <w:tc>
          <w:tcPr>
            <w:tcW w:w="2340" w:type="dxa"/>
          </w:tcPr>
          <w:p w14:paraId="2165FA19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C. Availability calendar (staff-assisted)</w:t>
            </w:r>
          </w:p>
        </w:tc>
        <w:tc>
          <w:tcPr>
            <w:tcW w:w="2340" w:type="dxa"/>
          </w:tcPr>
          <w:p w14:paraId="60385E08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Simple availability feed (iCal or manual board) maintained by front desk until tier B lands</w:t>
            </w:r>
          </w:p>
        </w:tc>
        <w:tc>
          <w:tcPr>
            <w:tcW w:w="2340" w:type="dxa"/>
          </w:tcPr>
          <w:p w14:paraId="6D7C47A6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Medium — human-maintained, so quotes stay in the approval-gated tier</w:t>
            </w:r>
          </w:p>
        </w:tc>
        <w:tc>
          <w:tcPr>
            <w:tcW w:w="2340" w:type="dxa"/>
          </w:tcPr>
          <w:p w14:paraId="53D596FA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No hallucinated availability in the interim</w:t>
            </w:r>
          </w:p>
        </w:tc>
      </w:tr>
      <w:tr w:rsidR="00540EA8" w:rsidRPr="00D25E68" w14:paraId="35C50087" w14:textId="77777777">
        <w:trPr>
          <w:jc w:val="center"/>
        </w:trPr>
        <w:tc>
          <w:tcPr>
            <w:tcW w:w="2340" w:type="dxa"/>
          </w:tcPr>
          <w:p w14:paraId="60DAB9C5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D. Certified 2-way connectivity (later)</w:t>
            </w:r>
          </w:p>
        </w:tc>
        <w:tc>
          <w:tcPr>
            <w:tcW w:w="2340" w:type="dxa"/>
          </w:tcPr>
          <w:p w14:paraId="4215B779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Via a connectivity partner for direct availability, rates, inventory plus reservation push</w:t>
            </w:r>
          </w:p>
        </w:tc>
        <w:tc>
          <w:tcPr>
            <w:tcW w:w="2340" w:type="dxa"/>
          </w:tcPr>
          <w:p w14:paraId="562C6EED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Low for MVP — partnership, certification, cost</w:t>
            </w:r>
          </w:p>
        </w:tc>
        <w:tc>
          <w:tcPr>
            <w:tcW w:w="2340" w:type="dxa"/>
          </w:tcPr>
          <w:p w14:paraId="01A86F5D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Full book, modify and cancel through the agent</w:t>
            </w:r>
          </w:p>
        </w:tc>
      </w:tr>
    </w:tbl>
    <w:p w14:paraId="61B2084B" w14:textId="77777777" w:rsidR="00540EA8" w:rsidRPr="00D25E68" w:rsidRDefault="00540EA8">
      <w:pPr>
        <w:spacing w:after="40"/>
        <w:rPr>
          <w:rFonts w:ascii="Times New Roman" w:hAnsi="Times New Roman" w:cs="Times New Roman"/>
        </w:rPr>
      </w:pPr>
    </w:p>
    <w:p w14:paraId="05F514F8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Rule the agent enforces:</w:t>
      </w:r>
      <w:r w:rsidRPr="00D25E68">
        <w:rPr>
          <w:rFonts w:ascii="Times New Roman" w:hAnsi="Times New Roman" w:cs="Times New Roman"/>
        </w:rPr>
        <w:t xml:space="preserve"> availability and rate claims are commitment-tier actions. If the claim is sourced from Tier B (live feed), it may send with logging; if sourced from Tier A or C or pure knowledge, it drafts and a human approves. This single rule eliminates the highest-risk failure (wrong availability promise) regardless of integration maturity. As tiers graduate, policy thresholds move — that is tenant evolution working as designed.</w:t>
      </w:r>
    </w:p>
    <w:p w14:paraId="26321AE7" w14:textId="77777777" w:rsidR="00540EA8" w:rsidRPr="00D25E68" w:rsidRDefault="00000000">
      <w:pPr>
        <w:pStyle w:val="Heading1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lastRenderedPageBreak/>
        <w:t>5. Channels and the autonomy model</w:t>
      </w:r>
    </w:p>
    <w:p w14:paraId="6B3EDB38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Channels</w:t>
      </w:r>
      <w:r w:rsidRPr="00D25E68">
        <w:rPr>
          <w:rFonts w:ascii="Times New Roman" w:hAnsi="Times New Roman" w:cs="Times New Roman"/>
        </w:rPr>
        <w:t xml:space="preserve"> (each a platform adapter, bound per tenant): web widget (existing runtime), WhatsApp Cloud API (primary guest channel for this market), Gmail (ingest the 1,000-plus backlog and ongoing mail; send follow-ups), SMS via aggregator (confirmations and time-critical nudges only — priced per message).</w:t>
      </w:r>
    </w:p>
    <w:p w14:paraId="656CE23C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Two-tier autonomy</w:t>
      </w:r>
      <w:r w:rsidRPr="00D25E68">
        <w:rPr>
          <w:rFonts w:ascii="Times New Roman" w:hAnsi="Times New Roman" w:cs="Times New Roman"/>
        </w:rPr>
        <w:t xml:space="preserve"> (platform-wide contract, thresholds per tenant):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40EA8" w:rsidRPr="00D25E68" w14:paraId="06F5DE3B" w14:textId="77777777">
        <w:trPr>
          <w:jc w:val="center"/>
        </w:trPr>
        <w:tc>
          <w:tcPr>
            <w:tcW w:w="2340" w:type="dxa"/>
            <w:shd w:val="clear" w:color="auto" w:fill="1F3864"/>
          </w:tcPr>
          <w:p w14:paraId="1D301168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b/>
                <w:color w:val="FFFFFF"/>
                <w:sz w:val="20"/>
              </w:rPr>
              <w:t>Tier</w:t>
            </w:r>
          </w:p>
        </w:tc>
        <w:tc>
          <w:tcPr>
            <w:tcW w:w="2340" w:type="dxa"/>
            <w:shd w:val="clear" w:color="auto" w:fill="1F3864"/>
          </w:tcPr>
          <w:p w14:paraId="5818950D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b/>
                <w:color w:val="FFFFFF"/>
                <w:sz w:val="20"/>
              </w:rPr>
              <w:t>Actions</w:t>
            </w:r>
          </w:p>
        </w:tc>
        <w:tc>
          <w:tcPr>
            <w:tcW w:w="2340" w:type="dxa"/>
            <w:shd w:val="clear" w:color="auto" w:fill="1F3864"/>
          </w:tcPr>
          <w:p w14:paraId="421AFE7F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b/>
                <w:color w:val="FFFFFF"/>
                <w:sz w:val="20"/>
              </w:rPr>
              <w:t>Example</w:t>
            </w:r>
          </w:p>
        </w:tc>
        <w:tc>
          <w:tcPr>
            <w:tcW w:w="2340" w:type="dxa"/>
            <w:shd w:val="clear" w:color="auto" w:fill="1F3864"/>
          </w:tcPr>
          <w:p w14:paraId="20A221C2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b/>
                <w:color w:val="FFFFFF"/>
                <w:sz w:val="20"/>
              </w:rPr>
              <w:t>Gate</w:t>
            </w:r>
          </w:p>
        </w:tc>
      </w:tr>
      <w:tr w:rsidR="00540EA8" w:rsidRPr="00D25E68" w14:paraId="314BC2D7" w14:textId="77777777">
        <w:trPr>
          <w:jc w:val="center"/>
        </w:trPr>
        <w:tc>
          <w:tcPr>
            <w:tcW w:w="2340" w:type="dxa"/>
          </w:tcPr>
          <w:p w14:paraId="215B2D3D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Inform (autonomous)</w:t>
            </w:r>
          </w:p>
        </w:tc>
        <w:tc>
          <w:tcPr>
            <w:tcW w:w="2340" w:type="dxa"/>
          </w:tcPr>
          <w:p w14:paraId="41E352A7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answer, qualify, capture, summarise, draft</w:t>
            </w:r>
          </w:p>
        </w:tc>
        <w:tc>
          <w:tcPr>
            <w:tcW w:w="2340" w:type="dxa"/>
          </w:tcPr>
          <w:p w14:paraId="48E6B42C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FAQ answer, lead scoring, follow-up draft, stay summary</w:t>
            </w:r>
          </w:p>
        </w:tc>
        <w:tc>
          <w:tcPr>
            <w:tcW w:w="2340" w:type="dxa"/>
          </w:tcPr>
          <w:p w14:paraId="559ADE37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logged, budgeted, evaluated</w:t>
            </w:r>
          </w:p>
        </w:tc>
      </w:tr>
      <w:tr w:rsidR="00540EA8" w:rsidRPr="00D25E68" w14:paraId="69606B26" w14:textId="77777777">
        <w:trPr>
          <w:jc w:val="center"/>
        </w:trPr>
        <w:tc>
          <w:tcPr>
            <w:tcW w:w="2340" w:type="dxa"/>
          </w:tcPr>
          <w:p w14:paraId="427E8A4C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Commit (gated)</w:t>
            </w:r>
          </w:p>
        </w:tc>
        <w:tc>
          <w:tcPr>
            <w:tcW w:w="2340" w:type="dxa"/>
          </w:tcPr>
          <w:p w14:paraId="0B8C576F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promises, money, inventory, outbound-at-scale</w:t>
            </w:r>
          </w:p>
        </w:tc>
        <w:tc>
          <w:tcPr>
            <w:tcW w:w="2340" w:type="dxa"/>
          </w:tcPr>
          <w:p w14:paraId="2202FE4A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rate quote, availability claim, booking action, discount, bulk send</w:t>
            </w:r>
          </w:p>
        </w:tc>
        <w:tc>
          <w:tcPr>
            <w:tcW w:w="2340" w:type="dxa"/>
          </w:tcPr>
          <w:p w14:paraId="67E222DD" w14:textId="77777777" w:rsidR="00540EA8" w:rsidRPr="00D25E68" w:rsidRDefault="00000000">
            <w:pPr>
              <w:rPr>
                <w:rFonts w:ascii="Times New Roman" w:hAnsi="Times New Roman" w:cs="Times New Roman"/>
              </w:rPr>
            </w:pPr>
            <w:r w:rsidRPr="00D25E68">
              <w:rPr>
                <w:rFonts w:ascii="Times New Roman" w:hAnsi="Times New Roman" w:cs="Times New Roman"/>
                <w:sz w:val="20"/>
              </w:rPr>
              <w:t>human approval; auto-escalates on timeout with SLA timer</w:t>
            </w:r>
          </w:p>
        </w:tc>
      </w:tr>
    </w:tbl>
    <w:p w14:paraId="32FB7C1A" w14:textId="77777777" w:rsidR="00540EA8" w:rsidRPr="00D25E68" w:rsidRDefault="00540EA8">
      <w:pPr>
        <w:spacing w:after="40"/>
        <w:rPr>
          <w:rFonts w:ascii="Times New Roman" w:hAnsi="Times New Roman" w:cs="Times New Roman"/>
        </w:rPr>
      </w:pPr>
    </w:p>
    <w:p w14:paraId="74D4CF7A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Channel-policy compliance is enforced in the egress path, not trusted to the model: WhatsApp 24-hour window plus approved templates beyond it, email throttling plus unsubscribe handling, SMS cost cap per tenant per day.</w:t>
      </w:r>
    </w:p>
    <w:p w14:paraId="232879F4" w14:textId="77777777" w:rsidR="00540EA8" w:rsidRPr="00D25E68" w:rsidRDefault="00000000">
      <w:pPr>
        <w:pStyle w:val="Heading1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6. Closing Problem 2 properly (the follow-up engine)</w:t>
      </w:r>
    </w:p>
    <w:p w14:paraId="62DB3837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Problem 2's "segmentation, targeted messaging, structured follow-up" is a pipeline, and the solution names each stage's owner:</w:t>
      </w:r>
    </w:p>
    <w:p w14:paraId="0F088720" w14:textId="77777777" w:rsidR="00540EA8" w:rsidRPr="00D25E68" w:rsidRDefault="00000000">
      <w:pPr>
        <w:pStyle w:val="ListNumber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Capture plus qualify</w:t>
      </w:r>
      <w:r w:rsidRPr="00D25E68">
        <w:rPr>
          <w:rFonts w:ascii="Times New Roman" w:hAnsi="Times New Roman" w:cs="Times New Roman"/>
        </w:rPr>
        <w:t xml:space="preserve"> — agent (all channels) produces a structured lead (party size, dates, budget band, intent, source).</w:t>
      </w:r>
    </w:p>
    <w:p w14:paraId="553494BD" w14:textId="77777777" w:rsidR="00540EA8" w:rsidRPr="00D25E68" w:rsidRDefault="00000000">
      <w:pPr>
        <w:pStyle w:val="ListNumber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Segment</w:t>
      </w:r>
      <w:r w:rsidRPr="00D25E68">
        <w:rPr>
          <w:rFonts w:ascii="Times New Roman" w:hAnsi="Times New Roman" w:cs="Times New Roman"/>
        </w:rPr>
        <w:t xml:space="preserve"> — deterministic rules first (date flexibility, value band, event versus leisure), model-assisted later. Rules are auditable; that matters for the risk assessment.</w:t>
      </w:r>
    </w:p>
    <w:p w14:paraId="5D3B06C0" w14:textId="77777777" w:rsidR="00540EA8" w:rsidRPr="00D25E68" w:rsidRDefault="00000000">
      <w:pPr>
        <w:pStyle w:val="ListNumber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Follow-up</w:t>
      </w:r>
      <w:r w:rsidRPr="00D25E68">
        <w:rPr>
          <w:rFonts w:ascii="Times New Roman" w:hAnsi="Times New Roman" w:cs="Times New Roman"/>
        </w:rPr>
        <w:t xml:space="preserve"> — timed nudges with template-checked drafts (24h, 72h, pre-arrival, post-stay review request), channel-aware, every send logged with its approving policy.</w:t>
      </w:r>
    </w:p>
    <w:p w14:paraId="3C7EE9C3" w14:textId="77777777" w:rsidR="00540EA8" w:rsidRPr="00D25E68" w:rsidRDefault="00000000">
      <w:pPr>
        <w:pStyle w:val="ListNumber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Sync out</w:t>
      </w:r>
      <w:r w:rsidRPr="00D25E68">
        <w:rPr>
          <w:rFonts w:ascii="Times New Roman" w:hAnsi="Times New Roman" w:cs="Times New Roman"/>
        </w:rPr>
        <w:t xml:space="preserve"> — qualified leads and outcomes exported (or a minimal built-in pipeline if the hotel has no CRM). The agent feeds the funnel; it does not grade its own homework — conversion metrics are computed from outcomes, not agent self-reports.</w:t>
      </w:r>
    </w:p>
    <w:p w14:paraId="6BDABAE6" w14:textId="77777777" w:rsidR="00540EA8" w:rsidRPr="00D25E68" w:rsidRDefault="00000000">
      <w:pPr>
        <w:pStyle w:val="Heading1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7. Data, privacy, and governance (scored explicitly by the challenge)</w:t>
      </w:r>
    </w:p>
    <w:p w14:paraId="4140FA52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Guest PII (names, contacts, stay dates, passport or ID at check-in) is tenant-confidential: encrypted at rest, org-scoped, excluded from embeddings unless explicitly approved, with a retention policy per the pilot MoU.</w:t>
      </w:r>
    </w:p>
    <w:p w14:paraId="74D003DD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NDA before data access; pilot MoU scoping the MVP's data; IP clauses covering tenant skills versus platform core (tenant owns its content and custom skills; platform owns the core).</w:t>
      </w:r>
    </w:p>
    <w:p w14:paraId="6B311A96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Every commitment-tier action carries an audit trail (who approved, what source, which policy version) — this is the artifact the two-week risk assessment will actually inspect.</w:t>
      </w:r>
    </w:p>
    <w:p w14:paraId="55D5DC82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lastRenderedPageBreak/>
        <w:t>Cost attribution per tenant (model plus channel spend) so the commercial pathway (pilot to paid contract) has numbers, not estimates.</w:t>
      </w:r>
    </w:p>
    <w:p w14:paraId="08795659" w14:textId="77777777" w:rsidR="00540EA8" w:rsidRPr="00D25E68" w:rsidRDefault="00000000">
      <w:pPr>
        <w:pStyle w:val="Heading1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8. Proving it: evals and metrics tied to the problem statements</w:t>
      </w:r>
    </w:p>
    <w:p w14:paraId="31F2561F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Evals (before autonomy expands):</w:t>
      </w:r>
      <w:r w:rsidRPr="00D25E68">
        <w:rPr>
          <w:rFonts w:ascii="Times New Roman" w:hAnsi="Times New Roman" w:cs="Times New Roman"/>
        </w:rPr>
        <w:t xml:space="preserve"> rate-quote accuracy versus source feed, availability-claim grounding (every claim traceable to Tier A, B or C, or flagged), escalation precision and recall, template-compliance rate, PII-leak probes.</w:t>
      </w:r>
    </w:p>
    <w:p w14:paraId="38DEA92C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Live metrics (the pitch-day numbers):</w:t>
      </w:r>
      <w:r w:rsidRPr="00D25E68">
        <w:rPr>
          <w:rFonts w:ascii="Times New Roman" w:hAnsi="Times New Roman" w:cs="Times New Roman"/>
        </w:rPr>
        <w:t xml:space="preserve"> median first-response time (target at or under 12 minutes across bound channels), enquiry-to-qualified rate, qualified-to-booking rate, upsell attach rate, approval-queue latency, cost per converted booking.</w:t>
      </w:r>
    </w:p>
    <w:p w14:paraId="510CC284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No metric moves on agent self-reporting; all derive from channel events and booking outcomes.</w:t>
      </w:r>
    </w:p>
    <w:p w14:paraId="718F315E" w14:textId="77777777" w:rsidR="00540EA8" w:rsidRPr="00D25E68" w:rsidRDefault="00000000">
      <w:pPr>
        <w:pStyle w:val="Heading1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9. MVP plan (fits the one-month window)</w:t>
      </w:r>
    </w:p>
    <w:p w14:paraId="1D65E72D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Week 1:</w:t>
      </w:r>
      <w:r w:rsidRPr="00D25E68">
        <w:rPr>
          <w:rFonts w:ascii="Times New Roman" w:hAnsi="Times New Roman" w:cs="Times New Roman"/>
        </w:rPr>
        <w:t xml:space="preserve"> Tenant scaffold (org, roles, knowledge load with real hotel content); Gmail ingestion plus reservation-email parser (Tier A); approval queue; PMS and channel-manager discovery (determines Tier B viability).</w:t>
      </w:r>
    </w:p>
    <w:p w14:paraId="69625EEB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Week 2:</w:t>
      </w:r>
      <w:r w:rsidRPr="00D25E68">
        <w:rPr>
          <w:rFonts w:ascii="Times New Roman" w:hAnsi="Times New Roman" w:cs="Times New Roman"/>
        </w:rPr>
        <w:t xml:space="preserve"> Web widget plus WhatsApp live; quote-draft to approval to send loop; metrics dashboard; availability policy wired to whichever tier exists.</w:t>
      </w:r>
    </w:p>
    <w:p w14:paraId="7DE058B3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Week 3:</w:t>
      </w:r>
      <w:r w:rsidRPr="00D25E68">
        <w:rPr>
          <w:rFonts w:ascii="Times New Roman" w:hAnsi="Times New Roman" w:cs="Times New Roman"/>
        </w:rPr>
        <w:t xml:space="preserve"> Follow-up engine (segments, nudges, templates); evals running on quote accuracy and grounding; SMS confirmations if justified.</w:t>
      </w:r>
    </w:p>
    <w:p w14:paraId="22B7CA7C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  <w:b/>
        </w:rPr>
        <w:t>Week 4:</w:t>
      </w:r>
      <w:r w:rsidRPr="00D25E68">
        <w:rPr>
          <w:rFonts w:ascii="Times New Roman" w:hAnsi="Times New Roman" w:cs="Times New Roman"/>
        </w:rPr>
        <w:t xml:space="preserve"> Hardening plus risk-assessment pack (PII handling, WhatsApp compliance, failure drills: feed down, knowledge stale, model provider outage) plus pitch-day demo script (enquiry to instant answer to qualification to approval to confirmed interest, with metrics on screen).</w:t>
      </w:r>
    </w:p>
    <w:p w14:paraId="7FDFA978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Explicitly deferred: SMS marketing, booking-write (goes through staff confirmation), Tier D connectivity, second tenant (designed for, not built).</w:t>
      </w:r>
    </w:p>
    <w:p w14:paraId="42756A2A" w14:textId="77777777" w:rsidR="00540EA8" w:rsidRPr="00D25E68" w:rsidRDefault="00000000">
      <w:pPr>
        <w:pStyle w:val="Heading1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10. Risks, stated plainly</w:t>
      </w:r>
    </w:p>
    <w:p w14:paraId="2D76939E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No live availability feed means all quotes stay human-gated (slower, but honest).</w:t>
      </w:r>
    </w:p>
    <w:p w14:paraId="3909DD61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WhatsApp policy or Gmail scope friction means web plus email carry the MVP.</w:t>
      </w:r>
    </w:p>
    <w:p w14:paraId="4A7EA8EE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Knowledge staleness is countered by versioning plus source-citation on every rate answer, with the manager owning updates.</w:t>
      </w:r>
    </w:p>
    <w:p w14:paraId="7823925E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Model or provider outage triggers deterministic fallbacks (capture plus queue) so no enquiry is ever dropped silently.</w:t>
      </w:r>
    </w:p>
    <w:p w14:paraId="07B30D2C" w14:textId="77777777" w:rsidR="00540EA8" w:rsidRPr="00D25E68" w:rsidRDefault="00000000">
      <w:pPr>
        <w:pStyle w:val="ListBullet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Scope creep into "platform rebuild" is blocked: tenant evolution uses existing extension points (skills, policies, adapters); platform core is frozen during the pilot except for fixes.</w:t>
      </w:r>
    </w:p>
    <w:p w14:paraId="7B0D0F8C" w14:textId="77777777" w:rsidR="00540EA8" w:rsidRPr="00D25E68" w:rsidRDefault="00000000">
      <w:pPr>
        <w:pStyle w:val="Heading1"/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>Bottom line</w:t>
      </w:r>
    </w:p>
    <w:p w14:paraId="3F1A6166" w14:textId="77777777" w:rsidR="00540EA8" w:rsidRPr="00D25E68" w:rsidRDefault="00000000">
      <w:pPr>
        <w:rPr>
          <w:rFonts w:ascii="Times New Roman" w:hAnsi="Times New Roman" w:cs="Times New Roman"/>
        </w:rPr>
      </w:pPr>
      <w:r w:rsidRPr="00D25E68">
        <w:rPr>
          <w:rFonts w:ascii="Times New Roman" w:hAnsi="Times New Roman" w:cs="Times New Roman"/>
        </w:rPr>
        <w:t xml:space="preserve">Fussion's multi-tenant shape — stable platform core, fast-evolving tenant layer — is exactly what lets K Hotels be Tenant #1 without becoming a one-off consulting build: everything K Hotels needs </w:t>
      </w:r>
      <w:r w:rsidRPr="00D25E68">
        <w:rPr>
          <w:rFonts w:ascii="Times New Roman" w:hAnsi="Times New Roman" w:cs="Times New Roman"/>
        </w:rPr>
        <w:lastRenderedPageBreak/>
        <w:t>(knowledge, skills, channels, policies, staff UI) is tenant configuration on shared machinery, and Tenant #2 reuses all of it. The Booking.com account becomes useful on day one through reservation-email awareness, graduates to live availability via a channel manager, and only later justifies certified connectivity. Autonomy is bounded by the inform-or-commit split from the start, so the agent can pursue revenue aggressively where it is safe (speed, qualification, follow-up) and never where it is not (promises, prices, inventory) until the feeds and evals earn it.</w:t>
      </w:r>
    </w:p>
    <w:sectPr w:rsidR="00540EA8" w:rsidRPr="00D25E68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1AA7D" w14:textId="77777777" w:rsidR="001E1B7B" w:rsidRDefault="001E1B7B">
      <w:pPr>
        <w:spacing w:after="0" w:line="240" w:lineRule="auto"/>
      </w:pPr>
      <w:r>
        <w:separator/>
      </w:r>
    </w:p>
  </w:endnote>
  <w:endnote w:type="continuationSeparator" w:id="0">
    <w:p w14:paraId="467972DA" w14:textId="77777777" w:rsidR="001E1B7B" w:rsidRDefault="001E1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4D029" w14:textId="77777777" w:rsidR="00540EA8" w:rsidRDefault="00000000">
    <w:pPr>
      <w:pStyle w:val="Footer"/>
      <w:jc w:val="center"/>
    </w:pPr>
    <w:r>
      <w:fldChar w:fldCharType="begin"/>
    </w:r>
    <w:r>
      <w:instrText>PAGE</w:instrText>
    </w:r>
    <w:r w:rsidR="00D25E68">
      <w:fldChar w:fldCharType="separate"/>
    </w:r>
    <w:r w:rsidR="00D25E6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D96D6" w14:textId="77777777" w:rsidR="001E1B7B" w:rsidRDefault="001E1B7B">
      <w:pPr>
        <w:spacing w:after="0" w:line="240" w:lineRule="auto"/>
      </w:pPr>
      <w:r>
        <w:separator/>
      </w:r>
    </w:p>
  </w:footnote>
  <w:footnote w:type="continuationSeparator" w:id="0">
    <w:p w14:paraId="6849C54C" w14:textId="77777777" w:rsidR="001E1B7B" w:rsidRDefault="001E1B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156462">
    <w:abstractNumId w:val="8"/>
  </w:num>
  <w:num w:numId="2" w16cid:durableId="1248608923">
    <w:abstractNumId w:val="6"/>
  </w:num>
  <w:num w:numId="3" w16cid:durableId="560019699">
    <w:abstractNumId w:val="5"/>
  </w:num>
  <w:num w:numId="4" w16cid:durableId="2079934435">
    <w:abstractNumId w:val="4"/>
  </w:num>
  <w:num w:numId="5" w16cid:durableId="1732382666">
    <w:abstractNumId w:val="7"/>
  </w:num>
  <w:num w:numId="6" w16cid:durableId="280692061">
    <w:abstractNumId w:val="3"/>
  </w:num>
  <w:num w:numId="7" w16cid:durableId="1954358561">
    <w:abstractNumId w:val="2"/>
  </w:num>
  <w:num w:numId="8" w16cid:durableId="1656953824">
    <w:abstractNumId w:val="1"/>
  </w:num>
  <w:num w:numId="9" w16cid:durableId="1522430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B7B"/>
    <w:rsid w:val="0029639D"/>
    <w:rsid w:val="00326F90"/>
    <w:rsid w:val="00540EA8"/>
    <w:rsid w:val="00A81319"/>
    <w:rsid w:val="00AA1D8D"/>
    <w:rsid w:val="00B47730"/>
    <w:rsid w:val="00CB0664"/>
    <w:rsid w:val="00D25E68"/>
    <w:rsid w:val="00D74E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56D30"/>
  <w14:defaultImageDpi w14:val="300"/>
  <w15:docId w15:val="{18C4932E-2982-4CA2-BFA4-4B7B0FEB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1599</Words>
  <Characters>9120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MURUNGI ACAALI</cp:lastModifiedBy>
  <cp:revision>2</cp:revision>
  <dcterms:created xsi:type="dcterms:W3CDTF">2013-12-23T23:15:00Z</dcterms:created>
  <dcterms:modified xsi:type="dcterms:W3CDTF">2026-10-06T21:07:00Z</dcterms:modified>
  <cp:category/>
</cp:coreProperties>
</file>