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1F497D"/>
          <w:sz w:val="44"/>
        </w:rPr>
        <w:t>PLANEAMENTO DE CIRURGIAS ELETIVAS</w:t>
      </w:r>
    </w:p>
    <w:p>
      <w:pPr>
        <w:spacing w:after="160"/>
        <w:jc w:val="center"/>
      </w:pPr>
      <w:r>
        <w:rPr>
          <w:rFonts w:ascii="Calibri" w:hAnsi="Calibri"/>
          <w:b w:val="0"/>
          <w:i/>
          <w:color w:val="595959"/>
          <w:sz w:val="28"/>
        </w:rPr>
        <w:t>Contexto do Problema · Dados das Instâncias</w:t>
        <w:br/>
        <w:t>Formulação MIP Completa · Formulação CP-SAT · Resultados</w:t>
      </w:r>
    </w:p>
    <w:p>
      <w:pPr>
        <w:spacing w:before="600" w:after="120"/>
        <w:jc w:val="center"/>
      </w:pPr>
      <w:r>
        <w:rPr>
          <w:rFonts w:ascii="Calibri" w:hAnsi="Calibri"/>
          <w:b/>
          <w:i w:val="0"/>
          <w:sz w:val="24"/>
        </w:rPr>
        <w:t>Hector Bonilla</w:t>
      </w:r>
    </w:p>
    <w:p>
      <w:pPr>
        <w:jc w:val="center"/>
      </w:pPr>
      <w:r>
        <w:rPr>
          <w:rFonts w:ascii="Calibri" w:hAnsi="Calibri"/>
          <w:b w:val="0"/>
          <w:i/>
          <w:color w:val="595959"/>
          <w:sz w:val="22"/>
        </w:rPr>
        <w:t>Relatório Técnico — Português Europeu</w:t>
      </w:r>
    </w:p>
    <w:p>
      <w:r>
        <w:br w:type="page"/>
      </w:r>
    </w:p>
    <w:p>
      <w:pPr>
        <w:spacing w:before="320" w:after="80"/>
      </w:pPr>
      <w:r>
        <w:rPr>
          <w:rFonts w:ascii="Calibri" w:hAnsi="Calibri"/>
          <w:b/>
          <w:i w:val="0"/>
          <w:color w:val="1F497D"/>
          <w:sz w:val="32"/>
        </w:rPr>
        <w:t>1. Contexto do Problema</w:t>
      </w:r>
    </w:p>
    <w:p>
      <w:pPr>
        <w:spacing w:after="120" w:before="0" w:lineRule="auto" w:line="276"/>
        <w:jc w:val="both"/>
      </w:pPr>
      <w:r>
        <w:rPr>
          <w:rFonts w:ascii="Calibri" w:hAnsi="Calibri"/>
          <w:b w:val="0"/>
          <w:i w:val="0"/>
          <w:sz w:val="22"/>
        </w:rPr>
        <w:t>Um grupo hospitalar gere uma lista de espera de cirurgias eletivas (planeadas) que é sistematicamente maior do que a capacidade disponível nos blocos operatórios para uma semana. Todas as semanas, é necessário decidir quais desses casos serão efectivamente operados — em que sala, a que hora, em que dia e com que cirurgião — e essa decisão tem de satisfazer dois requisitos em simultâneo: ser viável (as salas, os cirurgiões e os recursos partilhados de um hospital são finitos) e ser justa em sentido clínico, de modo a que um doente com uma condição genuinamente urgente não fique atrás de um caso de rotina só porque esse caso chegou primeiro a uma fila FIFO.</w:t>
      </w:r>
    </w:p>
    <w:p>
      <w:pPr>
        <w:spacing w:after="120" w:before="0" w:lineRule="auto" w:line="276"/>
        <w:jc w:val="both"/>
      </w:pPr>
      <w:r>
        <w:rPr>
          <w:rFonts w:ascii="Calibri" w:hAnsi="Calibri"/>
          <w:b w:val="0"/>
          <w:i w:val="0"/>
          <w:sz w:val="22"/>
        </w:rPr>
        <w:t>Trata-se de um problema operacional real e bem estudado — não de um exercício académico. Vários factores tornam a sua resolução rigorosa especialmente relevante:</w:t>
      </w:r>
    </w:p>
    <w:p>
      <w:pPr>
        <w:pStyle w:val="ListBullet"/>
        <w:spacing w:after="60" w:before="0"/>
        <w:ind w:left="454"/>
      </w:pPr>
      <w:r>
        <w:rPr>
          <w:rFonts w:ascii="Calibri" w:hAnsi="Calibri"/>
          <w:b w:val="0"/>
          <w:i w:val="0"/>
          <w:sz w:val="22"/>
        </w:rPr>
        <w:t>Custo do bloco operatório. Um minuto de sala operatória custa aproximadamente 30–40 USD num hospital norte-americano, uma vez amortizados pessoal, equipamento e custos indirectos (Macario, 2010). Um minuto não utilizado hoje não pode ser guardado para amanhã — ao contrário de quase toda a outra capacidade hospitalar, o bloco operatório não tem inventário.</w:t>
      </w:r>
    </w:p>
    <w:p>
      <w:pPr>
        <w:pStyle w:val="ListBullet"/>
        <w:spacing w:after="60" w:before="0"/>
        <w:ind w:left="454"/>
      </w:pPr>
      <w:r>
        <w:rPr>
          <w:rFonts w:ascii="Calibri" w:hAnsi="Calibri"/>
          <w:b w:val="0"/>
          <w:i w:val="0"/>
          <w:sz w:val="22"/>
        </w:rPr>
        <w:t>A lista de espera é o indicador que doentes e reguladores acompanham. Marques &amp; Captivo (2015) relatam que, na auditoria de 2016 ao CHLN, 16% dos cerca de 7 400 doentes em espera já tinham ultrapassado o prazo clínico definido pelo SIGIC, com uma média de 147 dias de atraso — e 261 dias apenas em Neurocirurgia. Um planeador que optimiza apenas o débito total, sem noção de prazo, pode atingir um bom indicador de volume ao mesmo tempo que falha precisamente os doentes que o sistema deveria proteger.</w:t>
      </w:r>
    </w:p>
    <w:p>
      <w:pPr>
        <w:pStyle w:val="ListBullet"/>
        <w:spacing w:after="60" w:before="0"/>
        <w:ind w:left="454"/>
      </w:pPr>
      <w:r>
        <w:rPr>
          <w:rFonts w:ascii="Calibri" w:hAnsi="Calibri"/>
          <w:b w:val="0"/>
          <w:i w:val="0"/>
          <w:sz w:val="22"/>
        </w:rPr>
        <w:t>Enquadramento da literatura. Cardoen, Demeulemeester &amp; Beliën (2010) — a revisão de referência desta família de problemas — tratam o 'agendamento antecipado' (decidir quais casos correm em que dia, com antecedência) como um sub-problema distinto, precisamente porque é onde se tomam as decisões de selecção de casos e de equidade. Os sub-problemas mais granulares — sequenciamento intradiário exacto, perturbações no próprio dia — assentam sobre um plano antecipado em vez de o substituírem.</w:t>
      </w:r>
    </w:p>
    <w:p>
      <w:pPr>
        <w:pStyle w:val="ListBullet"/>
        <w:spacing w:after="60" w:before="0"/>
        <w:ind w:left="454"/>
      </w:pPr>
      <w:r>
        <w:rPr>
          <w:rFonts w:ascii="Calibri" w:hAnsi="Calibri"/>
          <w:b w:val="0"/>
          <w:i w:val="0"/>
          <w:sz w:val="22"/>
        </w:rPr>
        <w:t>Procura eletiva e urgente competem pelas mesmas salas. Van Riet &amp; Demeulemeester (2015) documentam este trade-off directamente: a capacidade reservada para urgências não está disponível para a lista de espera, e a forma como o hospital divide essa capacidade é em si mesma uma decisão de planeamento.</w:t>
      </w:r>
    </w:p>
    <w:p>
      <w:pPr>
        <w:spacing w:before="200" w:after="80"/>
      </w:pPr>
      <w:r>
        <w:rPr>
          <w:rFonts w:ascii="Calibri" w:hAnsi="Calibri"/>
          <w:b/>
          <w:i w:val="0"/>
          <w:color w:val="1F497D"/>
          <w:sz w:val="26"/>
        </w:rPr>
        <w:t>1.1  Sistema SIGIC e Mecanismo de Prioridades Clínicas</w:t>
      </w:r>
    </w:p>
    <w:p>
      <w:pPr>
        <w:spacing w:after="120" w:before="0" w:lineRule="auto" w:line="276"/>
        <w:jc w:val="both"/>
      </w:pPr>
      <w:r>
        <w:rPr>
          <w:rFonts w:ascii="Calibri" w:hAnsi="Calibri"/>
          <w:b w:val="0"/>
          <w:i w:val="0"/>
          <w:sz w:val="22"/>
        </w:rPr>
        <w:t>Os casos são agrupados em quatro níveis de prioridade clínica, cada um com um tempo máximo de espera aceitável. Este mecanismo não é inventado para este projecto — é a forma como vários sistemas públicos de saúde gerem efectivamente as listas de espera. Em Portugal, o SIGIC (Sistema Integrado de Gestão de Inscritos para Cirurgia), estabelecido pela Portaria n.º 45/2008, define quatro prioridades com tempos máximos de espera de 270 / 60 / 15 / 3 dias.</w:t>
      </w:r>
    </w:p>
    <w:p>
      <w:pPr>
        <w:spacing w:after="120" w:before="0" w:lineRule="auto" w:line="276"/>
        <w:jc w:val="both"/>
      </w:pPr>
      <w:r>
        <w:rPr>
          <w:rFonts w:ascii="Calibri" w:hAnsi="Calibri"/>
          <w:b w:val="0"/>
          <w:i w:val="0"/>
          <w:sz w:val="22"/>
        </w:rPr>
        <w:t>O mecanismo de execução é o Cheque Cirúrgico: quando um doente inscrito no SIGIC atinge o seu prazo máximo de espera sem ser operado no hospital público de referência, recebe um voucher (cheque) que lhe permite realizar a cirurgia num prestador privado ou IPSS convencionado com o SNS, sendo os custos suportados pelo Serviço Nacional de Saúde. Este instrumento transforma o prazo clínico numa obrigação com consequência financeira directa para a instituição — não é apenas um indicador de desempenho, é uma obrigação contratual exequível.</w:t>
      </w:r>
    </w:p>
    <w:p>
      <w:pPr>
        <w:spacing w:after="120" w:before="0" w:lineRule="auto" w:line="276"/>
        <w:jc w:val="both"/>
      </w:pPr>
      <w:r>
        <w:rPr>
          <w:rFonts w:ascii="Calibri" w:hAnsi="Calibri"/>
          <w:b w:val="0"/>
          <w:i w:val="0"/>
          <w:sz w:val="22"/>
        </w:rPr>
        <w:t>Estruturas análogas existem noutros sistemas: os Referral-to-Treatment targets do NHS britânico e vários benchmarks provinciais canadianos usam a mesma forma — esperas máximas por nível, taxas de incumprimento publicadas. Uma única fila FIFO não reflecte risco clínico; 'tarefa mais curta primeiro' também não.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020"/>
            <w:shd w:val="clear" w:color="auto" w:fill="1F497D"/>
            <w:vAlign w:val="center"/>
          </w:tcPr>
          <w:p>
            <w:pPr>
              <w:jc w:val="center"/>
            </w:pPr>
            <w:r>
              <w:rPr>
                <w:rFonts w:ascii="Calibri" w:hAnsi="Calibri"/>
                <w:b/>
                <w:i w:val="0"/>
                <w:color w:val="FFFFFF"/>
                <w:sz w:val="18"/>
              </w:rPr>
              <w:t>Prioridade</w:t>
            </w:r>
          </w:p>
        </w:tc>
        <w:tc>
          <w:tcPr>
            <w:tcW w:type="dxa" w:w="1701"/>
            <w:shd w:val="clear" w:color="auto" w:fill="1F497D"/>
            <w:vAlign w:val="center"/>
          </w:tcPr>
          <w:p>
            <w:pPr>
              <w:jc w:val="center"/>
            </w:pPr>
            <w:r>
              <w:rPr>
                <w:rFonts w:ascii="Calibri" w:hAnsi="Calibri"/>
                <w:b/>
                <w:i w:val="0"/>
                <w:color w:val="FFFFFF"/>
                <w:sz w:val="18"/>
              </w:rPr>
              <w:t>Designação SIGIC</w:t>
            </w:r>
          </w:p>
        </w:tc>
        <w:tc>
          <w:tcPr>
            <w:tcW w:type="dxa" w:w="1587"/>
            <w:shd w:val="clear" w:color="auto" w:fill="1F497D"/>
            <w:vAlign w:val="center"/>
          </w:tcPr>
          <w:p>
            <w:pPr>
              <w:jc w:val="center"/>
            </w:pPr>
            <w:r>
              <w:rPr>
                <w:rFonts w:ascii="Calibri" w:hAnsi="Calibri"/>
                <w:b/>
                <w:i w:val="0"/>
                <w:color w:val="FFFFFF"/>
                <w:sz w:val="18"/>
              </w:rPr>
              <w:t>Espera máx. (dias)</w:t>
            </w:r>
          </w:p>
        </w:tc>
        <w:tc>
          <w:tcPr>
            <w:tcW w:type="dxa" w:w="1417"/>
            <w:shd w:val="clear" w:color="auto" w:fill="1F497D"/>
            <w:vAlign w:val="center"/>
          </w:tcPr>
          <w:p>
            <w:pPr>
              <w:jc w:val="center"/>
            </w:pPr>
            <w:r>
              <w:rPr>
                <w:rFonts w:ascii="Calibri" w:hAnsi="Calibri"/>
                <w:b/>
                <w:i w:val="0"/>
                <w:color w:val="FFFFFF"/>
                <w:sz w:val="18"/>
              </w:rPr>
              <w:t>Multiplicador μₚ</w:t>
            </w:r>
          </w:p>
        </w:tc>
        <w:tc>
          <w:tcPr>
            <w:tcW w:type="dxa" w:w="2835"/>
            <w:shd w:val="clear" w:color="auto" w:fill="1F497D"/>
            <w:vAlign w:val="center"/>
          </w:tcPr>
          <w:p>
            <w:pPr>
              <w:jc w:val="center"/>
            </w:pPr>
            <w:r>
              <w:rPr>
                <w:rFonts w:ascii="Calibri" w:hAnsi="Calibri"/>
                <w:b/>
                <w:i w:val="0"/>
                <w:color w:val="FFFFFF"/>
                <w:sz w:val="18"/>
              </w:rPr>
              <w:t>Exemplo clínico típico</w:t>
            </w:r>
          </w:p>
        </w:tc>
      </w:tr>
      <w:tr>
        <w:tc>
          <w:tcPr>
            <w:tcW w:type="dxa" w:w="1020"/>
            <w:shd w:val="clear" w:color="auto" w:fill="EEF3FB"/>
            <w:vAlign w:val="center"/>
          </w:tcPr>
          <w:p>
            <w:pPr>
              <w:jc w:val="center"/>
            </w:pPr>
            <w:r>
              <w:rPr>
                <w:rFonts w:ascii="Calibri" w:hAnsi="Calibri"/>
                <w:b w:val="0"/>
                <w:i w:val="0"/>
                <w:sz w:val="18"/>
              </w:rPr>
              <w:t>P1</w:t>
            </w:r>
          </w:p>
        </w:tc>
        <w:tc>
          <w:tcPr>
            <w:tcW w:type="dxa" w:w="1701"/>
            <w:shd w:val="clear" w:color="auto" w:fill="EEF3FB"/>
            <w:vAlign w:val="center"/>
          </w:tcPr>
          <w:p>
            <w:pPr>
              <w:jc w:val="center"/>
            </w:pPr>
            <w:r>
              <w:rPr>
                <w:rFonts w:ascii="Calibri" w:hAnsi="Calibri"/>
                <w:b w:val="0"/>
                <w:i w:val="0"/>
                <w:sz w:val="18"/>
              </w:rPr>
              <w:t>Normal</w:t>
            </w:r>
          </w:p>
        </w:tc>
        <w:tc>
          <w:tcPr>
            <w:tcW w:type="dxa" w:w="1587"/>
            <w:shd w:val="clear" w:color="auto" w:fill="EEF3FB"/>
            <w:vAlign w:val="center"/>
          </w:tcPr>
          <w:p>
            <w:pPr>
              <w:jc w:val="center"/>
            </w:pPr>
            <w:r>
              <w:rPr>
                <w:rFonts w:ascii="Calibri" w:hAnsi="Calibri"/>
                <w:b w:val="0"/>
                <w:i w:val="0"/>
                <w:sz w:val="18"/>
              </w:rPr>
              <w:t>270</w:t>
            </w:r>
          </w:p>
        </w:tc>
        <w:tc>
          <w:tcPr>
            <w:tcW w:type="dxa" w:w="1417"/>
            <w:shd w:val="clear" w:color="auto" w:fill="EEF3FB"/>
            <w:vAlign w:val="center"/>
          </w:tcPr>
          <w:p>
            <w:pPr>
              <w:jc w:val="center"/>
            </w:pPr>
            <w:r>
              <w:rPr>
                <w:rFonts w:ascii="Calibri" w:hAnsi="Calibri"/>
                <w:b w:val="0"/>
                <w:i w:val="0"/>
                <w:sz w:val="18"/>
              </w:rPr>
              <w:t>1,0</w:t>
            </w:r>
          </w:p>
        </w:tc>
        <w:tc>
          <w:tcPr>
            <w:tcW w:type="dxa" w:w="2835"/>
            <w:shd w:val="clear" w:color="auto" w:fill="EEF3FB"/>
            <w:vAlign w:val="center"/>
          </w:tcPr>
          <w:p>
            <w:pPr>
              <w:jc w:val="center"/>
            </w:pPr>
            <w:r>
              <w:rPr>
                <w:rFonts w:ascii="Calibri" w:hAnsi="Calibri"/>
                <w:b w:val="0"/>
                <w:i w:val="0"/>
                <w:sz w:val="18"/>
              </w:rPr>
              <w:t>Colecistectomia eletiva, artroscopia de joelho</w:t>
            </w:r>
          </w:p>
        </w:tc>
      </w:tr>
      <w:tr>
        <w:tc>
          <w:tcPr>
            <w:tcW w:type="dxa" w:w="1020"/>
            <w:vAlign w:val="center"/>
          </w:tcPr>
          <w:p>
            <w:pPr>
              <w:jc w:val="center"/>
            </w:pPr>
            <w:r>
              <w:rPr>
                <w:rFonts w:ascii="Calibri" w:hAnsi="Calibri"/>
                <w:b w:val="0"/>
                <w:i w:val="0"/>
                <w:sz w:val="18"/>
              </w:rPr>
              <w:t>P2</w:t>
            </w:r>
          </w:p>
        </w:tc>
        <w:tc>
          <w:tcPr>
            <w:tcW w:type="dxa" w:w="1701"/>
            <w:vAlign w:val="center"/>
          </w:tcPr>
          <w:p>
            <w:pPr>
              <w:jc w:val="center"/>
            </w:pPr>
            <w:r>
              <w:rPr>
                <w:rFonts w:ascii="Calibri" w:hAnsi="Calibri"/>
                <w:b w:val="0"/>
                <w:i w:val="0"/>
                <w:sz w:val="18"/>
              </w:rPr>
              <w:t>Prioritário</w:t>
            </w:r>
          </w:p>
        </w:tc>
        <w:tc>
          <w:tcPr>
            <w:tcW w:type="dxa" w:w="1587"/>
            <w:vAlign w:val="center"/>
          </w:tcPr>
          <w:p>
            <w:pPr>
              <w:jc w:val="center"/>
            </w:pPr>
            <w:r>
              <w:rPr>
                <w:rFonts w:ascii="Calibri" w:hAnsi="Calibri"/>
                <w:b w:val="0"/>
                <w:i w:val="0"/>
                <w:sz w:val="18"/>
              </w:rPr>
              <w:t>60</w:t>
            </w:r>
          </w:p>
        </w:tc>
        <w:tc>
          <w:tcPr>
            <w:tcW w:type="dxa" w:w="1417"/>
            <w:vAlign w:val="center"/>
          </w:tcPr>
          <w:p>
            <w:pPr>
              <w:jc w:val="center"/>
            </w:pPr>
            <w:r>
              <w:rPr>
                <w:rFonts w:ascii="Calibri" w:hAnsi="Calibri"/>
                <w:b w:val="0"/>
                <w:i w:val="0"/>
                <w:sz w:val="18"/>
              </w:rPr>
              <w:t>4,5</w:t>
            </w:r>
          </w:p>
        </w:tc>
        <w:tc>
          <w:tcPr>
            <w:tcW w:type="dxa" w:w="2835"/>
            <w:vAlign w:val="center"/>
          </w:tcPr>
          <w:p>
            <w:pPr>
              <w:jc w:val="center"/>
            </w:pPr>
            <w:r>
              <w:rPr>
                <w:rFonts w:ascii="Calibri" w:hAnsi="Calibri"/>
                <w:b w:val="0"/>
                <w:i w:val="0"/>
                <w:sz w:val="18"/>
              </w:rPr>
              <w:t>Neoplasia limitada ao órgão, estenose sintomática</w:t>
            </w:r>
          </w:p>
        </w:tc>
      </w:tr>
      <w:tr>
        <w:tc>
          <w:tcPr>
            <w:tcW w:type="dxa" w:w="1020"/>
            <w:shd w:val="clear" w:color="auto" w:fill="EEF3FB"/>
            <w:vAlign w:val="center"/>
          </w:tcPr>
          <w:p>
            <w:pPr>
              <w:jc w:val="center"/>
            </w:pPr>
            <w:r>
              <w:rPr>
                <w:rFonts w:ascii="Calibri" w:hAnsi="Calibri"/>
                <w:b w:val="0"/>
                <w:i w:val="0"/>
                <w:sz w:val="18"/>
              </w:rPr>
              <w:t>P3</w:t>
            </w:r>
          </w:p>
        </w:tc>
        <w:tc>
          <w:tcPr>
            <w:tcW w:type="dxa" w:w="1701"/>
            <w:shd w:val="clear" w:color="auto" w:fill="EEF3FB"/>
            <w:vAlign w:val="center"/>
          </w:tcPr>
          <w:p>
            <w:pPr>
              <w:jc w:val="center"/>
            </w:pPr>
            <w:r>
              <w:rPr>
                <w:rFonts w:ascii="Calibri" w:hAnsi="Calibri"/>
                <w:b w:val="0"/>
                <w:i w:val="0"/>
                <w:sz w:val="18"/>
              </w:rPr>
              <w:t>Muito Prioritário</w:t>
            </w:r>
          </w:p>
        </w:tc>
        <w:tc>
          <w:tcPr>
            <w:tcW w:type="dxa" w:w="1587"/>
            <w:shd w:val="clear" w:color="auto" w:fill="EEF3FB"/>
            <w:vAlign w:val="center"/>
          </w:tcPr>
          <w:p>
            <w:pPr>
              <w:jc w:val="center"/>
            </w:pPr>
            <w:r>
              <w:rPr>
                <w:rFonts w:ascii="Calibri" w:hAnsi="Calibri"/>
                <w:b w:val="0"/>
                <w:i w:val="0"/>
                <w:sz w:val="18"/>
              </w:rPr>
              <w:t>15</w:t>
            </w:r>
          </w:p>
        </w:tc>
        <w:tc>
          <w:tcPr>
            <w:tcW w:type="dxa" w:w="1417"/>
            <w:shd w:val="clear" w:color="auto" w:fill="EEF3FB"/>
            <w:vAlign w:val="center"/>
          </w:tcPr>
          <w:p>
            <w:pPr>
              <w:jc w:val="center"/>
            </w:pPr>
            <w:r>
              <w:rPr>
                <w:rFonts w:ascii="Calibri" w:hAnsi="Calibri"/>
                <w:b w:val="0"/>
                <w:i w:val="0"/>
                <w:sz w:val="18"/>
              </w:rPr>
              <w:t>18,0</w:t>
            </w:r>
          </w:p>
        </w:tc>
        <w:tc>
          <w:tcPr>
            <w:tcW w:type="dxa" w:w="2835"/>
            <w:shd w:val="clear" w:color="auto" w:fill="EEF3FB"/>
            <w:vAlign w:val="center"/>
          </w:tcPr>
          <w:p>
            <w:pPr>
              <w:jc w:val="center"/>
            </w:pPr>
            <w:r>
              <w:rPr>
                <w:rFonts w:ascii="Calibri" w:hAnsi="Calibri"/>
                <w:b w:val="0"/>
                <w:i w:val="0"/>
                <w:sz w:val="18"/>
              </w:rPr>
              <w:t>Cancro com margens de segurança reduzidas</w:t>
            </w:r>
          </w:p>
        </w:tc>
      </w:tr>
      <w:tr>
        <w:tc>
          <w:tcPr>
            <w:tcW w:type="dxa" w:w="1020"/>
            <w:vAlign w:val="center"/>
          </w:tcPr>
          <w:p>
            <w:pPr>
              <w:jc w:val="center"/>
            </w:pPr>
            <w:r>
              <w:rPr>
                <w:rFonts w:ascii="Calibri" w:hAnsi="Calibri"/>
                <w:b w:val="0"/>
                <w:i w:val="0"/>
                <w:sz w:val="18"/>
              </w:rPr>
              <w:t>P4</w:t>
            </w:r>
          </w:p>
        </w:tc>
        <w:tc>
          <w:tcPr>
            <w:tcW w:type="dxa" w:w="1701"/>
            <w:vAlign w:val="center"/>
          </w:tcPr>
          <w:p>
            <w:pPr>
              <w:jc w:val="center"/>
            </w:pPr>
            <w:r>
              <w:rPr>
                <w:rFonts w:ascii="Calibri" w:hAnsi="Calibri"/>
                <w:b w:val="0"/>
                <w:i w:val="0"/>
                <w:sz w:val="18"/>
              </w:rPr>
              <w:t>Urgente (add-on)</w:t>
            </w:r>
          </w:p>
        </w:tc>
        <w:tc>
          <w:tcPr>
            <w:tcW w:type="dxa" w:w="1587"/>
            <w:vAlign w:val="center"/>
          </w:tcPr>
          <w:p>
            <w:pPr>
              <w:jc w:val="center"/>
            </w:pPr>
            <w:r>
              <w:rPr>
                <w:rFonts w:ascii="Calibri" w:hAnsi="Calibri"/>
                <w:b w:val="0"/>
                <w:i w:val="0"/>
                <w:sz w:val="18"/>
              </w:rPr>
              <w:t>3</w:t>
            </w:r>
          </w:p>
        </w:tc>
        <w:tc>
          <w:tcPr>
            <w:tcW w:type="dxa" w:w="1417"/>
            <w:vAlign w:val="center"/>
          </w:tcPr>
          <w:p>
            <w:pPr>
              <w:jc w:val="center"/>
            </w:pPr>
            <w:r>
              <w:rPr>
                <w:rFonts w:ascii="Calibri" w:hAnsi="Calibri"/>
                <w:b w:val="0"/>
                <w:i w:val="0"/>
                <w:sz w:val="18"/>
              </w:rPr>
              <w:t>90,0</w:t>
            </w:r>
          </w:p>
        </w:tc>
        <w:tc>
          <w:tcPr>
            <w:tcW w:type="dxa" w:w="2835"/>
            <w:vAlign w:val="center"/>
          </w:tcPr>
          <w:p>
            <w:pPr>
              <w:jc w:val="center"/>
            </w:pPr>
            <w:r>
              <w:rPr>
                <w:rFonts w:ascii="Calibri" w:hAnsi="Calibri"/>
                <w:b w:val="0"/>
                <w:i w:val="0"/>
                <w:sz w:val="18"/>
              </w:rPr>
              <w:t>Emergência diferida — opera obrigatoriamente no Dia 1</w:t>
            </w:r>
          </w:p>
        </w:tc>
      </w:tr>
    </w:tbl>
    <w:p>
      <w:pPr>
        <w:spacing w:after="40"/>
      </w:pPr>
    </w:p>
    <w:p>
      <w:pPr>
        <w:spacing w:before="0" w:after="120"/>
        <w:ind w:left="283"/>
        <w:jc w:val="both"/>
      </w:pPr>
      <w:r>
        <w:rPr>
          <w:rFonts w:ascii="Calibri" w:hAnsi="Calibri"/>
          <w:b w:val="0"/>
          <w:i/>
          <w:color w:val="595959"/>
          <w:sz w:val="18"/>
        </w:rPr>
        <w:t>Nota: Tabela 1 — Prioridades SIGIC (Portaria n.º 45/2008). Os multiplicadores derivam de μₚ = wl_max(P1) / wl_max(Pₚ): μ₂=270/60=4,5 ; μ₃=270/15=18 ; μ₄=270/3=90.</w:t>
      </w:r>
    </w:p>
    <w:p>
      <w:pPr>
        <w:spacing w:after="120" w:before="0" w:lineRule="auto" w:line="276"/>
        <w:jc w:val="both"/>
      </w:pPr>
      <w:r>
        <w:rPr>
          <w:rFonts w:ascii="Calibri" w:hAnsi="Calibri"/>
          <w:b w:val="0"/>
          <w:i w:val="0"/>
          <w:sz w:val="22"/>
        </w:rPr>
        <w:t>Cada número associado a este mecanismo — espera máxima por nível, multiplicadores de prioridade, curva de penalização — é um campo de PlanningInstance (src/model/types.py), não uma constante enterrada no código do solver. Um hospital que adopte este modelo insere a sua própria política sem tocar na formulação.</w:t>
      </w:r>
    </w:p>
    <w:p>
      <w:pPr>
        <w:spacing w:before="200" w:after="80"/>
      </w:pPr>
      <w:r>
        <w:rPr>
          <w:rFonts w:ascii="Calibri" w:hAnsi="Calibri"/>
          <w:b/>
          <w:i w:val="0"/>
          <w:color w:val="1F497D"/>
          <w:sz w:val="26"/>
        </w:rPr>
        <w:t>1.2  Por que Programação por Restrições em vez de MILP</w:t>
      </w:r>
    </w:p>
    <w:p>
      <w:pPr>
        <w:spacing w:after="120" w:before="0" w:lineRule="auto" w:line="276"/>
        <w:jc w:val="both"/>
      </w:pPr>
      <w:r>
        <w:rPr>
          <w:rFonts w:ascii="Calibri" w:hAnsi="Calibri"/>
          <w:b w:val="0"/>
          <w:i w:val="0"/>
          <w:sz w:val="22"/>
        </w:rPr>
        <w:t>O problema é de escalonamento disjuntivo com recursos: casos a competir por salas, cirurgiões e equipamento, cada um dos quais pode ser usado por exactamente uma entidade de cada vez (ou, no caso do equipamento, por um número fixo pequeno de entidades). É precisamente a estrutura para a qual as restrições globais do CP — NoOverlap, Cumulative — existem, e é exactamente a estrutura que uma restrição de soma de capacidade erra de uma forma específica:</w:t>
      </w:r>
    </w:p>
    <w:p>
      <w:pPr>
        <w:spacing w:after="120" w:before="0" w:lineRule="auto" w:line="276"/>
        <w:jc w:val="both"/>
      </w:pPr>
      <w:r>
        <w:rPr>
          <w:rFonts w:ascii="Calibri" w:hAnsi="Calibri"/>
          <w:b w:val="0"/>
          <w:i w:val="0"/>
          <w:sz w:val="22"/>
        </w:rPr>
        <w:t>Uma restrição 'total de minutos de equipamento hoje ≤ capacidade' certifica que o conjunto de durações cabe no dia. Não certifica que podem ser colocadas sem colisão. Para uma única sala, as duas afirmações coincidem — qualquer conjunto de durações que caiba pode ser sequenciado. Deixam de coincidir quando um recurso é partilhado por mais do que uma sala, que é exactamente a forma do C-arm deste projecto: a soma pode proibir dois usos genuinamente não sobrepostos apenas por caírem no mesmo dia, enquanto noutras configurações pode ser permissiva em excesso. Não é uma nuance teórica — o §5 dos Resultados mostra a instância demo com o cap diário de equipamento a proibir um plano perfeitamente legal uma vez verificados os horários reais.</w:t>
      </w:r>
    </w:p>
    <w:p>
      <w:pPr>
        <w:spacing w:after="120" w:before="0" w:lineRule="auto" w:line="276"/>
        <w:jc w:val="both"/>
      </w:pPr>
      <w:r>
        <w:rPr>
          <w:rFonts w:ascii="Calibri" w:hAnsi="Calibri"/>
          <w:b w:val="0"/>
          <w:i w:val="0"/>
          <w:sz w:val="22"/>
        </w:rPr>
        <w:t>A alternativa MILP textual — uma formulação disjuntiva contínua com uma variável binária 'A-antes-de-B' por par potencialmente conflituante, com restrições big-M — funciona, mas tem dois custos bem documentados (Baptiste, Le Pape &amp; Nuijten, 2001): o número de variáveis cresce quadraticamente com os pares conflituantes, e as constantes big-M enfraquecem o relaxamento LP à medida que esse número cresce, levando o branch-and-bound a redescobrir par a par a estrutura que a propagação CP obtém directamente.</w:t>
      </w:r>
    </w:p>
    <w:p>
      <w:pPr>
        <w:spacing w:after="120" w:before="0" w:lineRule="auto" w:line="276"/>
        <w:jc w:val="both"/>
      </w:pPr>
      <w:r>
        <w:rPr>
          <w:rFonts w:ascii="Calibri" w:hAnsi="Calibri"/>
          <w:b w:val="0"/>
          <w:i w:val="0"/>
          <w:sz w:val="22"/>
        </w:rPr>
        <w:t>NoOverlap e Cumulative são restrições globais com propagação especializada em tempo polinomial — NoOverlap via varredura O(n log n) (Vilím, 2004), Cumulative via timetabling/edge-finding (Schutt, Feydy, Stuckey &amp; Wallace, 2009). Esta é a razão mecânica por trás de 'o CP escala melhor aqui' — não uma alegação vaga sobre inteligência do solver, mas um mecanismo de propagação concreto.</w:t>
      </w:r>
    </w:p>
    <w:p>
      <w:pPr>
        <w:spacing w:after="120" w:before="0" w:lineRule="auto" w:line="276"/>
        <w:jc w:val="both"/>
      </w:pPr>
      <w:r>
        <w:rPr>
          <w:rFonts w:ascii="Calibri" w:hAnsi="Calibri"/>
          <w:b w:val="0"/>
          <w:i w:val="0"/>
          <w:sz w:val="22"/>
        </w:rPr>
        <w:t>CP-SAT especificamente. Executa um portfólio paralelo de estratégias de pesquisa — vários trabalhadores de pesquisa completa mais trabalhadores de Large-Neighbourhood-Search a melhorar um incumbente, partilhando informação aprendida através de um núcleo SAT comum (Perron &amp; Furnon, Google OR-Tools documentation). O modelo não implementa uma estratégia de ramificação manual — a orientação do OR-Tools é que o portfólio padrão supera uma estratégia única ajustada manualmente, a menos que se disponha de uma visão estrutural que o modelo já não expõe através das suas chamadas NoOverlap/Cumulative.</w:t>
      </w:r>
    </w:p>
    <w:p>
      <w:r>
        <w:br w:type="page"/>
      </w:r>
    </w:p>
    <w:p>
      <w:pPr>
        <w:spacing w:before="320" w:after="80"/>
      </w:pPr>
      <w:r>
        <w:rPr>
          <w:rFonts w:ascii="Calibri" w:hAnsi="Calibri"/>
          <w:b/>
          <w:i w:val="0"/>
          <w:color w:val="1F497D"/>
          <w:sz w:val="32"/>
        </w:rPr>
        <w:t>2. Conjuntos e Parâmetros do Modelo</w:t>
      </w:r>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1F497D"/>
            <w:vAlign w:val="center"/>
          </w:tcPr>
          <w:p>
            <w:pPr>
              <w:jc w:val="center"/>
            </w:pPr>
            <w:r>
              <w:rPr>
                <w:rFonts w:ascii="Calibri" w:hAnsi="Calibri"/>
                <w:b/>
                <w:i w:val="0"/>
                <w:color w:val="FFFFFF"/>
                <w:sz w:val="18"/>
              </w:rPr>
              <w:t>Símbolo</w:t>
            </w:r>
          </w:p>
        </w:tc>
        <w:tc>
          <w:tcPr>
            <w:tcW w:type="dxa" w:w="6803"/>
            <w:shd w:val="clear" w:color="auto" w:fill="1F497D"/>
            <w:vAlign w:val="center"/>
          </w:tcPr>
          <w:p>
            <w:pPr>
              <w:jc w:val="center"/>
            </w:pPr>
            <w:r>
              <w:rPr>
                <w:rFonts w:ascii="Calibri" w:hAnsi="Calibri"/>
                <w:b/>
                <w:i w:val="0"/>
                <w:color w:val="FFFFFF"/>
                <w:sz w:val="18"/>
              </w:rPr>
              <w:t>Significado</w:t>
            </w:r>
          </w:p>
        </w:tc>
      </w:tr>
      <w:tr>
        <w:tc>
          <w:tcPr>
            <w:tcW w:type="dxa" w:w="1701"/>
            <w:shd w:val="clear" w:color="auto" w:fill="EEF3FB"/>
            <w:vAlign w:val="center"/>
          </w:tcPr>
          <w:p>
            <w:pPr>
              <w:jc w:val="center"/>
            </w:pPr>
            <w:r>
              <w:rPr>
                <w:rFonts w:ascii="Calibri" w:hAnsi="Calibri"/>
                <w:b w:val="0"/>
                <w:i w:val="0"/>
                <w:sz w:val="18"/>
              </w:rPr>
              <w:t>C</w:t>
            </w:r>
          </w:p>
        </w:tc>
        <w:tc>
          <w:tcPr>
            <w:tcW w:type="dxa" w:w="6803"/>
            <w:shd w:val="clear" w:color="auto" w:fill="EEF3FB"/>
            <w:vAlign w:val="center"/>
          </w:tcPr>
          <w:p>
            <w:pPr>
              <w:jc w:val="center"/>
            </w:pPr>
            <w:r>
              <w:rPr>
                <w:rFonts w:ascii="Calibri" w:hAnsi="Calibri"/>
                <w:b w:val="0"/>
                <w:i w:val="0"/>
                <w:sz w:val="18"/>
              </w:rPr>
              <w:t>Casos cirúrgicos — um registo por par doente-procedimento na lista de espera</w:t>
            </w:r>
          </w:p>
        </w:tc>
      </w:tr>
      <w:tr>
        <w:tc>
          <w:tcPr>
            <w:tcW w:type="dxa" w:w="1701"/>
            <w:vAlign w:val="center"/>
          </w:tcPr>
          <w:p>
            <w:pPr>
              <w:jc w:val="center"/>
            </w:pPr>
            <w:r>
              <w:rPr>
                <w:rFonts w:ascii="Calibri" w:hAnsi="Calibri"/>
                <w:b w:val="0"/>
                <w:i w:val="0"/>
                <w:sz w:val="18"/>
              </w:rPr>
              <w:t>D = {1,…,5}</w:t>
            </w:r>
          </w:p>
        </w:tc>
        <w:tc>
          <w:tcPr>
            <w:tcW w:type="dxa" w:w="6803"/>
            <w:vAlign w:val="center"/>
          </w:tcPr>
          <w:p>
            <w:pPr>
              <w:jc w:val="center"/>
            </w:pPr>
            <w:r>
              <w:rPr>
                <w:rFonts w:ascii="Calibri" w:hAnsi="Calibri"/>
                <w:b w:val="0"/>
                <w:i w:val="0"/>
                <w:sz w:val="18"/>
              </w:rPr>
              <w:t>Dias de planeamento, uma semana de trabalho (2.ª a 6.ª feira)</w:t>
            </w:r>
          </w:p>
        </w:tc>
      </w:tr>
      <w:tr>
        <w:tc>
          <w:tcPr>
            <w:tcW w:type="dxa" w:w="1701"/>
            <w:shd w:val="clear" w:color="auto" w:fill="EEF3FB"/>
            <w:vAlign w:val="center"/>
          </w:tcPr>
          <w:p>
            <w:pPr>
              <w:jc w:val="center"/>
            </w:pPr>
            <w:r>
              <w:rPr>
                <w:rFonts w:ascii="Calibri" w:hAnsi="Calibri"/>
                <w:b w:val="0"/>
                <w:i w:val="0"/>
                <w:sz w:val="18"/>
              </w:rPr>
              <w:t>R</w:t>
            </w:r>
          </w:p>
        </w:tc>
        <w:tc>
          <w:tcPr>
            <w:tcW w:type="dxa" w:w="6803"/>
            <w:shd w:val="clear" w:color="auto" w:fill="EEF3FB"/>
            <w:vAlign w:val="center"/>
          </w:tcPr>
          <w:p>
            <w:pPr>
              <w:jc w:val="center"/>
            </w:pPr>
            <w:r>
              <w:rPr>
                <w:rFonts w:ascii="Calibri" w:hAnsi="Calibri"/>
                <w:b w:val="0"/>
                <w:i w:val="0"/>
                <w:sz w:val="18"/>
              </w:rPr>
              <w:t>Salas operatórias</w:t>
            </w:r>
          </w:p>
        </w:tc>
      </w:tr>
      <w:tr>
        <w:tc>
          <w:tcPr>
            <w:tcW w:type="dxa" w:w="1701"/>
            <w:vAlign w:val="center"/>
          </w:tcPr>
          <w:p>
            <w:pPr>
              <w:jc w:val="center"/>
            </w:pPr>
            <w:r>
              <w:rPr>
                <w:rFonts w:ascii="Calibri" w:hAnsi="Calibri"/>
                <w:b w:val="0"/>
                <w:i w:val="0"/>
                <w:sz w:val="18"/>
              </w:rPr>
              <w:t>H</w:t>
            </w:r>
          </w:p>
        </w:tc>
        <w:tc>
          <w:tcPr>
            <w:tcW w:type="dxa" w:w="6803"/>
            <w:vAlign w:val="center"/>
          </w:tcPr>
          <w:p>
            <w:pPr>
              <w:jc w:val="center"/>
            </w:pPr>
            <w:r>
              <w:rPr>
                <w:rFonts w:ascii="Calibri" w:hAnsi="Calibri"/>
                <w:b w:val="0"/>
                <w:i w:val="0"/>
                <w:sz w:val="18"/>
              </w:rPr>
              <w:t>Cirurgiões</w:t>
            </w:r>
          </w:p>
        </w:tc>
      </w:tr>
      <w:tr>
        <w:tc>
          <w:tcPr>
            <w:tcW w:type="dxa" w:w="1701"/>
            <w:shd w:val="clear" w:color="auto" w:fill="EEF3FB"/>
            <w:vAlign w:val="center"/>
          </w:tcPr>
          <w:p>
            <w:pPr>
              <w:jc w:val="center"/>
            </w:pPr>
            <w:r>
              <w:rPr>
                <w:rFonts w:ascii="Calibri" w:hAnsi="Calibri"/>
                <w:b w:val="0"/>
                <w:i w:val="0"/>
                <w:sz w:val="18"/>
              </w:rPr>
              <w:t>E</w:t>
            </w:r>
          </w:p>
        </w:tc>
        <w:tc>
          <w:tcPr>
            <w:tcW w:type="dxa" w:w="6803"/>
            <w:shd w:val="clear" w:color="auto" w:fill="EEF3FB"/>
            <w:vAlign w:val="center"/>
          </w:tcPr>
          <w:p>
            <w:pPr>
              <w:jc w:val="center"/>
            </w:pPr>
            <w:r>
              <w:rPr>
                <w:rFonts w:ascii="Calibri" w:hAnsi="Calibri"/>
                <w:b w:val="0"/>
                <w:i w:val="0"/>
                <w:sz w:val="18"/>
              </w:rPr>
              <w:t>Tipos de equipamento partilhado (ex.: unidade de imagiologia móvel C-arm)</w:t>
            </w:r>
          </w:p>
        </w:tc>
      </w:tr>
      <w:tr>
        <w:tc>
          <w:tcPr>
            <w:tcW w:type="dxa" w:w="1701"/>
            <w:vAlign w:val="center"/>
          </w:tcPr>
          <w:p>
            <w:pPr>
              <w:jc w:val="center"/>
            </w:pPr>
            <w:r>
              <w:rPr>
                <w:rFonts w:ascii="Calibri" w:hAnsi="Calibri"/>
                <w:b w:val="0"/>
                <w:i w:val="0"/>
                <w:sz w:val="18"/>
              </w:rPr>
              <w:t>Dₒ ⊆ D</w:t>
            </w:r>
          </w:p>
        </w:tc>
        <w:tc>
          <w:tcPr>
            <w:tcW w:type="dxa" w:w="6803"/>
            <w:vAlign w:val="center"/>
          </w:tcPr>
          <w:p>
            <w:pPr>
              <w:jc w:val="center"/>
            </w:pPr>
            <w:r>
              <w:rPr>
                <w:rFonts w:ascii="Calibri" w:hAnsi="Calibri"/>
                <w:b w:val="0"/>
                <w:i w:val="0"/>
                <w:sz w:val="18"/>
              </w:rPr>
              <w:t>Dias em que o caso c pode ser realizado — {1} para P4, D nos restantes</w:t>
            </w:r>
          </w:p>
        </w:tc>
      </w:tr>
    </w:tbl>
    <w:p>
      <w:pPr>
        <w:spacing w:after="40"/>
      </w:pPr>
    </w:p>
    <w:p>
      <w:pPr>
        <w:spacing w:before="0" w:after="120"/>
        <w:ind w:left="283"/>
        <w:jc w:val="both"/>
      </w:pPr>
      <w:r>
        <w:rPr>
          <w:rFonts w:ascii="Calibri" w:hAnsi="Calibri"/>
          <w:b w:val="0"/>
          <w:i/>
          <w:color w:val="595959"/>
          <w:sz w:val="18"/>
        </w:rPr>
        <w:t>Nota: Tabela 2 — Conjuntos.</w:t>
      </w:r>
    </w:p>
    <w:tbl>
      <w:tblPr>
        <w:tblStyle w:val="TableGrid"/>
        <w:tblW w:type="auto" w:w="0"/>
        <w:jc w:val="center"/>
        <w:tblLook w:firstColumn="1" w:firstRow="1" w:lastColumn="0" w:lastRow="0" w:noHBand="0" w:noVBand="1" w:val="04A0"/>
      </w:tblPr>
      <w:tblGrid>
        <w:gridCol w:w="4561"/>
        <w:gridCol w:w="4561"/>
      </w:tblGrid>
      <w:tr>
        <w:tc>
          <w:tcPr>
            <w:tcW w:type="dxa" w:w="2381"/>
            <w:shd w:val="clear" w:color="auto" w:fill="1F497D"/>
            <w:vAlign w:val="center"/>
          </w:tcPr>
          <w:p>
            <w:pPr>
              <w:jc w:val="center"/>
            </w:pPr>
            <w:r>
              <w:rPr>
                <w:rFonts w:ascii="Calibri" w:hAnsi="Calibri"/>
                <w:b/>
                <w:i w:val="0"/>
                <w:color w:val="FFFFFF"/>
                <w:sz w:val="18"/>
              </w:rPr>
              <w:t>Parâmetro</w:t>
            </w:r>
          </w:p>
        </w:tc>
        <w:tc>
          <w:tcPr>
            <w:tcW w:type="dxa" w:w="6123"/>
            <w:shd w:val="clear" w:color="auto" w:fill="1F497D"/>
            <w:vAlign w:val="center"/>
          </w:tcPr>
          <w:p>
            <w:pPr>
              <w:jc w:val="center"/>
            </w:pPr>
            <w:r>
              <w:rPr>
                <w:rFonts w:ascii="Calibri" w:hAnsi="Calibri"/>
                <w:b/>
                <w:i w:val="0"/>
                <w:color w:val="FFFFFF"/>
                <w:sz w:val="18"/>
              </w:rPr>
              <w:t>Significado</w:t>
            </w:r>
          </w:p>
        </w:tc>
      </w:tr>
      <w:tr>
        <w:tc>
          <w:tcPr>
            <w:tcW w:type="dxa" w:w="2381"/>
            <w:shd w:val="clear" w:color="auto" w:fill="EEF3FB"/>
            <w:vAlign w:val="center"/>
          </w:tcPr>
          <w:p>
            <w:pPr>
              <w:jc w:val="center"/>
            </w:pPr>
            <w:r>
              <w:rPr>
                <w:rFonts w:ascii="Calibri" w:hAnsi="Calibri"/>
                <w:b w:val="0"/>
                <w:i w:val="0"/>
                <w:sz w:val="18"/>
              </w:rPr>
              <w:t>t_cir(c)</w:t>
            </w:r>
          </w:p>
        </w:tc>
        <w:tc>
          <w:tcPr>
            <w:tcW w:type="dxa" w:w="6123"/>
            <w:shd w:val="clear" w:color="auto" w:fill="EEF3FB"/>
            <w:vAlign w:val="center"/>
          </w:tcPr>
          <w:p>
            <w:pPr>
              <w:jc w:val="center"/>
            </w:pPr>
            <w:r>
              <w:rPr>
                <w:rFonts w:ascii="Calibri" w:hAnsi="Calibri"/>
                <w:b w:val="0"/>
                <w:i w:val="0"/>
                <w:sz w:val="18"/>
              </w:rPr>
              <w:t>Duração operatória do caso c (minutos)</w:t>
            </w:r>
          </w:p>
        </w:tc>
      </w:tr>
      <w:tr>
        <w:tc>
          <w:tcPr>
            <w:tcW w:type="dxa" w:w="2381"/>
            <w:vAlign w:val="center"/>
          </w:tcPr>
          <w:p>
            <w:pPr>
              <w:jc w:val="center"/>
            </w:pPr>
            <w:r>
              <w:rPr>
                <w:rFonts w:ascii="Calibri" w:hAnsi="Calibri"/>
                <w:b w:val="0"/>
                <w:i w:val="0"/>
                <w:sz w:val="18"/>
              </w:rPr>
              <w:t>t_clean(c)</w:t>
            </w:r>
          </w:p>
        </w:tc>
        <w:tc>
          <w:tcPr>
            <w:tcW w:type="dxa" w:w="6123"/>
            <w:vAlign w:val="center"/>
          </w:tcPr>
          <w:p>
            <w:pPr>
              <w:jc w:val="center"/>
            </w:pPr>
            <w:r>
              <w:rPr>
                <w:rFonts w:ascii="Calibri" w:hAnsi="Calibri"/>
                <w:b w:val="0"/>
                <w:i w:val="0"/>
                <w:sz w:val="18"/>
              </w:rPr>
              <w:t>Tempo de limpeza da sala após c — calculado por escalões a partir de t_cir</w:t>
            </w:r>
          </w:p>
        </w:tc>
      </w:tr>
      <w:tr>
        <w:tc>
          <w:tcPr>
            <w:tcW w:type="dxa" w:w="2381"/>
            <w:shd w:val="clear" w:color="auto" w:fill="EEF3FB"/>
            <w:vAlign w:val="center"/>
          </w:tcPr>
          <w:p>
            <w:pPr>
              <w:jc w:val="center"/>
            </w:pPr>
            <w:r>
              <w:rPr>
                <w:rFonts w:ascii="Calibri" w:hAnsi="Calibri"/>
                <w:b w:val="0"/>
                <w:i w:val="0"/>
                <w:sz w:val="18"/>
              </w:rPr>
              <w:t>t_tot(c) = t_cir+t_clean</w:t>
            </w:r>
          </w:p>
        </w:tc>
        <w:tc>
          <w:tcPr>
            <w:tcW w:type="dxa" w:w="6123"/>
            <w:shd w:val="clear" w:color="auto" w:fill="EEF3FB"/>
            <w:vAlign w:val="center"/>
          </w:tcPr>
          <w:p>
            <w:pPr>
              <w:jc w:val="center"/>
            </w:pPr>
            <w:r>
              <w:rPr>
                <w:rFonts w:ascii="Calibri" w:hAnsi="Calibri"/>
                <w:b w:val="0"/>
                <w:i w:val="0"/>
                <w:sz w:val="18"/>
              </w:rPr>
              <w:t>Tempo total de ocupação da sala (operação + limpeza)</w:t>
            </w:r>
          </w:p>
        </w:tc>
      </w:tr>
      <w:tr>
        <w:tc>
          <w:tcPr>
            <w:tcW w:type="dxa" w:w="2381"/>
            <w:vAlign w:val="center"/>
          </w:tcPr>
          <w:p>
            <w:pPr>
              <w:jc w:val="center"/>
            </w:pPr>
            <w:r>
              <w:rPr>
                <w:rFonts w:ascii="Calibri" w:hAnsi="Calibri"/>
                <w:b w:val="0"/>
                <w:i w:val="0"/>
                <w:sz w:val="18"/>
              </w:rPr>
              <w:t>k_{dr}</w:t>
            </w:r>
          </w:p>
        </w:tc>
        <w:tc>
          <w:tcPr>
            <w:tcW w:type="dxa" w:w="6123"/>
            <w:vAlign w:val="center"/>
          </w:tcPr>
          <w:p>
            <w:pPr>
              <w:jc w:val="center"/>
            </w:pPr>
            <w:r>
              <w:rPr>
                <w:rFonts w:ascii="Calibri" w:hAnsi="Calibri"/>
                <w:b w:val="0"/>
                <w:i w:val="0"/>
                <w:sz w:val="18"/>
              </w:rPr>
              <w:t>Minutos de abertura da sala r no dia d</w:t>
            </w:r>
          </w:p>
        </w:tc>
      </w:tr>
      <w:tr>
        <w:tc>
          <w:tcPr>
            <w:tcW w:type="dxa" w:w="2381"/>
            <w:shd w:val="clear" w:color="auto" w:fill="EEF3FB"/>
            <w:vAlign w:val="center"/>
          </w:tcPr>
          <w:p>
            <w:pPr>
              <w:jc w:val="center"/>
            </w:pPr>
            <w:r>
              <w:rPr>
                <w:rFonts w:ascii="Calibri" w:hAnsi="Calibri"/>
                <w:b w:val="0"/>
                <w:i w:val="0"/>
                <w:sz w:val="18"/>
              </w:rPr>
              <w:t>k_{hd}</w:t>
            </w:r>
          </w:p>
        </w:tc>
        <w:tc>
          <w:tcPr>
            <w:tcW w:type="dxa" w:w="6123"/>
            <w:shd w:val="clear" w:color="auto" w:fill="EEF3FB"/>
            <w:vAlign w:val="center"/>
          </w:tcPr>
          <w:p>
            <w:pPr>
              <w:jc w:val="center"/>
            </w:pPr>
            <w:r>
              <w:rPr>
                <w:rFonts w:ascii="Calibri" w:hAnsi="Calibri"/>
                <w:b w:val="0"/>
                <w:i w:val="0"/>
                <w:sz w:val="18"/>
              </w:rPr>
              <w:t>Limite diário de tempo operatório do cirurgião h no dia d (min)</w:t>
            </w:r>
          </w:p>
        </w:tc>
      </w:tr>
      <w:tr>
        <w:tc>
          <w:tcPr>
            <w:tcW w:type="dxa" w:w="2381"/>
            <w:vAlign w:val="center"/>
          </w:tcPr>
          <w:p>
            <w:pPr>
              <w:jc w:val="center"/>
            </w:pPr>
            <w:r>
              <w:rPr>
                <w:rFonts w:ascii="Calibri" w:hAnsi="Calibri"/>
                <w:b w:val="0"/>
                <w:i w:val="0"/>
                <w:sz w:val="18"/>
              </w:rPr>
              <w:t>k_h</w:t>
            </w:r>
          </w:p>
        </w:tc>
        <w:tc>
          <w:tcPr>
            <w:tcW w:type="dxa" w:w="6123"/>
            <w:vAlign w:val="center"/>
          </w:tcPr>
          <w:p>
            <w:pPr>
              <w:jc w:val="center"/>
            </w:pPr>
            <w:r>
              <w:rPr>
                <w:rFonts w:ascii="Calibri" w:hAnsi="Calibri"/>
                <w:b w:val="0"/>
                <w:i w:val="0"/>
                <w:sz w:val="18"/>
              </w:rPr>
              <w:t>Limite semanal de tempo operatório do cirurgião h (min)</w:t>
            </w:r>
          </w:p>
        </w:tc>
      </w:tr>
      <w:tr>
        <w:tc>
          <w:tcPr>
            <w:tcW w:type="dxa" w:w="2381"/>
            <w:shd w:val="clear" w:color="auto" w:fill="EEF3FB"/>
            <w:vAlign w:val="center"/>
          </w:tcPr>
          <w:p>
            <w:pPr>
              <w:jc w:val="center"/>
            </w:pPr>
            <w:r>
              <w:rPr>
                <w:rFonts w:ascii="Calibri" w:hAnsi="Calibri"/>
                <w:b w:val="0"/>
                <w:i w:val="0"/>
                <w:sz w:val="18"/>
              </w:rPr>
              <w:t>pₒ ∈ {1,2,3,4}</w:t>
            </w:r>
          </w:p>
        </w:tc>
        <w:tc>
          <w:tcPr>
            <w:tcW w:type="dxa" w:w="6123"/>
            <w:shd w:val="clear" w:color="auto" w:fill="EEF3FB"/>
            <w:vAlign w:val="center"/>
          </w:tcPr>
          <w:p>
            <w:pPr>
              <w:jc w:val="center"/>
            </w:pPr>
            <w:r>
              <w:rPr>
                <w:rFonts w:ascii="Calibri" w:hAnsi="Calibri"/>
                <w:b w:val="0"/>
                <w:i w:val="0"/>
                <w:sz w:val="18"/>
              </w:rPr>
              <w:t>Prioridade clínica do caso c (1=normal … 4=urgente add-on)</w:t>
            </w:r>
          </w:p>
        </w:tc>
      </w:tr>
      <w:tr>
        <w:tc>
          <w:tcPr>
            <w:tcW w:type="dxa" w:w="2381"/>
            <w:vAlign w:val="center"/>
          </w:tcPr>
          <w:p>
            <w:pPr>
              <w:jc w:val="center"/>
            </w:pPr>
            <w:r>
              <w:rPr>
                <w:rFonts w:ascii="Calibri" w:hAnsi="Calibri"/>
                <w:b w:val="0"/>
                <w:i w:val="0"/>
                <w:sz w:val="18"/>
              </w:rPr>
              <w:t>wl_c</w:t>
            </w:r>
          </w:p>
        </w:tc>
        <w:tc>
          <w:tcPr>
            <w:tcW w:type="dxa" w:w="6123"/>
            <w:vAlign w:val="center"/>
          </w:tcPr>
          <w:p>
            <w:pPr>
              <w:jc w:val="center"/>
            </w:pPr>
            <w:r>
              <w:rPr>
                <w:rFonts w:ascii="Calibri" w:hAnsi="Calibri"/>
                <w:b w:val="0"/>
                <w:i w:val="0"/>
                <w:sz w:val="18"/>
              </w:rPr>
              <w:t>Dias que c já aguardou até à data de planeamento</w:t>
            </w:r>
          </w:p>
        </w:tc>
      </w:tr>
      <w:tr>
        <w:tc>
          <w:tcPr>
            <w:tcW w:type="dxa" w:w="2381"/>
            <w:shd w:val="clear" w:color="auto" w:fill="EEF3FB"/>
            <w:vAlign w:val="center"/>
          </w:tcPr>
          <w:p>
            <w:pPr>
              <w:jc w:val="center"/>
            </w:pPr>
            <w:r>
              <w:rPr>
                <w:rFonts w:ascii="Calibri" w:hAnsi="Calibri"/>
                <w:b w:val="0"/>
                <w:i w:val="0"/>
                <w:sz w:val="18"/>
              </w:rPr>
              <w:t>wl_max(p)</w:t>
            </w:r>
          </w:p>
        </w:tc>
        <w:tc>
          <w:tcPr>
            <w:tcW w:type="dxa" w:w="6123"/>
            <w:shd w:val="clear" w:color="auto" w:fill="EEF3FB"/>
            <w:vAlign w:val="center"/>
          </w:tcPr>
          <w:p>
            <w:pPr>
              <w:jc w:val="center"/>
            </w:pPr>
            <w:r>
              <w:rPr>
                <w:rFonts w:ascii="Calibri" w:hAnsi="Calibri"/>
                <w:b w:val="0"/>
                <w:i w:val="0"/>
                <w:sz w:val="18"/>
              </w:rPr>
              <w:t>Espera máxima aceitável para prioridade p (padrão: 270/60/15/3 dias)</w:t>
            </w:r>
          </w:p>
        </w:tc>
      </w:tr>
      <w:tr>
        <w:tc>
          <w:tcPr>
            <w:tcW w:type="dxa" w:w="2381"/>
            <w:vAlign w:val="center"/>
          </w:tcPr>
          <w:p>
            <w:pPr>
              <w:jc w:val="center"/>
            </w:pPr>
            <w:r>
              <w:rPr>
                <w:rFonts w:ascii="Calibri" w:hAnsi="Calibri"/>
                <w:b w:val="0"/>
                <w:i w:val="0"/>
                <w:sz w:val="18"/>
              </w:rPr>
              <w:t>dd_c = wl_max(pₒ)−wl_c</w:t>
            </w:r>
          </w:p>
        </w:tc>
        <w:tc>
          <w:tcPr>
            <w:tcW w:type="dxa" w:w="6123"/>
            <w:vAlign w:val="center"/>
          </w:tcPr>
          <w:p>
            <w:pPr>
              <w:jc w:val="center"/>
            </w:pPr>
            <w:r>
              <w:rPr>
                <w:rFonts w:ascii="Calibri" w:hAnsi="Calibri"/>
                <w:b w:val="0"/>
                <w:i w:val="0"/>
                <w:sz w:val="18"/>
              </w:rPr>
              <w:t>Folga até ao prazo clínico (negativo = já vencido)</w:t>
            </w:r>
          </w:p>
        </w:tc>
      </w:tr>
      <w:tr>
        <w:tc>
          <w:tcPr>
            <w:tcW w:type="dxa" w:w="2381"/>
            <w:shd w:val="clear" w:color="auto" w:fill="EEF3FB"/>
            <w:vAlign w:val="center"/>
          </w:tcPr>
          <w:p>
            <w:pPr>
              <w:jc w:val="center"/>
            </w:pPr>
            <w:r>
              <w:rPr>
                <w:rFonts w:ascii="Calibri" w:hAnsi="Calibri"/>
                <w:b w:val="0"/>
                <w:i w:val="0"/>
                <w:sz w:val="18"/>
              </w:rPr>
              <w:t>μₚ</w:t>
            </w:r>
          </w:p>
        </w:tc>
        <w:tc>
          <w:tcPr>
            <w:tcW w:type="dxa" w:w="6123"/>
            <w:shd w:val="clear" w:color="auto" w:fill="EEF3FB"/>
            <w:vAlign w:val="center"/>
          </w:tcPr>
          <w:p>
            <w:pPr>
              <w:jc w:val="center"/>
            </w:pPr>
            <w:r>
              <w:rPr>
                <w:rFonts w:ascii="Calibri" w:hAnsi="Calibri"/>
                <w:b w:val="0"/>
                <w:i w:val="0"/>
                <w:sz w:val="18"/>
              </w:rPr>
              <w:t>Multiplicador de prioridade: 1 / 4,5 / 18 / 90 (padrão)</w:t>
            </w:r>
          </w:p>
        </w:tc>
      </w:tr>
      <w:tr>
        <w:tc>
          <w:tcPr>
            <w:tcW w:type="dxa" w:w="2381"/>
            <w:vAlign w:val="center"/>
          </w:tcPr>
          <w:p>
            <w:pPr>
              <w:jc w:val="center"/>
            </w:pPr>
            <w:r>
              <w:rPr>
                <w:rFonts w:ascii="Calibri" w:hAnsi="Calibri"/>
                <w:b w:val="0"/>
                <w:i w:val="0"/>
                <w:sz w:val="18"/>
              </w:rPr>
              <w:t>w_c</w:t>
            </w:r>
          </w:p>
        </w:tc>
        <w:tc>
          <w:tcPr>
            <w:tcW w:type="dxa" w:w="6123"/>
            <w:vAlign w:val="center"/>
          </w:tcPr>
          <w:p>
            <w:pPr>
              <w:jc w:val="center"/>
            </w:pPr>
            <w:r>
              <w:rPr>
                <w:rFonts w:ascii="Calibri" w:hAnsi="Calibri"/>
                <w:b w:val="0"/>
                <w:i w:val="0"/>
                <w:sz w:val="18"/>
              </w:rPr>
              <w:t>Penalização por não agendamento do caso c (ver §3.3)</w:t>
            </w:r>
          </w:p>
        </w:tc>
      </w:tr>
      <w:tr>
        <w:tc>
          <w:tcPr>
            <w:tcW w:type="dxa" w:w="2381"/>
            <w:shd w:val="clear" w:color="auto" w:fill="EEF3FB"/>
            <w:vAlign w:val="center"/>
          </w:tcPr>
          <w:p>
            <w:pPr>
              <w:jc w:val="center"/>
            </w:pPr>
            <w:r>
              <w:rPr>
                <w:rFonts w:ascii="Calibri" w:hAnsi="Calibri"/>
                <w:b w:val="0"/>
                <w:i w:val="0"/>
                <w:sz w:val="18"/>
              </w:rPr>
              <w:t>α &gt; 1</w:t>
            </w:r>
          </w:p>
        </w:tc>
        <w:tc>
          <w:tcPr>
            <w:tcW w:type="dxa" w:w="6123"/>
            <w:shd w:val="clear" w:color="auto" w:fill="EEF3FB"/>
            <w:vAlign w:val="center"/>
          </w:tcPr>
          <w:p>
            <w:pPr>
              <w:jc w:val="center"/>
            </w:pPr>
            <w:r>
              <w:rPr>
                <w:rFonts w:ascii="Calibri" w:hAnsi="Calibri"/>
                <w:b w:val="0"/>
                <w:i w:val="0"/>
                <w:sz w:val="18"/>
              </w:rPr>
              <w:t>Multiplicador de urgência para casos vencidos (padrão α=2,0)</w:t>
            </w:r>
          </w:p>
        </w:tc>
      </w:tr>
      <w:tr>
        <w:tc>
          <w:tcPr>
            <w:tcW w:type="dxa" w:w="2381"/>
            <w:vAlign w:val="center"/>
          </w:tcPr>
          <w:p>
            <w:pPr>
              <w:jc w:val="center"/>
            </w:pPr>
            <w:r>
              <w:rPr>
                <w:rFonts w:ascii="Calibri" w:hAnsi="Calibri"/>
                <w:b w:val="0"/>
                <w:i w:val="0"/>
                <w:sz w:val="18"/>
              </w:rPr>
              <w:t>u_{ce} ∈ {0,1}</w:t>
            </w:r>
          </w:p>
        </w:tc>
        <w:tc>
          <w:tcPr>
            <w:tcW w:type="dxa" w:w="6123"/>
            <w:vAlign w:val="center"/>
          </w:tcPr>
          <w:p>
            <w:pPr>
              <w:jc w:val="center"/>
            </w:pPr>
            <w:r>
              <w:rPr>
                <w:rFonts w:ascii="Calibri" w:hAnsi="Calibri"/>
                <w:b w:val="0"/>
                <w:i w:val="0"/>
                <w:sz w:val="18"/>
              </w:rPr>
              <w:t>1 se o caso c necessita do equipamento e</w:t>
            </w:r>
          </w:p>
        </w:tc>
      </w:tr>
      <w:tr>
        <w:tc>
          <w:tcPr>
            <w:tcW w:type="dxa" w:w="2381"/>
            <w:shd w:val="clear" w:color="auto" w:fill="EEF3FB"/>
            <w:vAlign w:val="center"/>
          </w:tcPr>
          <w:p>
            <w:pPr>
              <w:jc w:val="center"/>
            </w:pPr>
            <w:r>
              <w:rPr>
                <w:rFonts w:ascii="Calibri" w:hAnsi="Calibri"/>
                <w:b w:val="0"/>
                <w:i w:val="0"/>
                <w:sz w:val="18"/>
              </w:rPr>
              <w:t>κ_{ed}</w:t>
            </w:r>
          </w:p>
        </w:tc>
        <w:tc>
          <w:tcPr>
            <w:tcW w:type="dxa" w:w="6123"/>
            <w:shd w:val="clear" w:color="auto" w:fill="EEF3FB"/>
            <w:vAlign w:val="center"/>
          </w:tcPr>
          <w:p>
            <w:pPr>
              <w:jc w:val="center"/>
            </w:pPr>
            <w:r>
              <w:rPr>
                <w:rFonts w:ascii="Calibri" w:hAnsi="Calibri"/>
                <w:b w:val="0"/>
                <w:i w:val="0"/>
                <w:sz w:val="18"/>
              </w:rPr>
              <w:t>Capacidade do equipamento e no dia d</w:t>
            </w:r>
          </w:p>
        </w:tc>
      </w:tr>
      <w:tr>
        <w:tc>
          <w:tcPr>
            <w:tcW w:type="dxa" w:w="2381"/>
            <w:vAlign w:val="center"/>
          </w:tcPr>
          <w:p>
            <w:pPr>
              <w:jc w:val="center"/>
            </w:pPr>
            <w:r>
              <w:rPr>
                <w:rFonts w:ascii="Calibri" w:hAnsi="Calibri"/>
                <w:b w:val="0"/>
                <w:i w:val="0"/>
                <w:sz w:val="18"/>
              </w:rPr>
              <w:t>ρ(c)</w:t>
            </w:r>
          </w:p>
        </w:tc>
        <w:tc>
          <w:tcPr>
            <w:tcW w:type="dxa" w:w="6123"/>
            <w:vAlign w:val="center"/>
          </w:tcPr>
          <w:p>
            <w:pPr>
              <w:jc w:val="center"/>
            </w:pPr>
            <w:r>
              <w:rPr>
                <w:rFonts w:ascii="Calibri" w:hAnsi="Calibri"/>
                <w:b w:val="0"/>
                <w:i w:val="0"/>
                <w:sz w:val="18"/>
              </w:rPr>
              <w:t>Pool de recuperação/UCI necessária ('none' se não aplicável)</w:t>
            </w:r>
          </w:p>
        </w:tc>
      </w:tr>
      <w:tr>
        <w:tc>
          <w:tcPr>
            <w:tcW w:type="dxa" w:w="2381"/>
            <w:shd w:val="clear" w:color="auto" w:fill="EEF3FB"/>
            <w:vAlign w:val="center"/>
          </w:tcPr>
          <w:p>
            <w:pPr>
              <w:jc w:val="center"/>
            </w:pPr>
            <w:r>
              <w:rPr>
                <w:rFonts w:ascii="Calibri" w:hAnsi="Calibri"/>
                <w:b w:val="0"/>
                <w:i w:val="0"/>
                <w:sz w:val="18"/>
              </w:rPr>
              <w:t>los_c</w:t>
            </w:r>
          </w:p>
        </w:tc>
        <w:tc>
          <w:tcPr>
            <w:tcW w:type="dxa" w:w="6123"/>
            <w:shd w:val="clear" w:color="auto" w:fill="EEF3FB"/>
            <w:vAlign w:val="center"/>
          </w:tcPr>
          <w:p>
            <w:pPr>
              <w:jc w:val="center"/>
            </w:pPr>
            <w:r>
              <w:rPr>
                <w:rFonts w:ascii="Calibri" w:hAnsi="Calibri"/>
                <w:b w:val="0"/>
                <w:i w:val="0"/>
                <w:sz w:val="18"/>
              </w:rPr>
              <w:t>Duração da estadia na pool ρ(c), em dias</w:t>
            </w:r>
          </w:p>
        </w:tc>
      </w:tr>
      <w:tr>
        <w:tc>
          <w:tcPr>
            <w:tcW w:type="dxa" w:w="2381"/>
            <w:vAlign w:val="center"/>
          </w:tcPr>
          <w:p>
            <w:pPr>
              <w:jc w:val="center"/>
            </w:pPr>
            <w:r>
              <w:rPr>
                <w:rFonts w:ascii="Calibri" w:hAnsi="Calibri"/>
                <w:b w:val="0"/>
                <w:i w:val="0"/>
                <w:sz w:val="18"/>
              </w:rPr>
              <w:t>β_ρ</w:t>
            </w:r>
          </w:p>
        </w:tc>
        <w:tc>
          <w:tcPr>
            <w:tcW w:type="dxa" w:w="6123"/>
            <w:vAlign w:val="center"/>
          </w:tcPr>
          <w:p>
            <w:pPr>
              <w:jc w:val="center"/>
            </w:pPr>
            <w:r>
              <w:rPr>
                <w:rFonts w:ascii="Calibri" w:hAnsi="Calibri"/>
                <w:b w:val="0"/>
                <w:i w:val="0"/>
                <w:sz w:val="18"/>
              </w:rPr>
              <w:t>Número de camas da pool ρ (constante ao longo da semana)</w:t>
            </w:r>
          </w:p>
        </w:tc>
      </w:tr>
      <w:tr>
        <w:tc>
          <w:tcPr>
            <w:tcW w:type="dxa" w:w="2381"/>
            <w:shd w:val="clear" w:color="auto" w:fill="EEF3FB"/>
            <w:vAlign w:val="center"/>
          </w:tcPr>
          <w:p>
            <w:pPr>
              <w:jc w:val="center"/>
            </w:pPr>
            <w:r>
              <w:rPr>
                <w:rFonts w:ascii="Calibri" w:hAnsi="Calibri"/>
                <w:b w:val="0"/>
                <w:i w:val="0"/>
                <w:sz w:val="18"/>
              </w:rPr>
              <w:t>π_ovf</w:t>
            </w:r>
          </w:p>
        </w:tc>
        <w:tc>
          <w:tcPr>
            <w:tcW w:type="dxa" w:w="6123"/>
            <w:shd w:val="clear" w:color="auto" w:fill="EEF3FB"/>
            <w:vAlign w:val="center"/>
          </w:tcPr>
          <w:p>
            <w:pPr>
              <w:jc w:val="center"/>
            </w:pPr>
            <w:r>
              <w:rPr>
                <w:rFonts w:ascii="Calibri" w:hAnsi="Calibri"/>
                <w:b w:val="0"/>
                <w:i w:val="0"/>
                <w:sz w:val="18"/>
              </w:rPr>
              <w:t>Penalização por dia de estadia que ultrapasse o horizonte semanal (padrão=50)</w:t>
            </w:r>
          </w:p>
        </w:tc>
      </w:tr>
    </w:tbl>
    <w:p>
      <w:pPr>
        <w:spacing w:after="40"/>
      </w:pPr>
    </w:p>
    <w:p>
      <w:pPr>
        <w:spacing w:before="0" w:after="120"/>
        <w:ind w:left="283"/>
        <w:jc w:val="both"/>
      </w:pPr>
      <w:r>
        <w:rPr>
          <w:rFonts w:ascii="Calibri" w:hAnsi="Calibri"/>
          <w:b w:val="0"/>
          <w:i/>
          <w:color w:val="595959"/>
          <w:sz w:val="18"/>
        </w:rPr>
        <w:t>Nota: Tabela 3 — Parâmetros. Todos os valores padrão residem em PlanningInstance (src/model/types.py) — um hospital substitui os seus próprios dados sem tocar no código do solver.</w:t>
      </w:r>
    </w:p>
    <w:p>
      <w:pPr>
        <w:spacing w:before="200" w:after="80"/>
      </w:pPr>
      <w:r>
        <w:rPr>
          <w:rFonts w:ascii="Calibri" w:hAnsi="Calibri"/>
          <w:b/>
          <w:i w:val="0"/>
          <w:color w:val="1F497D"/>
          <w:sz w:val="26"/>
        </w:rPr>
        <w:t>2.1  Calibração dos Parâmetros</w:t>
      </w:r>
    </w:p>
    <w:p>
      <w:pPr>
        <w:spacing w:before="160" w:after="80"/>
      </w:pPr>
      <w:r>
        <w:rPr>
          <w:rFonts w:ascii="Calibri" w:hAnsi="Calibri"/>
          <w:b/>
          <w:i w:val="0"/>
          <w:color w:val="1F497D"/>
          <w:sz w:val="22"/>
        </w:rPr>
        <w:t>2.1.1  Tempos de limpeza de sala (15 / 25 / 40 minutos)</w:t>
      </w:r>
    </w:p>
    <w:p>
      <w:pPr>
        <w:spacing w:after="120" w:before="0" w:lineRule="auto" w:line="276"/>
        <w:jc w:val="both"/>
      </w:pPr>
      <w:r>
        <w:rPr>
          <w:rFonts w:ascii="Calibri" w:hAnsi="Calibri"/>
          <w:b w:val="0"/>
          <w:i w:val="0"/>
          <w:sz w:val="22"/>
        </w:rPr>
        <w:t>O tempo real de reset de sala varia entre cerca de 15 e 60 minutos dependendo da complexidade do procedimento e das necessidades de controlo de infecção — um único valor fixo para todos os casos subestima essa variação num sentido (sobrecarregando casos rápidos) sem a corrigir no outro (subcarregando casos longos). Os três escalões usados aqui — 15 min se t_cir ≤ 60, 25 min se 60 &lt; t_cir ≤ 150, 40 min se t_cir &gt; 150 — são um proxy deliberadamente simples: casos curtos deixam menos para limpar e repor (menos instrumentos, menos campo cirúrgico), casos longos plausívelmente precisam de mais. Uma implementação real deve substituir estes três números pelos tempos medidos do hospital, agrupados como os seus dados efectivamente se distribuem.</w:t>
      </w:r>
    </w:p>
    <w:p>
      <w:pPr>
        <w:spacing w:before="160" w:after="80"/>
      </w:pPr>
      <w:r>
        <w:rPr>
          <w:rFonts w:ascii="Calibri" w:hAnsi="Calibri"/>
          <w:b/>
          <w:i w:val="0"/>
          <w:color w:val="1F497D"/>
          <w:sz w:val="22"/>
        </w:rPr>
        <w:t>2.1.2  Horas de sala e limites de cirurgião</w:t>
      </w:r>
    </w:p>
    <w:p>
      <w:pPr>
        <w:spacing w:after="120" w:before="0" w:lineRule="auto" w:line="276"/>
        <w:jc w:val="both"/>
      </w:pPr>
      <w:r>
        <w:rPr>
          <w:rFonts w:ascii="Calibri" w:hAnsi="Calibri"/>
          <w:b w:val="0"/>
          <w:i w:val="0"/>
          <w:sz w:val="22"/>
        </w:rPr>
        <w:t>Os minutos de abertura das salas na instância demo variam entre 360 e 660 min/dia (6 a 11 horas) — concebidos para dar à instância uma mistura de salas apertadas e generosas, não extraídos de nenhum hospital real. Os limites de cirurgião (240 min/dia, 960 min/semana na instância demo) correspondem a uma sessão padrão de meio dia de bloco (Cardoen et al., 2010) e a quatro sessões semanais — uma agenda típica de cirurgião consultor que divide o seu tempo entre bloco, consultas, visitas de enfermaria e disponibilidade de urgência. A instância média usa 300/1300 — um hospital de maior volume, uma escolha explícita de modelação para testes em escala.</w:t>
      </w:r>
    </w:p>
    <w:p>
      <w:pPr>
        <w:spacing w:before="160" w:after="80"/>
      </w:pPr>
      <w:r>
        <w:rPr>
          <w:rFonts w:ascii="Calibri" w:hAnsi="Calibri"/>
          <w:b/>
          <w:i w:val="0"/>
          <w:color w:val="1F497D"/>
          <w:sz w:val="22"/>
        </w:rPr>
        <w:t>2.1.3  Esperas máximas e multiplicadores de prioridade</w:t>
      </w:r>
    </w:p>
    <w:p>
      <w:pPr>
        <w:spacing w:after="120" w:before="0" w:lineRule="auto" w:line="276"/>
        <w:jc w:val="both"/>
      </w:pPr>
      <w:r>
        <w:rPr>
          <w:rFonts w:ascii="Calibri" w:hAnsi="Calibri"/>
          <w:b w:val="0"/>
          <w:i w:val="0"/>
          <w:sz w:val="22"/>
        </w:rPr>
        <w:t>Os valores padrão de espera máxima (270/60/15/3 dias) são retirados directamente da política SIGIC (§1.1) — usados como ponto de partida baseado em evidências precisamente porque são a política real de um sistema existente, não porque este modelo vise especificamente o sistema português. Um hospital com os seus próprios objetivos de tempo de espera publicados deve substituir estes valores.</w:t>
      </w:r>
    </w:p>
    <w:p>
      <w:pPr>
        <w:spacing w:after="120" w:before="0" w:lineRule="auto" w:line="276"/>
        <w:jc w:val="both"/>
      </w:pPr>
      <w:r>
        <w:rPr>
          <w:rFonts w:ascii="Calibri" w:hAnsi="Calibri"/>
          <w:b w:val="0"/>
          <w:i w:val="0"/>
          <w:sz w:val="22"/>
        </w:rPr>
        <w:t>Os multiplicadores μₚ (1 / 4,5 / 18 / 90) não são um conjunto de números separadamente inventado — derivam directamente das mesmas figuras de espera máxima, como o rácio do tempo máximo da prioridade 1 para o de cada nível:</w:t>
      </w:r>
    </w:p>
    <w:p>
      <w:pPr>
        <w:spacing w:before="60" w:after="60"/>
        <w:jc w:val="center"/>
      </w:pPr>
      <w:r>
        <w:rPr>
          <w:rFonts w:ascii="Courier New" w:hAnsi="Courier New"/>
          <w:b w:val="0"/>
          <w:i w:val="0"/>
          <w:sz w:val="19"/>
        </w:rPr>
        <w:t>μₚ = wl_max(P1) / wl_max(Pₚ)  →  μ₂=270/60=4,5   μ₃=270/15=18   μ₄=270/3=90</w:t>
      </w:r>
    </w:p>
    <w:p>
      <w:pPr>
        <w:spacing w:after="120" w:before="0" w:lineRule="auto" w:line="276"/>
        <w:jc w:val="both"/>
      </w:pPr>
      <w:r>
        <w:rPr>
          <w:rFonts w:ascii="Calibri" w:hAnsi="Calibri"/>
          <w:b w:val="0"/>
          <w:i w:val="0"/>
          <w:sz w:val="22"/>
        </w:rPr>
        <w:t>O raciocínio: um nível que só tem 1/12 do tempo de espera da P1 antes de incumprir é, pelo próprio design da política, 12× mais sensível à espera — por isso ponderar um dia de incumprimento nesse nível 12× mais é consistente com a mesma política que definiu os limites de espera. É um ponto de partida real, mas continua a ser uma escolha de modelação, não um facto empírico.</w:t>
      </w:r>
    </w:p>
    <w:p>
      <w:pPr>
        <w:spacing w:before="160" w:after="80"/>
      </w:pPr>
      <w:r>
        <w:rPr>
          <w:rFonts w:ascii="Calibri" w:hAnsi="Calibri"/>
          <w:b/>
          <w:i w:val="0"/>
          <w:color w:val="1F497D"/>
          <w:sz w:val="22"/>
        </w:rPr>
        <w:t>2.1.4  Multiplicador de urgência α e margem de deslocamento</w:t>
      </w:r>
    </w:p>
    <w:p>
      <w:pPr>
        <w:spacing w:after="120" w:before="0" w:lineRule="auto" w:line="276"/>
        <w:jc w:val="both"/>
      </w:pPr>
      <w:r>
        <w:rPr>
          <w:rFonts w:ascii="Calibri" w:hAnsi="Calibri"/>
          <w:b w:val="0"/>
          <w:i w:val="0"/>
          <w:sz w:val="22"/>
        </w:rPr>
        <w:t>α=2,0 escala o coeficiente de dia para casos já vencidos na Função Objectivo Termo 2, fazendo o modelo preferir colocar um caso vencido mais cedo na semana uma vez que decide agendá-lo. α não aparece em mais nenhum lugar — não na penalização por não agendamento, não em nenhuma restrição. Um hospital que ajuste este valor decide apenas com que força adiantar casos atrasados, não quantos casos atrasados são servidos.</w:t>
      </w:r>
    </w:p>
    <w:p>
      <w:pPr>
        <w:spacing w:after="120" w:before="0" w:lineRule="auto" w:line="276"/>
        <w:jc w:val="both"/>
      </w:pPr>
      <w:r>
        <w:rPr>
          <w:rFonts w:ascii="Calibri" w:hAnsi="Calibri"/>
          <w:b w:val="0"/>
          <w:i w:val="0"/>
          <w:sz w:val="22"/>
        </w:rPr>
        <w:t>A penalização por não agendamento w_c precisa de dominar todos os coeficientes dos Termos 1-2 que um caso agendado pode acumular, ou o modelo poderia preferir abandonar um caso agendável apenas para evitar uma penalização de atraso. O coeficiente máximo é limitado por max(dd_c) + α·n_dias; logo a margem mínima segura é:</w:t>
      </w:r>
    </w:p>
    <w:p>
      <w:pPr>
        <w:spacing w:before="60" w:after="60"/>
        <w:jc w:val="center"/>
      </w:pPr>
      <w:r>
        <w:rPr>
          <w:rFonts w:ascii="Courier New" w:hAnsi="Courier New"/>
          <w:b w:val="0"/>
          <w:i w:val="0"/>
          <w:sz w:val="19"/>
        </w:rPr>
        <w:t>margem_min = 1 + (α · n_dias) / max(dd_c)  ≈  1,037   (com α=2, n_dias=5, max_dd≈270)</w:t>
      </w:r>
    </w:p>
    <w:p>
      <w:pPr>
        <w:spacing w:after="120" w:before="0" w:lineRule="auto" w:line="276"/>
        <w:jc w:val="both"/>
      </w:pPr>
      <w:r>
        <w:rPr>
          <w:rFonts w:ascii="Calibri" w:hAnsi="Calibri"/>
          <w:b w:val="0"/>
          <w:i w:val="0"/>
          <w:sz w:val="22"/>
        </w:rPr>
        <w:t>O factor 1,2× utilizado em w_c supera esta margem com folga real — o que importa porque max(dd_c) encolhe numa instância com apenas casos de horizonte curto e alta prioridade, e uma margem fixa tem de ser segura em toda essa gama.</w:t>
      </w:r>
    </w:p>
    <w:p>
      <w:pPr>
        <w:spacing w:before="160" w:after="80"/>
      </w:pPr>
      <w:r>
        <w:rPr>
          <w:rFonts w:ascii="Calibri" w:hAnsi="Calibri"/>
          <w:b/>
          <w:i w:val="0"/>
          <w:color w:val="1F497D"/>
          <w:sz w:val="22"/>
        </w:rPr>
        <w:t>2.1.5  Capacidade de equipamento e camas</w:t>
      </w:r>
    </w:p>
    <w:p>
      <w:pPr>
        <w:spacing w:after="120" w:before="0" w:lineRule="auto" w:line="276"/>
        <w:jc w:val="both"/>
      </w:pPr>
      <w:r>
        <w:rPr>
          <w:rFonts w:ascii="Calibri" w:hAnsi="Calibri"/>
          <w:b w:val="0"/>
          <w:i w:val="0"/>
          <w:sz w:val="22"/>
        </w:rPr>
        <w:t>A instância demo dá ao C-arm uma capacidade de exactamente 1, deliberadamente apertada para forçar contendência real entre os quatro casos que o necessitam — o objectivo deste parâmetro na instância demo é tornar o gap CP vs. MILP visível, não modelar o inventário de um hospital específico. A instância média escala para 2, acompanhando livremente o maior volume de casos.</w:t>
      </w:r>
    </w:p>
    <w:p>
      <w:pPr>
        <w:spacing w:after="120" w:before="0" w:lineRule="auto" w:line="276"/>
        <w:jc w:val="both"/>
      </w:pPr>
      <w:r>
        <w:rPr>
          <w:rFonts w:ascii="Calibri" w:hAnsi="Calibri"/>
          <w:b w:val="0"/>
          <w:i w:val="0"/>
          <w:sz w:val="22"/>
        </w:rPr>
        <w:t>A capacidade de camas UCI (2/dia na demo, 6/dia na média) segue a mesma lógica: suficientemente apertada para que dois casos de longa estadia criem pressão real na pool, sem tornar a instância inviável à partida. A penalização de overflow π_ovf=50 por dia é dimensionada para ficar entre os dois extremos que precisa de equilibrar: grande o suficiente face a uma oscilação típica do Termo 1-2 para que o modelo evite activamente empurrar uma estadia para além do horizonte quando existe uma alternativa de igual qualidade, mas pequena o suficiente face a w_c (que vai de centenas a baixos milhares com o multiplicador de prioridade) para que o modelo nunca prefira abandonar um caso apenas para evitar um dia de overflow.</w:t>
      </w:r>
    </w:p>
    <w:p>
      <w:r>
        <w:br w:type="page"/>
      </w:r>
    </w:p>
    <w:p>
      <w:pPr>
        <w:spacing w:before="320" w:after="80"/>
      </w:pPr>
      <w:r>
        <w:rPr>
          <w:rFonts w:ascii="Calibri" w:hAnsi="Calibri"/>
          <w:b/>
          <w:i w:val="0"/>
          <w:color w:val="1F497D"/>
          <w:sz w:val="32"/>
        </w:rPr>
        <w:t>3. Dados das Instâncias de Teste</w:t>
      </w:r>
    </w:p>
    <w:p>
      <w:pPr>
        <w:spacing w:after="120" w:before="0" w:lineRule="auto" w:line="276"/>
        <w:jc w:val="both"/>
      </w:pPr>
      <w:r>
        <w:rPr>
          <w:rFonts w:ascii="Calibri" w:hAnsi="Calibri"/>
          <w:b w:val="0"/>
          <w:i w:val="0"/>
          <w:sz w:val="22"/>
        </w:rPr>
        <w:t>Duas instâncias são fornecidas em src/data/instances.py. A instância demo é pequena o suficiente para ser verificada manualmente e exercita todas as famílias de restrições. A instância média valida o modelo a uma escala que não permite inspecção caso a caso, e onde a diferença CP-SAT vs. MILP do §1.2 se manifesta de forma mensurável.</w:t>
      </w:r>
    </w:p>
    <w:p>
      <w:pPr>
        <w:spacing w:before="200" w:after="80"/>
      </w:pPr>
      <w:r>
        <w:rPr>
          <w:rFonts w:ascii="Calibri" w:hAnsi="Calibri"/>
          <w:b/>
          <w:i w:val="0"/>
          <w:color w:val="1F497D"/>
          <w:sz w:val="26"/>
        </w:rPr>
        <w:t>3.1  Instância Demo — 20 casos, 5 salas, 6 cirurgiões</w:t>
      </w:r>
    </w:p>
    <w:p>
      <w:pPr>
        <w:spacing w:after="120" w:before="0" w:lineRule="auto" w:line="276"/>
        <w:jc w:val="both"/>
      </w:pPr>
      <w:r>
        <w:rPr>
          <w:rFonts w:ascii="Calibri" w:hAnsi="Calibri"/>
          <w:b w:val="0"/>
          <w:i w:val="0"/>
          <w:sz w:val="22"/>
        </w:rPr>
        <w:t>Serviços: ORL (Otorrinolaringologia), ORTHO (Ortopedia), VASC (Cirurgia Vascular). Regras especiais activas: bloqueio pediátrico (salas ORL à 6.ª feira restritas a doentes com ≤ 8 anos), equipamento partilhado (C-arm de fluoroscopia, capacidade 1/dia partilhada por todas as salas VASC) e camas de UCI (2/dia partilhadas pelo hospital).</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020"/>
            <w:shd w:val="clear" w:color="auto" w:fill="1F497D"/>
            <w:vAlign w:val="center"/>
          </w:tcPr>
          <w:p>
            <w:pPr>
              <w:jc w:val="center"/>
            </w:pPr>
            <w:r>
              <w:rPr>
                <w:rFonts w:ascii="Calibri" w:hAnsi="Calibri"/>
                <w:b/>
                <w:i w:val="0"/>
                <w:color w:val="FFFFFF"/>
                <w:sz w:val="18"/>
              </w:rPr>
              <w:t>ID Sala</w:t>
            </w:r>
          </w:p>
        </w:tc>
        <w:tc>
          <w:tcPr>
            <w:tcW w:type="dxa" w:w="1020"/>
            <w:shd w:val="clear" w:color="auto" w:fill="1F497D"/>
            <w:vAlign w:val="center"/>
          </w:tcPr>
          <w:p>
            <w:pPr>
              <w:jc w:val="center"/>
            </w:pPr>
            <w:r>
              <w:rPr>
                <w:rFonts w:ascii="Calibri" w:hAnsi="Calibri"/>
                <w:b/>
                <w:i w:val="0"/>
                <w:color w:val="FFFFFF"/>
                <w:sz w:val="18"/>
              </w:rPr>
              <w:t>Bloco</w:t>
            </w:r>
          </w:p>
        </w:tc>
        <w:tc>
          <w:tcPr>
            <w:tcW w:type="dxa" w:w="1020"/>
            <w:shd w:val="clear" w:color="auto" w:fill="1F497D"/>
            <w:vAlign w:val="center"/>
          </w:tcPr>
          <w:p>
            <w:pPr>
              <w:jc w:val="center"/>
            </w:pPr>
            <w:r>
              <w:rPr>
                <w:rFonts w:ascii="Calibri" w:hAnsi="Calibri"/>
                <w:b/>
                <w:i w:val="0"/>
                <w:color w:val="FFFFFF"/>
                <w:sz w:val="18"/>
              </w:rPr>
              <w:t>Serviço</w:t>
            </w:r>
          </w:p>
        </w:tc>
        <w:tc>
          <w:tcPr>
            <w:tcW w:type="dxa" w:w="1417"/>
            <w:shd w:val="clear" w:color="auto" w:fill="1F497D"/>
            <w:vAlign w:val="center"/>
          </w:tcPr>
          <w:p>
            <w:pPr>
              <w:jc w:val="center"/>
            </w:pPr>
            <w:r>
              <w:rPr>
                <w:rFonts w:ascii="Calibri" w:hAnsi="Calibri"/>
                <w:b/>
                <w:i w:val="0"/>
                <w:color w:val="FFFFFF"/>
                <w:sz w:val="18"/>
              </w:rPr>
              <w:t>Cap. (min/dia)</w:t>
            </w:r>
          </w:p>
        </w:tc>
        <w:tc>
          <w:tcPr>
            <w:tcW w:type="dxa" w:w="1247"/>
            <w:shd w:val="clear" w:color="auto" w:fill="1F497D"/>
            <w:vAlign w:val="center"/>
          </w:tcPr>
          <w:p>
            <w:pPr>
              <w:jc w:val="center"/>
            </w:pPr>
            <w:r>
              <w:rPr>
                <w:rFonts w:ascii="Calibri" w:hAnsi="Calibri"/>
                <w:b/>
                <w:i w:val="0"/>
                <w:color w:val="FFFFFF"/>
                <w:sz w:val="18"/>
              </w:rPr>
              <w:t>Ambulatório?</w:t>
            </w:r>
          </w:p>
        </w:tc>
        <w:tc>
          <w:tcPr>
            <w:tcW w:type="dxa" w:w="2835"/>
            <w:shd w:val="clear" w:color="auto" w:fill="1F497D"/>
            <w:vAlign w:val="center"/>
          </w:tcPr>
          <w:p>
            <w:pPr>
              <w:jc w:val="center"/>
            </w:pPr>
            <w:r>
              <w:rPr>
                <w:rFonts w:ascii="Calibri" w:hAnsi="Calibri"/>
                <w:b/>
                <w:i w:val="0"/>
                <w:color w:val="FFFFFF"/>
                <w:sz w:val="18"/>
              </w:rPr>
              <w:t>Regra especial</w:t>
            </w:r>
          </w:p>
        </w:tc>
      </w:tr>
      <w:tr>
        <w:tc>
          <w:tcPr>
            <w:tcW w:type="dxa" w:w="1020"/>
            <w:shd w:val="clear" w:color="auto" w:fill="EEF3FB"/>
            <w:vAlign w:val="center"/>
          </w:tcPr>
          <w:p>
            <w:pPr>
              <w:jc w:val="center"/>
            </w:pPr>
            <w:r>
              <w:rPr>
                <w:rFonts w:ascii="Calibri" w:hAnsi="Calibri"/>
                <w:b w:val="0"/>
                <w:i w:val="0"/>
                <w:sz w:val="18"/>
              </w:rPr>
              <w:t>R_ENT1</w:t>
            </w:r>
          </w:p>
        </w:tc>
        <w:tc>
          <w:tcPr>
            <w:tcW w:type="dxa" w:w="1020"/>
            <w:shd w:val="clear" w:color="auto" w:fill="EEF3FB"/>
            <w:vAlign w:val="center"/>
          </w:tcPr>
          <w:p>
            <w:pPr>
              <w:jc w:val="center"/>
            </w:pPr>
            <w:r>
              <w:rPr>
                <w:rFonts w:ascii="Calibri" w:hAnsi="Calibri"/>
                <w:b w:val="0"/>
                <w:i w:val="0"/>
                <w:sz w:val="18"/>
              </w:rPr>
              <w:t>B_ENT</w:t>
            </w:r>
          </w:p>
        </w:tc>
        <w:tc>
          <w:tcPr>
            <w:tcW w:type="dxa" w:w="1020"/>
            <w:shd w:val="clear" w:color="auto" w:fill="EEF3FB"/>
            <w:vAlign w:val="center"/>
          </w:tcPr>
          <w:p>
            <w:pPr>
              <w:jc w:val="center"/>
            </w:pPr>
            <w:r>
              <w:rPr>
                <w:rFonts w:ascii="Calibri" w:hAnsi="Calibri"/>
                <w:b w:val="0"/>
                <w:i w:val="0"/>
                <w:sz w:val="18"/>
              </w:rPr>
              <w:t>ORL</w:t>
            </w:r>
          </w:p>
        </w:tc>
        <w:tc>
          <w:tcPr>
            <w:tcW w:type="dxa" w:w="1417"/>
            <w:shd w:val="clear" w:color="auto" w:fill="EEF3FB"/>
            <w:vAlign w:val="center"/>
          </w:tcPr>
          <w:p>
            <w:pPr>
              <w:jc w:val="center"/>
            </w:pPr>
            <w:r>
              <w:rPr>
                <w:rFonts w:ascii="Calibri" w:hAnsi="Calibri"/>
                <w:b w:val="0"/>
                <w:i w:val="0"/>
                <w:sz w:val="18"/>
              </w:rPr>
              <w:t>360</w:t>
            </w:r>
          </w:p>
        </w:tc>
        <w:tc>
          <w:tcPr>
            <w:tcW w:type="dxa" w:w="1247"/>
            <w:shd w:val="clear" w:color="auto" w:fill="EEF3FB"/>
            <w:vAlign w:val="center"/>
          </w:tcPr>
          <w:p>
            <w:pPr>
              <w:jc w:val="center"/>
            </w:pPr>
            <w:r>
              <w:rPr>
                <w:rFonts w:ascii="Calibri" w:hAnsi="Calibri"/>
                <w:b w:val="0"/>
                <w:i w:val="0"/>
                <w:sz w:val="18"/>
              </w:rPr>
              <w:t>Não</w:t>
            </w:r>
          </w:p>
        </w:tc>
        <w:tc>
          <w:tcPr>
            <w:tcW w:type="dxa" w:w="2835"/>
            <w:shd w:val="clear" w:color="auto" w:fill="EEF3FB"/>
            <w:vAlign w:val="center"/>
          </w:tcPr>
          <w:p>
            <w:pPr>
              <w:jc w:val="center"/>
            </w:pPr>
            <w:r>
              <w:rPr>
                <w:rFonts w:ascii="Calibri" w:hAnsi="Calibri"/>
                <w:b w:val="0"/>
                <w:i w:val="0"/>
                <w:sz w:val="18"/>
              </w:rPr>
              <w:t>Bloqueio pediátrico 6.ª feira (≤8 anos)</w:t>
            </w:r>
          </w:p>
        </w:tc>
      </w:tr>
      <w:tr>
        <w:tc>
          <w:tcPr>
            <w:tcW w:type="dxa" w:w="1020"/>
            <w:vAlign w:val="center"/>
          </w:tcPr>
          <w:p>
            <w:pPr>
              <w:jc w:val="center"/>
            </w:pPr>
            <w:r>
              <w:rPr>
                <w:rFonts w:ascii="Calibri" w:hAnsi="Calibri"/>
                <w:b w:val="0"/>
                <w:i w:val="0"/>
                <w:sz w:val="18"/>
              </w:rPr>
              <w:t>R_ENT2</w:t>
            </w:r>
          </w:p>
        </w:tc>
        <w:tc>
          <w:tcPr>
            <w:tcW w:type="dxa" w:w="1020"/>
            <w:vAlign w:val="center"/>
          </w:tcPr>
          <w:p>
            <w:pPr>
              <w:jc w:val="center"/>
            </w:pPr>
            <w:r>
              <w:rPr>
                <w:rFonts w:ascii="Calibri" w:hAnsi="Calibri"/>
                <w:b w:val="0"/>
                <w:i w:val="0"/>
                <w:sz w:val="18"/>
              </w:rPr>
              <w:t>B_ENT</w:t>
            </w:r>
          </w:p>
        </w:tc>
        <w:tc>
          <w:tcPr>
            <w:tcW w:type="dxa" w:w="1020"/>
            <w:vAlign w:val="center"/>
          </w:tcPr>
          <w:p>
            <w:pPr>
              <w:jc w:val="center"/>
            </w:pPr>
            <w:r>
              <w:rPr>
                <w:rFonts w:ascii="Calibri" w:hAnsi="Calibri"/>
                <w:b w:val="0"/>
                <w:i w:val="0"/>
                <w:sz w:val="18"/>
              </w:rPr>
              <w:t>ORL</w:t>
            </w:r>
          </w:p>
        </w:tc>
        <w:tc>
          <w:tcPr>
            <w:tcW w:type="dxa" w:w="1417"/>
            <w:vAlign w:val="center"/>
          </w:tcPr>
          <w:p>
            <w:pPr>
              <w:jc w:val="center"/>
            </w:pPr>
            <w:r>
              <w:rPr>
                <w:rFonts w:ascii="Calibri" w:hAnsi="Calibri"/>
                <w:b w:val="0"/>
                <w:i w:val="0"/>
                <w:sz w:val="18"/>
              </w:rPr>
              <w:t>360</w:t>
            </w:r>
          </w:p>
        </w:tc>
        <w:tc>
          <w:tcPr>
            <w:tcW w:type="dxa" w:w="1247"/>
            <w:vAlign w:val="center"/>
          </w:tcPr>
          <w:p>
            <w:pPr>
              <w:jc w:val="center"/>
            </w:pPr>
            <w:r>
              <w:rPr>
                <w:rFonts w:ascii="Calibri" w:hAnsi="Calibri"/>
                <w:b w:val="0"/>
                <w:i w:val="0"/>
                <w:sz w:val="18"/>
              </w:rPr>
              <w:t>Não</w:t>
            </w:r>
          </w:p>
        </w:tc>
        <w:tc>
          <w:tcPr>
            <w:tcW w:type="dxa" w:w="2835"/>
            <w:vAlign w:val="center"/>
          </w:tcPr>
          <w:p>
            <w:pPr>
              <w:jc w:val="center"/>
            </w:pPr>
            <w:r>
              <w:rPr>
                <w:rFonts w:ascii="Calibri" w:hAnsi="Calibri"/>
                <w:b w:val="0"/>
                <w:i w:val="0"/>
                <w:sz w:val="18"/>
              </w:rPr>
              <w:t>Bloqueio pediátrico 6.ª feira (≤8 anos)</w:t>
            </w:r>
          </w:p>
        </w:tc>
      </w:tr>
      <w:tr>
        <w:tc>
          <w:tcPr>
            <w:tcW w:type="dxa" w:w="1020"/>
            <w:shd w:val="clear" w:color="auto" w:fill="EEF3FB"/>
            <w:vAlign w:val="center"/>
          </w:tcPr>
          <w:p>
            <w:pPr>
              <w:jc w:val="center"/>
            </w:pPr>
            <w:r>
              <w:rPr>
                <w:rFonts w:ascii="Calibri" w:hAnsi="Calibri"/>
                <w:b w:val="0"/>
                <w:i w:val="0"/>
                <w:sz w:val="18"/>
              </w:rPr>
              <w:t>R_ORTHO1</w:t>
            </w:r>
          </w:p>
        </w:tc>
        <w:tc>
          <w:tcPr>
            <w:tcW w:type="dxa" w:w="1020"/>
            <w:shd w:val="clear" w:color="auto" w:fill="EEF3FB"/>
            <w:vAlign w:val="center"/>
          </w:tcPr>
          <w:p>
            <w:pPr>
              <w:jc w:val="center"/>
            </w:pPr>
            <w:r>
              <w:rPr>
                <w:rFonts w:ascii="Calibri" w:hAnsi="Calibri"/>
                <w:b w:val="0"/>
                <w:i w:val="0"/>
                <w:sz w:val="18"/>
              </w:rPr>
              <w:t>B_ORTHO</w:t>
            </w:r>
          </w:p>
        </w:tc>
        <w:tc>
          <w:tcPr>
            <w:tcW w:type="dxa" w:w="1020"/>
            <w:shd w:val="clear" w:color="auto" w:fill="EEF3FB"/>
            <w:vAlign w:val="center"/>
          </w:tcPr>
          <w:p>
            <w:pPr>
              <w:jc w:val="center"/>
            </w:pPr>
            <w:r>
              <w:rPr>
                <w:rFonts w:ascii="Calibri" w:hAnsi="Calibri"/>
                <w:b w:val="0"/>
                <w:i w:val="0"/>
                <w:sz w:val="18"/>
              </w:rPr>
              <w:t>ORTHO</w:t>
            </w:r>
          </w:p>
        </w:tc>
        <w:tc>
          <w:tcPr>
            <w:tcW w:type="dxa" w:w="1417"/>
            <w:shd w:val="clear" w:color="auto" w:fill="EEF3FB"/>
            <w:vAlign w:val="center"/>
          </w:tcPr>
          <w:p>
            <w:pPr>
              <w:jc w:val="center"/>
            </w:pPr>
            <w:r>
              <w:rPr>
                <w:rFonts w:ascii="Calibri" w:hAnsi="Calibri"/>
                <w:b w:val="0"/>
                <w:i w:val="0"/>
                <w:sz w:val="18"/>
              </w:rPr>
              <w:t>450</w:t>
            </w:r>
          </w:p>
        </w:tc>
        <w:tc>
          <w:tcPr>
            <w:tcW w:type="dxa" w:w="1247"/>
            <w:shd w:val="clear" w:color="auto" w:fill="EEF3FB"/>
            <w:vAlign w:val="center"/>
          </w:tcPr>
          <w:p>
            <w:pPr>
              <w:jc w:val="center"/>
            </w:pPr>
            <w:r>
              <w:rPr>
                <w:rFonts w:ascii="Calibri" w:hAnsi="Calibri"/>
                <w:b w:val="0"/>
                <w:i w:val="0"/>
                <w:sz w:val="18"/>
              </w:rPr>
              <w:t>Não</w:t>
            </w:r>
          </w:p>
        </w:tc>
        <w:tc>
          <w:tcPr>
            <w:tcW w:type="dxa" w:w="2835"/>
            <w:shd w:val="clear" w:color="auto" w:fill="EEF3FB"/>
            <w:vAlign w:val="center"/>
          </w:tcPr>
          <w:p>
            <w:pPr>
              <w:jc w:val="center"/>
            </w:pPr>
            <w:r>
              <w:rPr>
                <w:rFonts w:ascii="Calibri" w:hAnsi="Calibri"/>
                <w:b w:val="0"/>
                <w:i w:val="0"/>
                <w:sz w:val="18"/>
              </w:rPr>
              <w:t>—</w:t>
            </w:r>
          </w:p>
        </w:tc>
      </w:tr>
      <w:tr>
        <w:tc>
          <w:tcPr>
            <w:tcW w:type="dxa" w:w="1020"/>
            <w:vAlign w:val="center"/>
          </w:tcPr>
          <w:p>
            <w:pPr>
              <w:jc w:val="center"/>
            </w:pPr>
            <w:r>
              <w:rPr>
                <w:rFonts w:ascii="Calibri" w:hAnsi="Calibri"/>
                <w:b w:val="0"/>
                <w:i w:val="0"/>
                <w:sz w:val="18"/>
              </w:rPr>
              <w:t>R_VASC1</w:t>
            </w:r>
          </w:p>
        </w:tc>
        <w:tc>
          <w:tcPr>
            <w:tcW w:type="dxa" w:w="1020"/>
            <w:vAlign w:val="center"/>
          </w:tcPr>
          <w:p>
            <w:pPr>
              <w:jc w:val="center"/>
            </w:pPr>
            <w:r>
              <w:rPr>
                <w:rFonts w:ascii="Calibri" w:hAnsi="Calibri"/>
                <w:b w:val="0"/>
                <w:i w:val="0"/>
                <w:sz w:val="18"/>
              </w:rPr>
              <w:t>B_VASC</w:t>
            </w:r>
          </w:p>
        </w:tc>
        <w:tc>
          <w:tcPr>
            <w:tcW w:type="dxa" w:w="1020"/>
            <w:vAlign w:val="center"/>
          </w:tcPr>
          <w:p>
            <w:pPr>
              <w:jc w:val="center"/>
            </w:pPr>
            <w:r>
              <w:rPr>
                <w:rFonts w:ascii="Calibri" w:hAnsi="Calibri"/>
                <w:b w:val="0"/>
                <w:i w:val="0"/>
                <w:sz w:val="18"/>
              </w:rPr>
              <w:t>VASC</w:t>
            </w:r>
          </w:p>
        </w:tc>
        <w:tc>
          <w:tcPr>
            <w:tcW w:type="dxa" w:w="1417"/>
            <w:vAlign w:val="center"/>
          </w:tcPr>
          <w:p>
            <w:pPr>
              <w:jc w:val="center"/>
            </w:pPr>
            <w:r>
              <w:rPr>
                <w:rFonts w:ascii="Calibri" w:hAnsi="Calibri"/>
                <w:b w:val="0"/>
                <w:i w:val="0"/>
                <w:sz w:val="18"/>
              </w:rPr>
              <w:t>660</w:t>
            </w:r>
          </w:p>
        </w:tc>
        <w:tc>
          <w:tcPr>
            <w:tcW w:type="dxa" w:w="1247"/>
            <w:vAlign w:val="center"/>
          </w:tcPr>
          <w:p>
            <w:pPr>
              <w:jc w:val="center"/>
            </w:pPr>
            <w:r>
              <w:rPr>
                <w:rFonts w:ascii="Calibri" w:hAnsi="Calibri"/>
                <w:b w:val="0"/>
                <w:i w:val="0"/>
                <w:sz w:val="18"/>
              </w:rPr>
              <w:t>Não</w:t>
            </w:r>
          </w:p>
        </w:tc>
        <w:tc>
          <w:tcPr>
            <w:tcW w:type="dxa" w:w="2835"/>
            <w:vAlign w:val="center"/>
          </w:tcPr>
          <w:p>
            <w:pPr>
              <w:jc w:val="center"/>
            </w:pPr>
            <w:r>
              <w:rPr>
                <w:rFonts w:ascii="Calibri" w:hAnsi="Calibri"/>
                <w:b w:val="0"/>
                <w:i w:val="0"/>
                <w:sz w:val="18"/>
              </w:rPr>
              <w:t>C-arm partilhado (cap. 1/dia)</w:t>
            </w:r>
          </w:p>
        </w:tc>
      </w:tr>
      <w:tr>
        <w:tc>
          <w:tcPr>
            <w:tcW w:type="dxa" w:w="1020"/>
            <w:shd w:val="clear" w:color="auto" w:fill="EEF3FB"/>
            <w:vAlign w:val="center"/>
          </w:tcPr>
          <w:p>
            <w:pPr>
              <w:jc w:val="center"/>
            </w:pPr>
            <w:r>
              <w:rPr>
                <w:rFonts w:ascii="Calibri" w:hAnsi="Calibri"/>
                <w:b w:val="0"/>
                <w:i w:val="0"/>
                <w:sz w:val="18"/>
              </w:rPr>
              <w:t>R_VASC2</w:t>
            </w:r>
          </w:p>
        </w:tc>
        <w:tc>
          <w:tcPr>
            <w:tcW w:type="dxa" w:w="1020"/>
            <w:shd w:val="clear" w:color="auto" w:fill="EEF3FB"/>
            <w:vAlign w:val="center"/>
          </w:tcPr>
          <w:p>
            <w:pPr>
              <w:jc w:val="center"/>
            </w:pPr>
            <w:r>
              <w:rPr>
                <w:rFonts w:ascii="Calibri" w:hAnsi="Calibri"/>
                <w:b w:val="0"/>
                <w:i w:val="0"/>
                <w:sz w:val="18"/>
              </w:rPr>
              <w:t>B_VASC</w:t>
            </w:r>
          </w:p>
        </w:tc>
        <w:tc>
          <w:tcPr>
            <w:tcW w:type="dxa" w:w="1020"/>
            <w:shd w:val="clear" w:color="auto" w:fill="EEF3FB"/>
            <w:vAlign w:val="center"/>
          </w:tcPr>
          <w:p>
            <w:pPr>
              <w:jc w:val="center"/>
            </w:pPr>
            <w:r>
              <w:rPr>
                <w:rFonts w:ascii="Calibri" w:hAnsi="Calibri"/>
                <w:b w:val="0"/>
                <w:i w:val="0"/>
                <w:sz w:val="18"/>
              </w:rPr>
              <w:t>VASC</w:t>
            </w:r>
          </w:p>
        </w:tc>
        <w:tc>
          <w:tcPr>
            <w:tcW w:type="dxa" w:w="1417"/>
            <w:shd w:val="clear" w:color="auto" w:fill="EEF3FB"/>
            <w:vAlign w:val="center"/>
          </w:tcPr>
          <w:p>
            <w:pPr>
              <w:jc w:val="center"/>
            </w:pPr>
            <w:r>
              <w:rPr>
                <w:rFonts w:ascii="Calibri" w:hAnsi="Calibri"/>
                <w:b w:val="0"/>
                <w:i w:val="0"/>
                <w:sz w:val="18"/>
              </w:rPr>
              <w:t>660</w:t>
            </w:r>
          </w:p>
        </w:tc>
        <w:tc>
          <w:tcPr>
            <w:tcW w:type="dxa" w:w="1247"/>
            <w:shd w:val="clear" w:color="auto" w:fill="EEF3FB"/>
            <w:vAlign w:val="center"/>
          </w:tcPr>
          <w:p>
            <w:pPr>
              <w:jc w:val="center"/>
            </w:pPr>
            <w:r>
              <w:rPr>
                <w:rFonts w:ascii="Calibri" w:hAnsi="Calibri"/>
                <w:b w:val="0"/>
                <w:i w:val="0"/>
                <w:sz w:val="18"/>
              </w:rPr>
              <w:t>Não</w:t>
            </w:r>
          </w:p>
        </w:tc>
        <w:tc>
          <w:tcPr>
            <w:tcW w:type="dxa" w:w="2835"/>
            <w:shd w:val="clear" w:color="auto" w:fill="EEF3FB"/>
            <w:vAlign w:val="center"/>
          </w:tcPr>
          <w:p>
            <w:pPr>
              <w:jc w:val="center"/>
            </w:pPr>
            <w:r>
              <w:rPr>
                <w:rFonts w:ascii="Calibri" w:hAnsi="Calibri"/>
                <w:b w:val="0"/>
                <w:i w:val="0"/>
                <w:sz w:val="18"/>
              </w:rPr>
              <w:t>C-arm partilhado (cap. 1/dia)</w:t>
            </w:r>
          </w:p>
        </w:tc>
      </w:tr>
    </w:tbl>
    <w:p>
      <w:pPr>
        <w:spacing w:after="40"/>
      </w:pPr>
    </w:p>
    <w:p>
      <w:pPr>
        <w:spacing w:before="0" w:after="120"/>
        <w:ind w:left="283"/>
        <w:jc w:val="both"/>
      </w:pPr>
      <w:r>
        <w:rPr>
          <w:rFonts w:ascii="Calibri" w:hAnsi="Calibri"/>
          <w:b w:val="0"/>
          <w:i/>
          <w:color w:val="595959"/>
          <w:sz w:val="18"/>
        </w:rPr>
        <w:t>Nota: Tabela 4 — Salas operatórias (instância demo). Cada sala está atribuída a um único serviço por dia (rosário de sala) — um caso só pode ser atribuído a uma sala do seu serviço.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97D"/>
            <w:vAlign w:val="center"/>
          </w:tcPr>
          <w:p>
            <w:pPr>
              <w:jc w:val="center"/>
            </w:pPr>
            <w:r>
              <w:rPr>
                <w:rFonts w:ascii="Calibri" w:hAnsi="Calibri"/>
                <w:b/>
                <w:i w:val="0"/>
                <w:color w:val="FFFFFF"/>
                <w:sz w:val="18"/>
              </w:rPr>
              <w:t>ID</w:t>
            </w:r>
          </w:p>
        </w:tc>
        <w:tc>
          <w:tcPr>
            <w:tcW w:type="dxa" w:w="1134"/>
            <w:shd w:val="clear" w:color="auto" w:fill="1F497D"/>
            <w:vAlign w:val="center"/>
          </w:tcPr>
          <w:p>
            <w:pPr>
              <w:jc w:val="center"/>
            </w:pPr>
            <w:r>
              <w:rPr>
                <w:rFonts w:ascii="Calibri" w:hAnsi="Calibri"/>
                <w:b/>
                <w:i w:val="0"/>
                <w:color w:val="FFFFFF"/>
                <w:sz w:val="18"/>
              </w:rPr>
              <w:t>Serviço</w:t>
            </w:r>
          </w:p>
        </w:tc>
        <w:tc>
          <w:tcPr>
            <w:tcW w:type="dxa" w:w="1701"/>
            <w:shd w:val="clear" w:color="auto" w:fill="1F497D"/>
            <w:vAlign w:val="center"/>
          </w:tcPr>
          <w:p>
            <w:pPr>
              <w:jc w:val="center"/>
            </w:pPr>
            <w:r>
              <w:rPr>
                <w:rFonts w:ascii="Calibri" w:hAnsi="Calibri"/>
                <w:b/>
                <w:i w:val="0"/>
                <w:color w:val="FFFFFF"/>
                <w:sz w:val="18"/>
              </w:rPr>
              <w:t>Lim. diário (min)</w:t>
            </w:r>
          </w:p>
        </w:tc>
        <w:tc>
          <w:tcPr>
            <w:tcW w:type="dxa" w:w="1701"/>
            <w:shd w:val="clear" w:color="auto" w:fill="1F497D"/>
            <w:vAlign w:val="center"/>
          </w:tcPr>
          <w:p>
            <w:pPr>
              <w:jc w:val="center"/>
            </w:pPr>
            <w:r>
              <w:rPr>
                <w:rFonts w:ascii="Calibri" w:hAnsi="Calibri"/>
                <w:b/>
                <w:i w:val="0"/>
                <w:color w:val="FFFFFF"/>
                <w:sz w:val="18"/>
              </w:rPr>
              <w:t>Lim. semanal (min)</w:t>
            </w:r>
          </w:p>
        </w:tc>
        <w:tc>
          <w:tcPr>
            <w:tcW w:type="dxa" w:w="2551"/>
            <w:shd w:val="clear" w:color="auto" w:fill="1F497D"/>
            <w:vAlign w:val="center"/>
          </w:tcPr>
          <w:p>
            <w:pPr>
              <w:jc w:val="center"/>
            </w:pPr>
            <w:r>
              <w:rPr>
                <w:rFonts w:ascii="Calibri" w:hAnsi="Calibri"/>
                <w:b/>
                <w:i w:val="0"/>
                <w:color w:val="FFFFFF"/>
                <w:sz w:val="18"/>
              </w:rPr>
              <w:t>Disponibilidade</w:t>
            </w:r>
          </w:p>
        </w:tc>
      </w:tr>
      <w:tr>
        <w:tc>
          <w:tcPr>
            <w:tcW w:type="dxa" w:w="1247"/>
            <w:shd w:val="clear" w:color="auto" w:fill="EEF3FB"/>
            <w:vAlign w:val="center"/>
          </w:tcPr>
          <w:p>
            <w:pPr>
              <w:jc w:val="center"/>
            </w:pPr>
            <w:r>
              <w:rPr>
                <w:rFonts w:ascii="Calibri" w:hAnsi="Calibri"/>
                <w:b w:val="0"/>
                <w:i w:val="0"/>
                <w:sz w:val="18"/>
              </w:rPr>
              <w:t>S_ENT1</w:t>
            </w:r>
          </w:p>
        </w:tc>
        <w:tc>
          <w:tcPr>
            <w:tcW w:type="dxa" w:w="1134"/>
            <w:shd w:val="clear" w:color="auto" w:fill="EEF3FB"/>
            <w:vAlign w:val="center"/>
          </w:tcPr>
          <w:p>
            <w:pPr>
              <w:jc w:val="center"/>
            </w:pPr>
            <w:r>
              <w:rPr>
                <w:rFonts w:ascii="Calibri" w:hAnsi="Calibri"/>
                <w:b w:val="0"/>
                <w:i w:val="0"/>
                <w:sz w:val="18"/>
              </w:rPr>
              <w:t>ORL</w:t>
            </w:r>
          </w:p>
        </w:tc>
        <w:tc>
          <w:tcPr>
            <w:tcW w:type="dxa" w:w="1701"/>
            <w:shd w:val="clear" w:color="auto" w:fill="EEF3FB"/>
            <w:vAlign w:val="center"/>
          </w:tcPr>
          <w:p>
            <w:pPr>
              <w:jc w:val="center"/>
            </w:pPr>
            <w:r>
              <w:rPr>
                <w:rFonts w:ascii="Calibri" w:hAnsi="Calibri"/>
                <w:b w:val="0"/>
                <w:i w:val="0"/>
                <w:sz w:val="18"/>
              </w:rPr>
              <w:t>240</w:t>
            </w:r>
          </w:p>
        </w:tc>
        <w:tc>
          <w:tcPr>
            <w:tcW w:type="dxa" w:w="1701"/>
            <w:shd w:val="clear" w:color="auto" w:fill="EEF3FB"/>
            <w:vAlign w:val="center"/>
          </w:tcPr>
          <w:p>
            <w:pPr>
              <w:jc w:val="center"/>
            </w:pPr>
            <w:r>
              <w:rPr>
                <w:rFonts w:ascii="Calibri" w:hAnsi="Calibri"/>
                <w:b w:val="0"/>
                <w:i w:val="0"/>
                <w:sz w:val="18"/>
              </w:rPr>
              <w:t>960</w:t>
            </w:r>
          </w:p>
        </w:tc>
        <w:tc>
          <w:tcPr>
            <w:tcW w:type="dxa" w:w="2551"/>
            <w:shd w:val="clear" w:color="auto" w:fill="EEF3FB"/>
            <w:vAlign w:val="center"/>
          </w:tcPr>
          <w:p>
            <w:pPr>
              <w:jc w:val="center"/>
            </w:pPr>
            <w:r>
              <w:rPr>
                <w:rFonts w:ascii="Calibri" w:hAnsi="Calibri"/>
                <w:b w:val="0"/>
                <w:i w:val="0"/>
                <w:sz w:val="18"/>
              </w:rPr>
              <w:t>2.ª–6.ª feira</w:t>
            </w:r>
          </w:p>
        </w:tc>
      </w:tr>
      <w:tr>
        <w:tc>
          <w:tcPr>
            <w:tcW w:type="dxa" w:w="1247"/>
            <w:vAlign w:val="center"/>
          </w:tcPr>
          <w:p>
            <w:pPr>
              <w:jc w:val="center"/>
            </w:pPr>
            <w:r>
              <w:rPr>
                <w:rFonts w:ascii="Calibri" w:hAnsi="Calibri"/>
                <w:b w:val="0"/>
                <w:i w:val="0"/>
                <w:sz w:val="18"/>
              </w:rPr>
              <w:t>S_ENT2</w:t>
            </w:r>
          </w:p>
        </w:tc>
        <w:tc>
          <w:tcPr>
            <w:tcW w:type="dxa" w:w="1134"/>
            <w:vAlign w:val="center"/>
          </w:tcPr>
          <w:p>
            <w:pPr>
              <w:jc w:val="center"/>
            </w:pPr>
            <w:r>
              <w:rPr>
                <w:rFonts w:ascii="Calibri" w:hAnsi="Calibri"/>
                <w:b w:val="0"/>
                <w:i w:val="0"/>
                <w:sz w:val="18"/>
              </w:rPr>
              <w:t>ORL</w:t>
            </w:r>
          </w:p>
        </w:tc>
        <w:tc>
          <w:tcPr>
            <w:tcW w:type="dxa" w:w="1701"/>
            <w:vAlign w:val="center"/>
          </w:tcPr>
          <w:p>
            <w:pPr>
              <w:jc w:val="center"/>
            </w:pPr>
            <w:r>
              <w:rPr>
                <w:rFonts w:ascii="Calibri" w:hAnsi="Calibri"/>
                <w:b w:val="0"/>
                <w:i w:val="0"/>
                <w:sz w:val="18"/>
              </w:rPr>
              <w:t>240</w:t>
            </w:r>
          </w:p>
        </w:tc>
        <w:tc>
          <w:tcPr>
            <w:tcW w:type="dxa" w:w="1701"/>
            <w:vAlign w:val="center"/>
          </w:tcPr>
          <w:p>
            <w:pPr>
              <w:jc w:val="center"/>
            </w:pPr>
            <w:r>
              <w:rPr>
                <w:rFonts w:ascii="Calibri" w:hAnsi="Calibri"/>
                <w:b w:val="0"/>
                <w:i w:val="0"/>
                <w:sz w:val="18"/>
              </w:rPr>
              <w:t>960</w:t>
            </w:r>
          </w:p>
        </w:tc>
        <w:tc>
          <w:tcPr>
            <w:tcW w:type="dxa" w:w="2551"/>
            <w:vAlign w:val="center"/>
          </w:tcPr>
          <w:p>
            <w:pPr>
              <w:jc w:val="center"/>
            </w:pPr>
            <w:r>
              <w:rPr>
                <w:rFonts w:ascii="Calibri" w:hAnsi="Calibri"/>
                <w:b w:val="0"/>
                <w:i w:val="0"/>
                <w:sz w:val="18"/>
              </w:rPr>
              <w:t>2.ª–6.ª feira</w:t>
            </w:r>
          </w:p>
        </w:tc>
      </w:tr>
      <w:tr>
        <w:tc>
          <w:tcPr>
            <w:tcW w:type="dxa" w:w="1247"/>
            <w:shd w:val="clear" w:color="auto" w:fill="EEF3FB"/>
            <w:vAlign w:val="center"/>
          </w:tcPr>
          <w:p>
            <w:pPr>
              <w:jc w:val="center"/>
            </w:pPr>
            <w:r>
              <w:rPr>
                <w:rFonts w:ascii="Calibri" w:hAnsi="Calibri"/>
                <w:b w:val="0"/>
                <w:i w:val="0"/>
                <w:sz w:val="18"/>
              </w:rPr>
              <w:t>S_ORTHO1</w:t>
            </w:r>
          </w:p>
        </w:tc>
        <w:tc>
          <w:tcPr>
            <w:tcW w:type="dxa" w:w="1134"/>
            <w:shd w:val="clear" w:color="auto" w:fill="EEF3FB"/>
            <w:vAlign w:val="center"/>
          </w:tcPr>
          <w:p>
            <w:pPr>
              <w:jc w:val="center"/>
            </w:pPr>
            <w:r>
              <w:rPr>
                <w:rFonts w:ascii="Calibri" w:hAnsi="Calibri"/>
                <w:b w:val="0"/>
                <w:i w:val="0"/>
                <w:sz w:val="18"/>
              </w:rPr>
              <w:t>ORTHO</w:t>
            </w:r>
          </w:p>
        </w:tc>
        <w:tc>
          <w:tcPr>
            <w:tcW w:type="dxa" w:w="1701"/>
            <w:shd w:val="clear" w:color="auto" w:fill="EEF3FB"/>
            <w:vAlign w:val="center"/>
          </w:tcPr>
          <w:p>
            <w:pPr>
              <w:jc w:val="center"/>
            </w:pPr>
            <w:r>
              <w:rPr>
                <w:rFonts w:ascii="Calibri" w:hAnsi="Calibri"/>
                <w:b w:val="0"/>
                <w:i w:val="0"/>
                <w:sz w:val="18"/>
              </w:rPr>
              <w:t>240</w:t>
            </w:r>
          </w:p>
        </w:tc>
        <w:tc>
          <w:tcPr>
            <w:tcW w:type="dxa" w:w="1701"/>
            <w:shd w:val="clear" w:color="auto" w:fill="EEF3FB"/>
            <w:vAlign w:val="center"/>
          </w:tcPr>
          <w:p>
            <w:pPr>
              <w:jc w:val="center"/>
            </w:pPr>
            <w:r>
              <w:rPr>
                <w:rFonts w:ascii="Calibri" w:hAnsi="Calibri"/>
                <w:b w:val="0"/>
                <w:i w:val="0"/>
                <w:sz w:val="18"/>
              </w:rPr>
              <w:t>960</w:t>
            </w:r>
          </w:p>
        </w:tc>
        <w:tc>
          <w:tcPr>
            <w:tcW w:type="dxa" w:w="2551"/>
            <w:shd w:val="clear" w:color="auto" w:fill="EEF3FB"/>
            <w:vAlign w:val="center"/>
          </w:tcPr>
          <w:p>
            <w:pPr>
              <w:jc w:val="center"/>
            </w:pPr>
            <w:r>
              <w:rPr>
                <w:rFonts w:ascii="Calibri" w:hAnsi="Calibri"/>
                <w:b w:val="0"/>
                <w:i w:val="0"/>
                <w:sz w:val="18"/>
              </w:rPr>
              <w:t>2.ª–6.ª feira</w:t>
            </w:r>
          </w:p>
        </w:tc>
      </w:tr>
      <w:tr>
        <w:tc>
          <w:tcPr>
            <w:tcW w:type="dxa" w:w="1247"/>
            <w:vAlign w:val="center"/>
          </w:tcPr>
          <w:p>
            <w:pPr>
              <w:jc w:val="center"/>
            </w:pPr>
            <w:r>
              <w:rPr>
                <w:rFonts w:ascii="Calibri" w:hAnsi="Calibri"/>
                <w:b w:val="0"/>
                <w:i w:val="0"/>
                <w:sz w:val="18"/>
              </w:rPr>
              <w:t>S_VASC1</w:t>
            </w:r>
          </w:p>
        </w:tc>
        <w:tc>
          <w:tcPr>
            <w:tcW w:type="dxa" w:w="1134"/>
            <w:vAlign w:val="center"/>
          </w:tcPr>
          <w:p>
            <w:pPr>
              <w:jc w:val="center"/>
            </w:pPr>
            <w:r>
              <w:rPr>
                <w:rFonts w:ascii="Calibri" w:hAnsi="Calibri"/>
                <w:b w:val="0"/>
                <w:i w:val="0"/>
                <w:sz w:val="18"/>
              </w:rPr>
              <w:t>VASC</w:t>
            </w:r>
          </w:p>
        </w:tc>
        <w:tc>
          <w:tcPr>
            <w:tcW w:type="dxa" w:w="1701"/>
            <w:vAlign w:val="center"/>
          </w:tcPr>
          <w:p>
            <w:pPr>
              <w:jc w:val="center"/>
            </w:pPr>
            <w:r>
              <w:rPr>
                <w:rFonts w:ascii="Calibri" w:hAnsi="Calibri"/>
                <w:b w:val="0"/>
                <w:i w:val="0"/>
                <w:sz w:val="18"/>
              </w:rPr>
              <w:t>240</w:t>
            </w:r>
          </w:p>
        </w:tc>
        <w:tc>
          <w:tcPr>
            <w:tcW w:type="dxa" w:w="1701"/>
            <w:vAlign w:val="center"/>
          </w:tcPr>
          <w:p>
            <w:pPr>
              <w:jc w:val="center"/>
            </w:pPr>
            <w:r>
              <w:rPr>
                <w:rFonts w:ascii="Calibri" w:hAnsi="Calibri"/>
                <w:b w:val="0"/>
                <w:i w:val="0"/>
                <w:sz w:val="18"/>
              </w:rPr>
              <w:t>960</w:t>
            </w:r>
          </w:p>
        </w:tc>
        <w:tc>
          <w:tcPr>
            <w:tcW w:type="dxa" w:w="2551"/>
            <w:vAlign w:val="center"/>
          </w:tcPr>
          <w:p>
            <w:pPr>
              <w:jc w:val="center"/>
            </w:pPr>
            <w:r>
              <w:rPr>
                <w:rFonts w:ascii="Calibri" w:hAnsi="Calibri"/>
                <w:b w:val="0"/>
                <w:i w:val="0"/>
                <w:sz w:val="18"/>
              </w:rPr>
              <w:t>2.ª–6.ª feira</w:t>
            </w:r>
          </w:p>
        </w:tc>
      </w:tr>
      <w:tr>
        <w:tc>
          <w:tcPr>
            <w:tcW w:type="dxa" w:w="1247"/>
            <w:shd w:val="clear" w:color="auto" w:fill="EEF3FB"/>
            <w:vAlign w:val="center"/>
          </w:tcPr>
          <w:p>
            <w:pPr>
              <w:jc w:val="center"/>
            </w:pPr>
            <w:r>
              <w:rPr>
                <w:rFonts w:ascii="Calibri" w:hAnsi="Calibri"/>
                <w:b w:val="0"/>
                <w:i w:val="0"/>
                <w:sz w:val="18"/>
              </w:rPr>
              <w:t>S_VASC2</w:t>
            </w:r>
          </w:p>
        </w:tc>
        <w:tc>
          <w:tcPr>
            <w:tcW w:type="dxa" w:w="1134"/>
            <w:shd w:val="clear" w:color="auto" w:fill="EEF3FB"/>
            <w:vAlign w:val="center"/>
          </w:tcPr>
          <w:p>
            <w:pPr>
              <w:jc w:val="center"/>
            </w:pPr>
            <w:r>
              <w:rPr>
                <w:rFonts w:ascii="Calibri" w:hAnsi="Calibri"/>
                <w:b w:val="0"/>
                <w:i w:val="0"/>
                <w:sz w:val="18"/>
              </w:rPr>
              <w:t>VASC</w:t>
            </w:r>
          </w:p>
        </w:tc>
        <w:tc>
          <w:tcPr>
            <w:tcW w:type="dxa" w:w="1701"/>
            <w:shd w:val="clear" w:color="auto" w:fill="EEF3FB"/>
            <w:vAlign w:val="center"/>
          </w:tcPr>
          <w:p>
            <w:pPr>
              <w:jc w:val="center"/>
            </w:pPr>
            <w:r>
              <w:rPr>
                <w:rFonts w:ascii="Calibri" w:hAnsi="Calibri"/>
                <w:b w:val="0"/>
                <w:i w:val="0"/>
                <w:sz w:val="18"/>
              </w:rPr>
              <w:t>240</w:t>
            </w:r>
          </w:p>
        </w:tc>
        <w:tc>
          <w:tcPr>
            <w:tcW w:type="dxa" w:w="1701"/>
            <w:shd w:val="clear" w:color="auto" w:fill="EEF3FB"/>
            <w:vAlign w:val="center"/>
          </w:tcPr>
          <w:p>
            <w:pPr>
              <w:jc w:val="center"/>
            </w:pPr>
            <w:r>
              <w:rPr>
                <w:rFonts w:ascii="Calibri" w:hAnsi="Calibri"/>
                <w:b w:val="0"/>
                <w:i w:val="0"/>
                <w:sz w:val="18"/>
              </w:rPr>
              <w:t>960</w:t>
            </w:r>
          </w:p>
        </w:tc>
        <w:tc>
          <w:tcPr>
            <w:tcW w:type="dxa" w:w="2551"/>
            <w:shd w:val="clear" w:color="auto" w:fill="EEF3FB"/>
            <w:vAlign w:val="center"/>
          </w:tcPr>
          <w:p>
            <w:pPr>
              <w:jc w:val="center"/>
            </w:pPr>
            <w:r>
              <w:rPr>
                <w:rFonts w:ascii="Calibri" w:hAnsi="Calibri"/>
                <w:b w:val="0"/>
                <w:i w:val="0"/>
                <w:sz w:val="18"/>
              </w:rPr>
              <w:t>2.ª–6.ª feira</w:t>
            </w:r>
          </w:p>
        </w:tc>
      </w:tr>
      <w:tr>
        <w:tc>
          <w:tcPr>
            <w:tcW w:type="dxa" w:w="1247"/>
            <w:vAlign w:val="center"/>
          </w:tcPr>
          <w:p>
            <w:pPr>
              <w:jc w:val="center"/>
            </w:pPr>
            <w:r>
              <w:rPr>
                <w:rFonts w:ascii="Calibri" w:hAnsi="Calibri"/>
                <w:b w:val="0"/>
                <w:i w:val="0"/>
                <w:sz w:val="18"/>
              </w:rPr>
              <w:t>S_VASC3</w:t>
            </w:r>
          </w:p>
        </w:tc>
        <w:tc>
          <w:tcPr>
            <w:tcW w:type="dxa" w:w="1134"/>
            <w:vAlign w:val="center"/>
          </w:tcPr>
          <w:p>
            <w:pPr>
              <w:jc w:val="center"/>
            </w:pPr>
            <w:r>
              <w:rPr>
                <w:rFonts w:ascii="Calibri" w:hAnsi="Calibri"/>
                <w:b w:val="0"/>
                <w:i w:val="0"/>
                <w:sz w:val="18"/>
              </w:rPr>
              <w:t>VASC</w:t>
            </w:r>
          </w:p>
        </w:tc>
        <w:tc>
          <w:tcPr>
            <w:tcW w:type="dxa" w:w="1701"/>
            <w:vAlign w:val="center"/>
          </w:tcPr>
          <w:p>
            <w:pPr>
              <w:jc w:val="center"/>
            </w:pPr>
            <w:r>
              <w:rPr>
                <w:rFonts w:ascii="Calibri" w:hAnsi="Calibri"/>
                <w:b w:val="0"/>
                <w:i w:val="0"/>
                <w:sz w:val="18"/>
              </w:rPr>
              <w:t>240</w:t>
            </w:r>
          </w:p>
        </w:tc>
        <w:tc>
          <w:tcPr>
            <w:tcW w:type="dxa" w:w="1701"/>
            <w:vAlign w:val="center"/>
          </w:tcPr>
          <w:p>
            <w:pPr>
              <w:jc w:val="center"/>
            </w:pPr>
            <w:r>
              <w:rPr>
                <w:rFonts w:ascii="Calibri" w:hAnsi="Calibri"/>
                <w:b w:val="0"/>
                <w:i w:val="0"/>
                <w:sz w:val="18"/>
              </w:rPr>
              <w:t>960</w:t>
            </w:r>
          </w:p>
        </w:tc>
        <w:tc>
          <w:tcPr>
            <w:tcW w:type="dxa" w:w="2551"/>
            <w:vAlign w:val="center"/>
          </w:tcPr>
          <w:p>
            <w:pPr>
              <w:jc w:val="center"/>
            </w:pPr>
            <w:r>
              <w:rPr>
                <w:rFonts w:ascii="Calibri" w:hAnsi="Calibri"/>
                <w:b w:val="0"/>
                <w:i w:val="0"/>
                <w:sz w:val="18"/>
              </w:rPr>
              <w:t>2.ª–6.ª feira</w:t>
            </w:r>
          </w:p>
        </w:tc>
      </w:tr>
    </w:tbl>
    <w:p>
      <w:pPr>
        <w:spacing w:after="40"/>
      </w:pPr>
    </w:p>
    <w:p>
      <w:pPr>
        <w:spacing w:before="0" w:after="120"/>
        <w:ind w:left="283"/>
        <w:jc w:val="both"/>
      </w:pPr>
      <w:r>
        <w:rPr>
          <w:rFonts w:ascii="Calibri" w:hAnsi="Calibri"/>
          <w:b w:val="0"/>
          <w:i/>
          <w:color w:val="595959"/>
          <w:sz w:val="18"/>
        </w:rPr>
        <w:t>Nota: Tabela 5 — Cirurgiões (instância demo). 240 min/dia = uma sessão padrão de meio dia de bloco.</w:t>
      </w:r>
    </w:p>
    <w:p>
      <w:pPr>
        <w:spacing w:after="120" w:before="0" w:lineRule="auto" w:line="276"/>
        <w:jc w:val="both"/>
      </w:pPr>
      <w:r>
        <w:rPr>
          <w:rFonts w:ascii="Calibri" w:hAnsi="Calibri"/>
          <w:b/>
          <w:i w:val="0"/>
          <w:sz w:val="20"/>
        </w:rPr>
        <w:t>Tabela 6 — Casos cirúrgicos completos (instância demo):</w:t>
      </w:r>
    </w:p>
    <w:tbl>
      <w:tblPr>
        <w:tblStyle w:val="TableGrid"/>
        <w:tblW w:type="auto" w:w="0"/>
        <w:jc w:val="center"/>
        <w:tblLook w:firstColumn="1" w:firstRow="1" w:lastColumn="0" w:lastRow="0" w:noHBand="0" w:noVBand="1" w:val="04A0"/>
      </w:tblPr>
      <w:tblGrid>
        <w:gridCol w:w="652"/>
        <w:gridCol w:w="652"/>
        <w:gridCol w:w="652"/>
        <w:gridCol w:w="652"/>
        <w:gridCol w:w="652"/>
        <w:gridCol w:w="652"/>
        <w:gridCol w:w="652"/>
        <w:gridCol w:w="652"/>
        <w:gridCol w:w="652"/>
        <w:gridCol w:w="652"/>
        <w:gridCol w:w="652"/>
        <w:gridCol w:w="652"/>
        <w:gridCol w:w="652"/>
        <w:gridCol w:w="652"/>
      </w:tblGrid>
      <w:tr>
        <w:tc>
          <w:tcPr>
            <w:tcW w:type="dxa" w:w="482"/>
            <w:shd w:val="clear" w:color="auto" w:fill="1F497D"/>
            <w:vAlign w:val="center"/>
          </w:tcPr>
          <w:p>
            <w:pPr>
              <w:jc w:val="center"/>
            </w:pPr>
            <w:r>
              <w:rPr>
                <w:rFonts w:ascii="Calibri" w:hAnsi="Calibri"/>
                <w:b/>
                <w:i w:val="0"/>
                <w:color w:val="FFFFFF"/>
                <w:sz w:val="18"/>
              </w:rPr>
              <w:t>ID</w:t>
            </w:r>
          </w:p>
        </w:tc>
        <w:tc>
          <w:tcPr>
            <w:tcW w:type="dxa" w:w="624"/>
            <w:shd w:val="clear" w:color="auto" w:fill="1F497D"/>
            <w:vAlign w:val="center"/>
          </w:tcPr>
          <w:p>
            <w:pPr>
              <w:jc w:val="center"/>
            </w:pPr>
            <w:r>
              <w:rPr>
                <w:rFonts w:ascii="Calibri" w:hAnsi="Calibri"/>
                <w:b/>
                <w:i w:val="0"/>
                <w:color w:val="FFFFFF"/>
                <w:sz w:val="18"/>
              </w:rPr>
              <w:t>Serv.</w:t>
            </w:r>
          </w:p>
        </w:tc>
        <w:tc>
          <w:tcPr>
            <w:tcW w:type="dxa" w:w="935"/>
            <w:shd w:val="clear" w:color="auto" w:fill="1F497D"/>
            <w:vAlign w:val="center"/>
          </w:tcPr>
          <w:p>
            <w:pPr>
              <w:jc w:val="center"/>
            </w:pPr>
            <w:r>
              <w:rPr>
                <w:rFonts w:ascii="Calibri" w:hAnsi="Calibri"/>
                <w:b/>
                <w:i w:val="0"/>
                <w:color w:val="FFFFFF"/>
                <w:sz w:val="18"/>
              </w:rPr>
              <w:t>Cirurgião</w:t>
            </w:r>
          </w:p>
        </w:tc>
        <w:tc>
          <w:tcPr>
            <w:tcW w:type="dxa" w:w="425"/>
            <w:shd w:val="clear" w:color="auto" w:fill="1F497D"/>
            <w:vAlign w:val="center"/>
          </w:tcPr>
          <w:p>
            <w:pPr>
              <w:jc w:val="center"/>
            </w:pPr>
            <w:r>
              <w:rPr>
                <w:rFonts w:ascii="Calibri" w:hAnsi="Calibri"/>
                <w:b/>
                <w:i w:val="0"/>
                <w:color w:val="FFFFFF"/>
                <w:sz w:val="18"/>
              </w:rPr>
              <w:t>Prio</w:t>
            </w:r>
          </w:p>
        </w:tc>
        <w:tc>
          <w:tcPr>
            <w:tcW w:type="dxa" w:w="850"/>
            <w:shd w:val="clear" w:color="auto" w:fill="1F497D"/>
            <w:vAlign w:val="center"/>
          </w:tcPr>
          <w:p>
            <w:pPr>
              <w:jc w:val="center"/>
            </w:pPr>
            <w:r>
              <w:rPr>
                <w:rFonts w:ascii="Calibri" w:hAnsi="Calibri"/>
                <w:b/>
                <w:i w:val="0"/>
                <w:color w:val="FFFFFF"/>
                <w:sz w:val="18"/>
              </w:rPr>
              <w:t>Âmbito</w:t>
            </w:r>
          </w:p>
        </w:tc>
        <w:tc>
          <w:tcPr>
            <w:tcW w:type="dxa" w:w="482"/>
            <w:shd w:val="clear" w:color="auto" w:fill="1F497D"/>
            <w:vAlign w:val="center"/>
          </w:tcPr>
          <w:p>
            <w:pPr>
              <w:jc w:val="center"/>
            </w:pPr>
            <w:r>
              <w:rPr>
                <w:rFonts w:ascii="Calibri" w:hAnsi="Calibri"/>
                <w:b/>
                <w:i w:val="0"/>
                <w:color w:val="FFFFFF"/>
                <w:sz w:val="18"/>
              </w:rPr>
              <w:t>Idade</w:t>
            </w:r>
          </w:p>
        </w:tc>
        <w:tc>
          <w:tcPr>
            <w:tcW w:type="dxa" w:w="510"/>
            <w:shd w:val="clear" w:color="auto" w:fill="1F497D"/>
            <w:vAlign w:val="center"/>
          </w:tcPr>
          <w:p>
            <w:pPr>
              <w:jc w:val="center"/>
            </w:pPr>
            <w:r>
              <w:rPr>
                <w:rFonts w:ascii="Calibri" w:hAnsi="Calibri"/>
                <w:b/>
                <w:i w:val="0"/>
                <w:color w:val="FFFFFF"/>
                <w:sz w:val="18"/>
              </w:rPr>
              <w:t>t_cir</w:t>
            </w:r>
          </w:p>
        </w:tc>
        <w:tc>
          <w:tcPr>
            <w:tcW w:type="dxa" w:w="624"/>
            <w:shd w:val="clear" w:color="auto" w:fill="1F497D"/>
            <w:vAlign w:val="center"/>
          </w:tcPr>
          <w:p>
            <w:pPr>
              <w:jc w:val="center"/>
            </w:pPr>
            <w:r>
              <w:rPr>
                <w:rFonts w:ascii="Calibri" w:hAnsi="Calibri"/>
                <w:b/>
                <w:i w:val="0"/>
                <w:color w:val="FFFFFF"/>
                <w:sz w:val="18"/>
              </w:rPr>
              <w:t>t_clean</w:t>
            </w:r>
          </w:p>
        </w:tc>
        <w:tc>
          <w:tcPr>
            <w:tcW w:type="dxa" w:w="510"/>
            <w:shd w:val="clear" w:color="auto" w:fill="1F497D"/>
            <w:vAlign w:val="center"/>
          </w:tcPr>
          <w:p>
            <w:pPr>
              <w:jc w:val="center"/>
            </w:pPr>
            <w:r>
              <w:rPr>
                <w:rFonts w:ascii="Calibri" w:hAnsi="Calibri"/>
                <w:b/>
                <w:i w:val="0"/>
                <w:color w:val="FFFFFF"/>
                <w:sz w:val="18"/>
              </w:rPr>
              <w:t>t_tot</w:t>
            </w:r>
          </w:p>
        </w:tc>
        <w:tc>
          <w:tcPr>
            <w:tcW w:type="dxa" w:w="567"/>
            <w:shd w:val="clear" w:color="auto" w:fill="1F497D"/>
            <w:vAlign w:val="center"/>
          </w:tcPr>
          <w:p>
            <w:pPr>
              <w:jc w:val="center"/>
            </w:pPr>
            <w:r>
              <w:rPr>
                <w:rFonts w:ascii="Calibri" w:hAnsi="Calibri"/>
                <w:b/>
                <w:i w:val="0"/>
                <w:color w:val="FFFFFF"/>
                <w:sz w:val="18"/>
              </w:rPr>
              <w:t>Dias</w:t>
              <w:br/>
              <w:t>espera</w:t>
            </w:r>
          </w:p>
        </w:tc>
        <w:tc>
          <w:tcPr>
            <w:tcW w:type="dxa" w:w="567"/>
            <w:shd w:val="clear" w:color="auto" w:fill="1F497D"/>
            <w:vAlign w:val="center"/>
          </w:tcPr>
          <w:p>
            <w:pPr>
              <w:jc w:val="center"/>
            </w:pPr>
            <w:r>
              <w:rPr>
                <w:rFonts w:ascii="Calibri" w:hAnsi="Calibri"/>
                <w:b/>
                <w:i w:val="0"/>
                <w:color w:val="FFFFFF"/>
                <w:sz w:val="18"/>
              </w:rPr>
              <w:t>Folga</w:t>
              <w:br/>
              <w:t>dd_c</w:t>
            </w:r>
          </w:p>
        </w:tc>
        <w:tc>
          <w:tcPr>
            <w:tcW w:type="dxa" w:w="794"/>
            <w:shd w:val="clear" w:color="auto" w:fill="1F497D"/>
            <w:vAlign w:val="center"/>
          </w:tcPr>
          <w:p>
            <w:pPr>
              <w:jc w:val="center"/>
            </w:pPr>
            <w:r>
              <w:rPr>
                <w:rFonts w:ascii="Calibri" w:hAnsi="Calibri"/>
                <w:b/>
                <w:i w:val="0"/>
                <w:color w:val="FFFFFF"/>
                <w:sz w:val="18"/>
              </w:rPr>
              <w:t>Equip.</w:t>
            </w:r>
          </w:p>
        </w:tc>
        <w:tc>
          <w:tcPr>
            <w:tcW w:type="dxa" w:w="510"/>
            <w:shd w:val="clear" w:color="auto" w:fill="1F497D"/>
            <w:vAlign w:val="center"/>
          </w:tcPr>
          <w:p>
            <w:pPr>
              <w:jc w:val="center"/>
            </w:pPr>
            <w:r>
              <w:rPr>
                <w:rFonts w:ascii="Calibri" w:hAnsi="Calibri"/>
                <w:b/>
                <w:i w:val="0"/>
                <w:color w:val="FFFFFF"/>
                <w:sz w:val="18"/>
              </w:rPr>
              <w:t>UCI</w:t>
              <w:br/>
              <w:t>(dias)</w:t>
            </w:r>
          </w:p>
        </w:tc>
        <w:tc>
          <w:tcPr>
            <w:tcW w:type="dxa" w:w="1134"/>
            <w:shd w:val="clear" w:color="auto" w:fill="1F497D"/>
            <w:vAlign w:val="center"/>
          </w:tcPr>
          <w:p>
            <w:pPr>
              <w:jc w:val="center"/>
            </w:pPr>
            <w:r>
              <w:rPr>
                <w:rFonts w:ascii="Calibri" w:hAnsi="Calibri"/>
                <w:b/>
                <w:i w:val="0"/>
                <w:color w:val="FFFFFF"/>
                <w:sz w:val="18"/>
              </w:rPr>
              <w:t>Notas</w:t>
            </w:r>
          </w:p>
        </w:tc>
      </w:tr>
      <w:tr>
        <w:tc>
          <w:tcPr>
            <w:tcW w:type="dxa" w:w="482"/>
            <w:shd w:val="clear" w:color="auto" w:fill="EEF3FB"/>
            <w:vAlign w:val="center"/>
          </w:tcPr>
          <w:p>
            <w:pPr>
              <w:jc w:val="center"/>
            </w:pPr>
            <w:r>
              <w:rPr>
                <w:rFonts w:ascii="Calibri" w:hAnsi="Calibri"/>
                <w:b w:val="0"/>
                <w:i w:val="0"/>
                <w:sz w:val="18"/>
              </w:rPr>
              <w:t>C01</w:t>
            </w:r>
          </w:p>
        </w:tc>
        <w:tc>
          <w:tcPr>
            <w:tcW w:type="dxa" w:w="624"/>
            <w:shd w:val="clear" w:color="auto" w:fill="EEF3FB"/>
            <w:vAlign w:val="center"/>
          </w:tcPr>
          <w:p>
            <w:pPr>
              <w:jc w:val="center"/>
            </w:pPr>
            <w:r>
              <w:rPr>
                <w:rFonts w:ascii="Calibri" w:hAnsi="Calibri"/>
                <w:b w:val="0"/>
                <w:i w:val="0"/>
                <w:sz w:val="18"/>
              </w:rPr>
              <w:t>ORL</w:t>
            </w:r>
          </w:p>
        </w:tc>
        <w:tc>
          <w:tcPr>
            <w:tcW w:type="dxa" w:w="935"/>
            <w:shd w:val="clear" w:color="auto" w:fill="EEF3FB"/>
            <w:vAlign w:val="center"/>
          </w:tcPr>
          <w:p>
            <w:pPr>
              <w:jc w:val="center"/>
            </w:pPr>
            <w:r>
              <w:rPr>
                <w:rFonts w:ascii="Calibri" w:hAnsi="Calibri"/>
                <w:b w:val="0"/>
                <w:i w:val="0"/>
                <w:sz w:val="18"/>
              </w:rPr>
              <w:t>S_ENT1</w:t>
            </w:r>
          </w:p>
        </w:tc>
        <w:tc>
          <w:tcPr>
            <w:tcW w:type="dxa" w:w="425"/>
            <w:shd w:val="clear" w:color="auto" w:fill="EEF3FB"/>
            <w:vAlign w:val="center"/>
          </w:tcPr>
          <w:p>
            <w:pPr>
              <w:jc w:val="center"/>
            </w:pPr>
            <w:r>
              <w:rPr>
                <w:rFonts w:ascii="Calibri" w:hAnsi="Calibri"/>
                <w:b w:val="0"/>
                <w:i w:val="0"/>
                <w:sz w:val="18"/>
              </w:rPr>
              <w:t>P1</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45</w:t>
            </w:r>
          </w:p>
        </w:tc>
        <w:tc>
          <w:tcPr>
            <w:tcW w:type="dxa" w:w="510"/>
            <w:shd w:val="clear" w:color="auto" w:fill="EEF3FB"/>
            <w:vAlign w:val="center"/>
          </w:tcPr>
          <w:p>
            <w:pPr>
              <w:jc w:val="center"/>
            </w:pPr>
            <w:r>
              <w:rPr>
                <w:rFonts w:ascii="Calibri" w:hAnsi="Calibri"/>
                <w:b w:val="0"/>
                <w:i w:val="0"/>
                <w:sz w:val="18"/>
              </w:rPr>
              <w:t>90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115</w:t>
            </w:r>
          </w:p>
        </w:tc>
        <w:tc>
          <w:tcPr>
            <w:tcW w:type="dxa" w:w="567"/>
            <w:shd w:val="clear" w:color="auto" w:fill="EEF3FB"/>
            <w:vAlign w:val="center"/>
          </w:tcPr>
          <w:p>
            <w:pPr>
              <w:jc w:val="center"/>
            </w:pPr>
            <w:r>
              <w:rPr>
                <w:rFonts w:ascii="Calibri" w:hAnsi="Calibri"/>
                <w:b w:val="0"/>
                <w:i w:val="0"/>
                <w:sz w:val="18"/>
              </w:rPr>
              <w:t>250</w:t>
            </w:r>
          </w:p>
        </w:tc>
        <w:tc>
          <w:tcPr>
            <w:tcW w:type="dxa" w:w="567"/>
            <w:shd w:val="clear" w:color="auto" w:fill="EEF3FB"/>
            <w:vAlign w:val="center"/>
          </w:tcPr>
          <w:p>
            <w:pPr>
              <w:jc w:val="center"/>
            </w:pPr>
            <w:r>
              <w:rPr>
                <w:rFonts w:ascii="Calibri" w:hAnsi="Calibri"/>
                <w:b w:val="0"/>
                <w:i w:val="0"/>
                <w:sz w:val="18"/>
              </w:rPr>
              <w:t>20</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r>
        <w:tc>
          <w:tcPr>
            <w:tcW w:type="dxa" w:w="482"/>
            <w:vAlign w:val="center"/>
          </w:tcPr>
          <w:p>
            <w:pPr>
              <w:jc w:val="center"/>
            </w:pPr>
            <w:r>
              <w:rPr>
                <w:rFonts w:ascii="Calibri" w:hAnsi="Calibri"/>
                <w:b w:val="0"/>
                <w:i w:val="0"/>
                <w:sz w:val="18"/>
              </w:rPr>
              <w:t>C02</w:t>
            </w:r>
          </w:p>
        </w:tc>
        <w:tc>
          <w:tcPr>
            <w:tcW w:type="dxa" w:w="624"/>
            <w:vAlign w:val="center"/>
          </w:tcPr>
          <w:p>
            <w:pPr>
              <w:jc w:val="center"/>
            </w:pPr>
            <w:r>
              <w:rPr>
                <w:rFonts w:ascii="Calibri" w:hAnsi="Calibri"/>
                <w:b w:val="0"/>
                <w:i w:val="0"/>
                <w:sz w:val="18"/>
              </w:rPr>
              <w:t>ORL</w:t>
            </w:r>
          </w:p>
        </w:tc>
        <w:tc>
          <w:tcPr>
            <w:tcW w:type="dxa" w:w="935"/>
            <w:vAlign w:val="center"/>
          </w:tcPr>
          <w:p>
            <w:pPr>
              <w:jc w:val="center"/>
            </w:pPr>
            <w:r>
              <w:rPr>
                <w:rFonts w:ascii="Calibri" w:hAnsi="Calibri"/>
                <w:b w:val="0"/>
                <w:i w:val="0"/>
                <w:sz w:val="18"/>
              </w:rPr>
              <w:t>S_ENT1</w:t>
            </w:r>
          </w:p>
        </w:tc>
        <w:tc>
          <w:tcPr>
            <w:tcW w:type="dxa" w:w="425"/>
            <w:vAlign w:val="center"/>
          </w:tcPr>
          <w:p>
            <w:pPr>
              <w:jc w:val="center"/>
            </w:pPr>
            <w:r>
              <w:rPr>
                <w:rFonts w:ascii="Calibri" w:hAnsi="Calibri"/>
                <w:b w:val="0"/>
                <w:i w:val="0"/>
                <w:sz w:val="18"/>
              </w:rPr>
              <w:t>P2</w:t>
            </w:r>
          </w:p>
        </w:tc>
        <w:tc>
          <w:tcPr>
            <w:tcW w:type="dxa" w:w="850"/>
            <w:vAlign w:val="center"/>
          </w:tcPr>
          <w:p>
            <w:pPr>
              <w:jc w:val="center"/>
            </w:pPr>
            <w:r>
              <w:rPr>
                <w:rFonts w:ascii="Calibri" w:hAnsi="Calibri"/>
                <w:b w:val="0"/>
                <w:i w:val="0"/>
                <w:sz w:val="18"/>
              </w:rPr>
              <w:t>Ambul.</w:t>
            </w:r>
          </w:p>
        </w:tc>
        <w:tc>
          <w:tcPr>
            <w:tcW w:type="dxa" w:w="482"/>
            <w:vAlign w:val="center"/>
          </w:tcPr>
          <w:p>
            <w:pPr>
              <w:jc w:val="center"/>
            </w:pPr>
            <w:r>
              <w:rPr>
                <w:rFonts w:ascii="Calibri" w:hAnsi="Calibri"/>
                <w:b w:val="0"/>
                <w:i w:val="0"/>
                <w:sz w:val="18"/>
              </w:rPr>
              <w:t>12</w:t>
            </w:r>
          </w:p>
        </w:tc>
        <w:tc>
          <w:tcPr>
            <w:tcW w:type="dxa" w:w="510"/>
            <w:vAlign w:val="center"/>
          </w:tcPr>
          <w:p>
            <w:pPr>
              <w:jc w:val="center"/>
            </w:pPr>
            <w:r>
              <w:rPr>
                <w:rFonts w:ascii="Calibri" w:hAnsi="Calibri"/>
                <w:b w:val="0"/>
                <w:i w:val="0"/>
                <w:sz w:val="18"/>
              </w:rPr>
              <w:t>60</w:t>
            </w:r>
          </w:p>
        </w:tc>
        <w:tc>
          <w:tcPr>
            <w:tcW w:type="dxa" w:w="624"/>
            <w:vAlign w:val="center"/>
          </w:tcPr>
          <w:p>
            <w:pPr>
              <w:jc w:val="center"/>
            </w:pPr>
            <w:r>
              <w:rPr>
                <w:rFonts w:ascii="Calibri" w:hAnsi="Calibri"/>
                <w:b w:val="0"/>
                <w:i w:val="0"/>
                <w:sz w:val="18"/>
              </w:rPr>
              <w:t>25</w:t>
            </w:r>
          </w:p>
        </w:tc>
        <w:tc>
          <w:tcPr>
            <w:tcW w:type="dxa" w:w="510"/>
            <w:vAlign w:val="center"/>
          </w:tcPr>
          <w:p>
            <w:pPr>
              <w:jc w:val="center"/>
            </w:pPr>
            <w:r>
              <w:rPr>
                <w:rFonts w:ascii="Calibri" w:hAnsi="Calibri"/>
                <w:b w:val="0"/>
                <w:i w:val="0"/>
                <w:sz w:val="18"/>
              </w:rPr>
              <w:t>85</w:t>
            </w:r>
          </w:p>
        </w:tc>
        <w:tc>
          <w:tcPr>
            <w:tcW w:type="dxa" w:w="567"/>
            <w:vAlign w:val="center"/>
          </w:tcPr>
          <w:p>
            <w:pPr>
              <w:jc w:val="center"/>
            </w:pPr>
            <w:r>
              <w:rPr>
                <w:rFonts w:ascii="Calibri" w:hAnsi="Calibri"/>
                <w:b w:val="0"/>
                <w:i w:val="0"/>
                <w:sz w:val="18"/>
              </w:rPr>
              <w:t>40</w:t>
            </w:r>
          </w:p>
        </w:tc>
        <w:tc>
          <w:tcPr>
            <w:tcW w:type="dxa" w:w="567"/>
            <w:vAlign w:val="center"/>
          </w:tcPr>
          <w:p>
            <w:pPr>
              <w:jc w:val="center"/>
            </w:pPr>
            <w:r>
              <w:rPr>
                <w:rFonts w:ascii="Calibri" w:hAnsi="Calibri"/>
                <w:b w:val="0"/>
                <w:i w:val="0"/>
                <w:sz w:val="18"/>
              </w:rPr>
              <w:t>20</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C03</w:t>
            </w:r>
          </w:p>
        </w:tc>
        <w:tc>
          <w:tcPr>
            <w:tcW w:type="dxa" w:w="624"/>
            <w:shd w:val="clear" w:color="auto" w:fill="EEF3FB"/>
            <w:vAlign w:val="center"/>
          </w:tcPr>
          <w:p>
            <w:pPr>
              <w:jc w:val="center"/>
            </w:pPr>
            <w:r>
              <w:rPr>
                <w:rFonts w:ascii="Calibri" w:hAnsi="Calibri"/>
                <w:b w:val="0"/>
                <w:i w:val="0"/>
                <w:sz w:val="18"/>
              </w:rPr>
              <w:t>ORL</w:t>
            </w:r>
          </w:p>
        </w:tc>
        <w:tc>
          <w:tcPr>
            <w:tcW w:type="dxa" w:w="935"/>
            <w:shd w:val="clear" w:color="auto" w:fill="EEF3FB"/>
            <w:vAlign w:val="center"/>
          </w:tcPr>
          <w:p>
            <w:pPr>
              <w:jc w:val="center"/>
            </w:pPr>
            <w:r>
              <w:rPr>
                <w:rFonts w:ascii="Calibri" w:hAnsi="Calibri"/>
                <w:b w:val="0"/>
                <w:i w:val="0"/>
                <w:sz w:val="18"/>
              </w:rPr>
              <w:t>S_ENT2</w:t>
            </w:r>
          </w:p>
        </w:tc>
        <w:tc>
          <w:tcPr>
            <w:tcW w:type="dxa" w:w="425"/>
            <w:shd w:val="clear" w:color="auto" w:fill="EEF3FB"/>
            <w:vAlign w:val="center"/>
          </w:tcPr>
          <w:p>
            <w:pPr>
              <w:jc w:val="center"/>
            </w:pPr>
            <w:r>
              <w:rPr>
                <w:rFonts w:ascii="Calibri" w:hAnsi="Calibri"/>
                <w:b w:val="0"/>
                <w:i w:val="0"/>
                <w:sz w:val="18"/>
              </w:rPr>
              <w:t>P1</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55</w:t>
            </w:r>
          </w:p>
        </w:tc>
        <w:tc>
          <w:tcPr>
            <w:tcW w:type="dxa" w:w="510"/>
            <w:shd w:val="clear" w:color="auto" w:fill="EEF3FB"/>
            <w:vAlign w:val="center"/>
          </w:tcPr>
          <w:p>
            <w:pPr>
              <w:jc w:val="center"/>
            </w:pPr>
            <w:r>
              <w:rPr>
                <w:rFonts w:ascii="Calibri" w:hAnsi="Calibri"/>
                <w:b w:val="0"/>
                <w:i w:val="0"/>
                <w:sz w:val="18"/>
              </w:rPr>
              <w:t>75</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100</w:t>
            </w:r>
          </w:p>
        </w:tc>
        <w:tc>
          <w:tcPr>
            <w:tcW w:type="dxa" w:w="567"/>
            <w:shd w:val="clear" w:color="auto" w:fill="EEF3FB"/>
            <w:vAlign w:val="center"/>
          </w:tcPr>
          <w:p>
            <w:pPr>
              <w:jc w:val="center"/>
            </w:pPr>
            <w:r>
              <w:rPr>
                <w:rFonts w:ascii="Calibri" w:hAnsi="Calibri"/>
                <w:b w:val="0"/>
                <w:i w:val="0"/>
                <w:sz w:val="18"/>
              </w:rPr>
              <w:t>280</w:t>
            </w:r>
          </w:p>
        </w:tc>
        <w:tc>
          <w:tcPr>
            <w:tcW w:type="dxa" w:w="567"/>
            <w:shd w:val="clear" w:color="auto" w:fill="EEF3FB"/>
            <w:vAlign w:val="center"/>
          </w:tcPr>
          <w:p>
            <w:pPr>
              <w:jc w:val="center"/>
            </w:pPr>
            <w:r>
              <w:rPr>
                <w:rFonts w:ascii="Calibri" w:hAnsi="Calibri"/>
                <w:b w:val="0"/>
                <w:i w:val="0"/>
                <w:sz w:val="18"/>
              </w:rPr>
              <w:t>−10</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Vencido</w:t>
            </w:r>
          </w:p>
        </w:tc>
      </w:tr>
      <w:tr>
        <w:tc>
          <w:tcPr>
            <w:tcW w:type="dxa" w:w="482"/>
            <w:vAlign w:val="center"/>
          </w:tcPr>
          <w:p>
            <w:pPr>
              <w:jc w:val="center"/>
            </w:pPr>
            <w:r>
              <w:rPr>
                <w:rFonts w:ascii="Calibri" w:hAnsi="Calibri"/>
                <w:b w:val="0"/>
                <w:i w:val="0"/>
                <w:sz w:val="18"/>
              </w:rPr>
              <w:t>C04</w:t>
            </w:r>
          </w:p>
        </w:tc>
        <w:tc>
          <w:tcPr>
            <w:tcW w:type="dxa" w:w="624"/>
            <w:vAlign w:val="center"/>
          </w:tcPr>
          <w:p>
            <w:pPr>
              <w:jc w:val="center"/>
            </w:pPr>
            <w:r>
              <w:rPr>
                <w:rFonts w:ascii="Calibri" w:hAnsi="Calibri"/>
                <w:b w:val="0"/>
                <w:i w:val="0"/>
                <w:sz w:val="18"/>
              </w:rPr>
              <w:t>ORL</w:t>
            </w:r>
          </w:p>
        </w:tc>
        <w:tc>
          <w:tcPr>
            <w:tcW w:type="dxa" w:w="935"/>
            <w:vAlign w:val="center"/>
          </w:tcPr>
          <w:p>
            <w:pPr>
              <w:jc w:val="center"/>
            </w:pPr>
            <w:r>
              <w:rPr>
                <w:rFonts w:ascii="Calibri" w:hAnsi="Calibri"/>
                <w:b w:val="0"/>
                <w:i w:val="0"/>
                <w:sz w:val="18"/>
              </w:rPr>
              <w:t>S_ENT2</w:t>
            </w:r>
          </w:p>
        </w:tc>
        <w:tc>
          <w:tcPr>
            <w:tcW w:type="dxa" w:w="425"/>
            <w:vAlign w:val="center"/>
          </w:tcPr>
          <w:p>
            <w:pPr>
              <w:jc w:val="center"/>
            </w:pPr>
            <w:r>
              <w:rPr>
                <w:rFonts w:ascii="Calibri" w:hAnsi="Calibri"/>
                <w:b w:val="0"/>
                <w:i w:val="0"/>
                <w:sz w:val="18"/>
              </w:rPr>
              <w:t>P3</w:t>
            </w:r>
          </w:p>
        </w:tc>
        <w:tc>
          <w:tcPr>
            <w:tcW w:type="dxa" w:w="850"/>
            <w:vAlign w:val="center"/>
          </w:tcPr>
          <w:p>
            <w:pPr>
              <w:jc w:val="center"/>
            </w:pPr>
            <w:r>
              <w:rPr>
                <w:rFonts w:ascii="Calibri" w:hAnsi="Calibri"/>
                <w:b w:val="0"/>
                <w:i w:val="0"/>
                <w:sz w:val="18"/>
              </w:rPr>
              <w:t>Ambul.</w:t>
            </w:r>
          </w:p>
        </w:tc>
        <w:tc>
          <w:tcPr>
            <w:tcW w:type="dxa" w:w="482"/>
            <w:vAlign w:val="center"/>
          </w:tcPr>
          <w:p>
            <w:pPr>
              <w:jc w:val="center"/>
            </w:pPr>
            <w:r>
              <w:rPr>
                <w:rFonts w:ascii="Calibri" w:hAnsi="Calibri"/>
                <w:b w:val="0"/>
                <w:i w:val="0"/>
                <w:sz w:val="18"/>
              </w:rPr>
              <w:t>7</w:t>
            </w:r>
          </w:p>
        </w:tc>
        <w:tc>
          <w:tcPr>
            <w:tcW w:type="dxa" w:w="510"/>
            <w:vAlign w:val="center"/>
          </w:tcPr>
          <w:p>
            <w:pPr>
              <w:jc w:val="center"/>
            </w:pPr>
            <w:r>
              <w:rPr>
                <w:rFonts w:ascii="Calibri" w:hAnsi="Calibri"/>
                <w:b w:val="0"/>
                <w:i w:val="0"/>
                <w:sz w:val="18"/>
              </w:rPr>
              <w:t>45</w:t>
            </w:r>
          </w:p>
        </w:tc>
        <w:tc>
          <w:tcPr>
            <w:tcW w:type="dxa" w:w="624"/>
            <w:vAlign w:val="center"/>
          </w:tcPr>
          <w:p>
            <w:pPr>
              <w:jc w:val="center"/>
            </w:pPr>
            <w:r>
              <w:rPr>
                <w:rFonts w:ascii="Calibri" w:hAnsi="Calibri"/>
                <w:b w:val="0"/>
                <w:i w:val="0"/>
                <w:sz w:val="18"/>
              </w:rPr>
              <w:t>15</w:t>
            </w:r>
          </w:p>
        </w:tc>
        <w:tc>
          <w:tcPr>
            <w:tcW w:type="dxa" w:w="510"/>
            <w:vAlign w:val="center"/>
          </w:tcPr>
          <w:p>
            <w:pPr>
              <w:jc w:val="center"/>
            </w:pPr>
            <w:r>
              <w:rPr>
                <w:rFonts w:ascii="Calibri" w:hAnsi="Calibri"/>
                <w:b w:val="0"/>
                <w:i w:val="0"/>
                <w:sz w:val="18"/>
              </w:rPr>
              <w:t>60</w:t>
            </w:r>
          </w:p>
        </w:tc>
        <w:tc>
          <w:tcPr>
            <w:tcW w:type="dxa" w:w="567"/>
            <w:vAlign w:val="center"/>
          </w:tcPr>
          <w:p>
            <w:pPr>
              <w:jc w:val="center"/>
            </w:pPr>
            <w:r>
              <w:rPr>
                <w:rFonts w:ascii="Calibri" w:hAnsi="Calibri"/>
                <w:b w:val="0"/>
                <w:i w:val="0"/>
                <w:sz w:val="18"/>
              </w:rPr>
              <w:t>5</w:t>
            </w:r>
          </w:p>
        </w:tc>
        <w:tc>
          <w:tcPr>
            <w:tcW w:type="dxa" w:w="567"/>
            <w:vAlign w:val="center"/>
          </w:tcPr>
          <w:p>
            <w:pPr>
              <w:jc w:val="center"/>
            </w:pPr>
            <w:r>
              <w:rPr>
                <w:rFonts w:ascii="Calibri" w:hAnsi="Calibri"/>
                <w:b w:val="0"/>
                <w:i w:val="0"/>
                <w:sz w:val="18"/>
              </w:rPr>
              <w:t>10</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C05</w:t>
            </w:r>
          </w:p>
        </w:tc>
        <w:tc>
          <w:tcPr>
            <w:tcW w:type="dxa" w:w="624"/>
            <w:shd w:val="clear" w:color="auto" w:fill="EEF3FB"/>
            <w:vAlign w:val="center"/>
          </w:tcPr>
          <w:p>
            <w:pPr>
              <w:jc w:val="center"/>
            </w:pPr>
            <w:r>
              <w:rPr>
                <w:rFonts w:ascii="Calibri" w:hAnsi="Calibri"/>
                <w:b w:val="0"/>
                <w:i w:val="0"/>
                <w:sz w:val="18"/>
              </w:rPr>
              <w:t>ORL</w:t>
            </w:r>
          </w:p>
        </w:tc>
        <w:tc>
          <w:tcPr>
            <w:tcW w:type="dxa" w:w="935"/>
            <w:shd w:val="clear" w:color="auto" w:fill="EEF3FB"/>
            <w:vAlign w:val="center"/>
          </w:tcPr>
          <w:p>
            <w:pPr>
              <w:jc w:val="center"/>
            </w:pPr>
            <w:r>
              <w:rPr>
                <w:rFonts w:ascii="Calibri" w:hAnsi="Calibri"/>
                <w:b w:val="0"/>
                <w:i w:val="0"/>
                <w:sz w:val="18"/>
              </w:rPr>
              <w:t>S_ENT1</w:t>
            </w:r>
          </w:p>
        </w:tc>
        <w:tc>
          <w:tcPr>
            <w:tcW w:type="dxa" w:w="425"/>
            <w:shd w:val="clear" w:color="auto" w:fill="EEF3FB"/>
            <w:vAlign w:val="center"/>
          </w:tcPr>
          <w:p>
            <w:pPr>
              <w:jc w:val="center"/>
            </w:pPr>
            <w:r>
              <w:rPr>
                <w:rFonts w:ascii="Calibri" w:hAnsi="Calibri"/>
                <w:b w:val="0"/>
                <w:i w:val="0"/>
                <w:sz w:val="18"/>
              </w:rPr>
              <w:t>P4</w:t>
            </w:r>
          </w:p>
        </w:tc>
        <w:tc>
          <w:tcPr>
            <w:tcW w:type="dxa" w:w="850"/>
            <w:shd w:val="clear" w:color="auto" w:fill="EEF3FB"/>
            <w:vAlign w:val="center"/>
          </w:tcPr>
          <w:p>
            <w:pPr>
              <w:jc w:val="center"/>
            </w:pPr>
            <w:r>
              <w:rPr>
                <w:rFonts w:ascii="Calibri" w:hAnsi="Calibri"/>
                <w:b w:val="0"/>
                <w:i w:val="0"/>
                <w:sz w:val="18"/>
              </w:rPr>
              <w:t>Ambul.</w:t>
            </w:r>
          </w:p>
        </w:tc>
        <w:tc>
          <w:tcPr>
            <w:tcW w:type="dxa" w:w="482"/>
            <w:shd w:val="clear" w:color="auto" w:fill="EEF3FB"/>
            <w:vAlign w:val="center"/>
          </w:tcPr>
          <w:p>
            <w:pPr>
              <w:jc w:val="center"/>
            </w:pPr>
            <w:r>
              <w:rPr>
                <w:rFonts w:ascii="Calibri" w:hAnsi="Calibri"/>
                <w:b w:val="0"/>
                <w:i w:val="0"/>
                <w:sz w:val="18"/>
              </w:rPr>
              <w:t>6</w:t>
            </w:r>
          </w:p>
        </w:tc>
        <w:tc>
          <w:tcPr>
            <w:tcW w:type="dxa" w:w="510"/>
            <w:shd w:val="clear" w:color="auto" w:fill="EEF3FB"/>
            <w:vAlign w:val="center"/>
          </w:tcPr>
          <w:p>
            <w:pPr>
              <w:jc w:val="center"/>
            </w:pPr>
            <w:r>
              <w:rPr>
                <w:rFonts w:ascii="Calibri" w:hAnsi="Calibri"/>
                <w:b w:val="0"/>
                <w:i w:val="0"/>
                <w:sz w:val="18"/>
              </w:rPr>
              <w:t>30</w:t>
            </w:r>
          </w:p>
        </w:tc>
        <w:tc>
          <w:tcPr>
            <w:tcW w:type="dxa" w:w="624"/>
            <w:shd w:val="clear" w:color="auto" w:fill="EEF3FB"/>
            <w:vAlign w:val="center"/>
          </w:tcPr>
          <w:p>
            <w:pPr>
              <w:jc w:val="center"/>
            </w:pPr>
            <w:r>
              <w:rPr>
                <w:rFonts w:ascii="Calibri" w:hAnsi="Calibri"/>
                <w:b w:val="0"/>
                <w:i w:val="0"/>
                <w:sz w:val="18"/>
              </w:rPr>
              <w:t>15</w:t>
            </w:r>
          </w:p>
        </w:tc>
        <w:tc>
          <w:tcPr>
            <w:tcW w:type="dxa" w:w="510"/>
            <w:shd w:val="clear" w:color="auto" w:fill="EEF3FB"/>
            <w:vAlign w:val="center"/>
          </w:tcPr>
          <w:p>
            <w:pPr>
              <w:jc w:val="center"/>
            </w:pPr>
            <w:r>
              <w:rPr>
                <w:rFonts w:ascii="Calibri" w:hAnsi="Calibri"/>
                <w:b w:val="0"/>
                <w:i w:val="0"/>
                <w:sz w:val="18"/>
              </w:rPr>
              <w:t>45</w:t>
            </w:r>
          </w:p>
        </w:tc>
        <w:tc>
          <w:tcPr>
            <w:tcW w:type="dxa" w:w="567"/>
            <w:shd w:val="clear" w:color="auto" w:fill="EEF3FB"/>
            <w:vAlign w:val="center"/>
          </w:tcPr>
          <w:p>
            <w:pPr>
              <w:jc w:val="center"/>
            </w:pPr>
            <w:r>
              <w:rPr>
                <w:rFonts w:ascii="Calibri" w:hAnsi="Calibri"/>
                <w:b w:val="0"/>
                <w:i w:val="0"/>
                <w:sz w:val="18"/>
              </w:rPr>
              <w:t>3</w:t>
            </w:r>
          </w:p>
        </w:tc>
        <w:tc>
          <w:tcPr>
            <w:tcW w:type="dxa" w:w="567"/>
            <w:shd w:val="clear" w:color="auto" w:fill="EEF3FB"/>
            <w:vAlign w:val="center"/>
          </w:tcPr>
          <w:p>
            <w:pPr>
              <w:jc w:val="center"/>
            </w:pPr>
            <w:r>
              <w:rPr>
                <w:rFonts w:ascii="Calibri" w:hAnsi="Calibri"/>
                <w:b w:val="0"/>
                <w:i w:val="0"/>
                <w:sz w:val="18"/>
              </w:rPr>
              <w:t>0</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Add-on D1</w:t>
            </w:r>
          </w:p>
        </w:tc>
      </w:tr>
      <w:tr>
        <w:tc>
          <w:tcPr>
            <w:tcW w:type="dxa" w:w="482"/>
            <w:vAlign w:val="center"/>
          </w:tcPr>
          <w:p>
            <w:pPr>
              <w:jc w:val="center"/>
            </w:pPr>
            <w:r>
              <w:rPr>
                <w:rFonts w:ascii="Calibri" w:hAnsi="Calibri"/>
                <w:b w:val="0"/>
                <w:i w:val="0"/>
                <w:sz w:val="18"/>
              </w:rPr>
              <w:t>C06</w:t>
            </w:r>
          </w:p>
        </w:tc>
        <w:tc>
          <w:tcPr>
            <w:tcW w:type="dxa" w:w="624"/>
            <w:vAlign w:val="center"/>
          </w:tcPr>
          <w:p>
            <w:pPr>
              <w:jc w:val="center"/>
            </w:pPr>
            <w:r>
              <w:rPr>
                <w:rFonts w:ascii="Calibri" w:hAnsi="Calibri"/>
                <w:b w:val="0"/>
                <w:i w:val="0"/>
                <w:sz w:val="18"/>
              </w:rPr>
              <w:t>ORL</w:t>
            </w:r>
          </w:p>
        </w:tc>
        <w:tc>
          <w:tcPr>
            <w:tcW w:type="dxa" w:w="935"/>
            <w:vAlign w:val="center"/>
          </w:tcPr>
          <w:p>
            <w:pPr>
              <w:jc w:val="center"/>
            </w:pPr>
            <w:r>
              <w:rPr>
                <w:rFonts w:ascii="Calibri" w:hAnsi="Calibri"/>
                <w:b w:val="0"/>
                <w:i w:val="0"/>
                <w:sz w:val="18"/>
              </w:rPr>
              <w:t>S_ENT2</w:t>
            </w:r>
          </w:p>
        </w:tc>
        <w:tc>
          <w:tcPr>
            <w:tcW w:type="dxa" w:w="425"/>
            <w:vAlign w:val="center"/>
          </w:tcPr>
          <w:p>
            <w:pPr>
              <w:jc w:val="center"/>
            </w:pPr>
            <w:r>
              <w:rPr>
                <w:rFonts w:ascii="Calibri" w:hAnsi="Calibri"/>
                <w:b w:val="0"/>
                <w:i w:val="0"/>
                <w:sz w:val="18"/>
              </w:rPr>
              <w:t>P2</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5</w:t>
            </w:r>
          </w:p>
        </w:tc>
        <w:tc>
          <w:tcPr>
            <w:tcW w:type="dxa" w:w="510"/>
            <w:vAlign w:val="center"/>
          </w:tcPr>
          <w:p>
            <w:pPr>
              <w:jc w:val="center"/>
            </w:pPr>
            <w:r>
              <w:rPr>
                <w:rFonts w:ascii="Calibri" w:hAnsi="Calibri"/>
                <w:b w:val="0"/>
                <w:i w:val="0"/>
                <w:sz w:val="18"/>
              </w:rPr>
              <w:t>120</w:t>
            </w:r>
          </w:p>
        </w:tc>
        <w:tc>
          <w:tcPr>
            <w:tcW w:type="dxa" w:w="624"/>
            <w:vAlign w:val="center"/>
          </w:tcPr>
          <w:p>
            <w:pPr>
              <w:jc w:val="center"/>
            </w:pPr>
            <w:r>
              <w:rPr>
                <w:rFonts w:ascii="Calibri" w:hAnsi="Calibri"/>
                <w:b w:val="0"/>
                <w:i w:val="0"/>
                <w:sz w:val="18"/>
              </w:rPr>
              <w:t>25</w:t>
            </w:r>
          </w:p>
        </w:tc>
        <w:tc>
          <w:tcPr>
            <w:tcW w:type="dxa" w:w="510"/>
            <w:vAlign w:val="center"/>
          </w:tcPr>
          <w:p>
            <w:pPr>
              <w:jc w:val="center"/>
            </w:pPr>
            <w:r>
              <w:rPr>
                <w:rFonts w:ascii="Calibri" w:hAnsi="Calibri"/>
                <w:b w:val="0"/>
                <w:i w:val="0"/>
                <w:sz w:val="18"/>
              </w:rPr>
              <w:t>145</w:t>
            </w:r>
          </w:p>
        </w:tc>
        <w:tc>
          <w:tcPr>
            <w:tcW w:type="dxa" w:w="567"/>
            <w:vAlign w:val="center"/>
          </w:tcPr>
          <w:p>
            <w:pPr>
              <w:jc w:val="center"/>
            </w:pPr>
            <w:r>
              <w:rPr>
                <w:rFonts w:ascii="Calibri" w:hAnsi="Calibri"/>
                <w:b w:val="0"/>
                <w:i w:val="0"/>
                <w:sz w:val="18"/>
              </w:rPr>
              <w:t>45</w:t>
            </w:r>
          </w:p>
        </w:tc>
        <w:tc>
          <w:tcPr>
            <w:tcW w:type="dxa" w:w="567"/>
            <w:vAlign w:val="center"/>
          </w:tcPr>
          <w:p>
            <w:pPr>
              <w:jc w:val="center"/>
            </w:pPr>
            <w:r>
              <w:rPr>
                <w:rFonts w:ascii="Calibri" w:hAnsi="Calibri"/>
                <w:b w:val="0"/>
                <w:i w:val="0"/>
                <w:sz w:val="18"/>
              </w:rPr>
              <w:t>15</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C07</w:t>
            </w:r>
          </w:p>
        </w:tc>
        <w:tc>
          <w:tcPr>
            <w:tcW w:type="dxa" w:w="624"/>
            <w:shd w:val="clear" w:color="auto" w:fill="EEF3FB"/>
            <w:vAlign w:val="center"/>
          </w:tcPr>
          <w:p>
            <w:pPr>
              <w:jc w:val="center"/>
            </w:pPr>
            <w:r>
              <w:rPr>
                <w:rFonts w:ascii="Calibri" w:hAnsi="Calibri"/>
                <w:b w:val="0"/>
                <w:i w:val="0"/>
                <w:sz w:val="18"/>
              </w:rPr>
              <w:t>ORL</w:t>
            </w:r>
          </w:p>
        </w:tc>
        <w:tc>
          <w:tcPr>
            <w:tcW w:type="dxa" w:w="935"/>
            <w:shd w:val="clear" w:color="auto" w:fill="EEF3FB"/>
            <w:vAlign w:val="center"/>
          </w:tcPr>
          <w:p>
            <w:pPr>
              <w:jc w:val="center"/>
            </w:pPr>
            <w:r>
              <w:rPr>
                <w:rFonts w:ascii="Calibri" w:hAnsi="Calibri"/>
                <w:b w:val="0"/>
                <w:i w:val="0"/>
                <w:sz w:val="18"/>
              </w:rPr>
              <w:t>S_ENT1</w:t>
            </w:r>
          </w:p>
        </w:tc>
        <w:tc>
          <w:tcPr>
            <w:tcW w:type="dxa" w:w="425"/>
            <w:shd w:val="clear" w:color="auto" w:fill="EEF3FB"/>
            <w:vAlign w:val="center"/>
          </w:tcPr>
          <w:p>
            <w:pPr>
              <w:jc w:val="center"/>
            </w:pPr>
            <w:r>
              <w:rPr>
                <w:rFonts w:ascii="Calibri" w:hAnsi="Calibri"/>
                <w:b w:val="0"/>
                <w:i w:val="0"/>
                <w:sz w:val="18"/>
              </w:rPr>
              <w:t>P1</w:t>
            </w:r>
          </w:p>
        </w:tc>
        <w:tc>
          <w:tcPr>
            <w:tcW w:type="dxa" w:w="850"/>
            <w:shd w:val="clear" w:color="auto" w:fill="EEF3FB"/>
            <w:vAlign w:val="center"/>
          </w:tcPr>
          <w:p>
            <w:pPr>
              <w:jc w:val="center"/>
            </w:pPr>
            <w:r>
              <w:rPr>
                <w:rFonts w:ascii="Calibri" w:hAnsi="Calibri"/>
                <w:b w:val="0"/>
                <w:i w:val="0"/>
                <w:sz w:val="18"/>
              </w:rPr>
              <w:t>Ambul.</w:t>
            </w:r>
          </w:p>
        </w:tc>
        <w:tc>
          <w:tcPr>
            <w:tcW w:type="dxa" w:w="482"/>
            <w:shd w:val="clear" w:color="auto" w:fill="EEF3FB"/>
            <w:vAlign w:val="center"/>
          </w:tcPr>
          <w:p>
            <w:pPr>
              <w:jc w:val="center"/>
            </w:pPr>
            <w:r>
              <w:rPr>
                <w:rFonts w:ascii="Calibri" w:hAnsi="Calibri"/>
                <w:b w:val="0"/>
                <w:i w:val="0"/>
                <w:sz w:val="18"/>
              </w:rPr>
              <w:t>4</w:t>
            </w:r>
          </w:p>
        </w:tc>
        <w:tc>
          <w:tcPr>
            <w:tcW w:type="dxa" w:w="510"/>
            <w:shd w:val="clear" w:color="auto" w:fill="EEF3FB"/>
            <w:vAlign w:val="center"/>
          </w:tcPr>
          <w:p>
            <w:pPr>
              <w:jc w:val="center"/>
            </w:pPr>
            <w:r>
              <w:rPr>
                <w:rFonts w:ascii="Calibri" w:hAnsi="Calibri"/>
                <w:b w:val="0"/>
                <w:i w:val="0"/>
                <w:sz w:val="18"/>
              </w:rPr>
              <w:t>90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115</w:t>
            </w:r>
          </w:p>
        </w:tc>
        <w:tc>
          <w:tcPr>
            <w:tcW w:type="dxa" w:w="567"/>
            <w:shd w:val="clear" w:color="auto" w:fill="EEF3FB"/>
            <w:vAlign w:val="center"/>
          </w:tcPr>
          <w:p>
            <w:pPr>
              <w:jc w:val="center"/>
            </w:pPr>
            <w:r>
              <w:rPr>
                <w:rFonts w:ascii="Calibri" w:hAnsi="Calibri"/>
                <w:b w:val="0"/>
                <w:i w:val="0"/>
                <w:sz w:val="18"/>
              </w:rPr>
              <w:t>260</w:t>
            </w:r>
          </w:p>
        </w:tc>
        <w:tc>
          <w:tcPr>
            <w:tcW w:type="dxa" w:w="567"/>
            <w:shd w:val="clear" w:color="auto" w:fill="EEF3FB"/>
            <w:vAlign w:val="center"/>
          </w:tcPr>
          <w:p>
            <w:pPr>
              <w:jc w:val="center"/>
            </w:pPr>
            <w:r>
              <w:rPr>
                <w:rFonts w:ascii="Calibri" w:hAnsi="Calibri"/>
                <w:b w:val="0"/>
                <w:i w:val="0"/>
                <w:sz w:val="18"/>
              </w:rPr>
              <w:t>10</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Pediátrico</w:t>
            </w:r>
          </w:p>
        </w:tc>
      </w:tr>
      <w:tr>
        <w:tc>
          <w:tcPr>
            <w:tcW w:type="dxa" w:w="482"/>
            <w:vAlign w:val="center"/>
          </w:tcPr>
          <w:p>
            <w:pPr>
              <w:jc w:val="center"/>
            </w:pPr>
            <w:r>
              <w:rPr>
                <w:rFonts w:ascii="Calibri" w:hAnsi="Calibri"/>
                <w:b w:val="0"/>
                <w:i w:val="0"/>
                <w:sz w:val="18"/>
              </w:rPr>
              <w:t>C08</w:t>
            </w:r>
          </w:p>
        </w:tc>
        <w:tc>
          <w:tcPr>
            <w:tcW w:type="dxa" w:w="624"/>
            <w:vAlign w:val="center"/>
          </w:tcPr>
          <w:p>
            <w:pPr>
              <w:jc w:val="center"/>
            </w:pPr>
            <w:r>
              <w:rPr>
                <w:rFonts w:ascii="Calibri" w:hAnsi="Calibri"/>
                <w:b w:val="0"/>
                <w:i w:val="0"/>
                <w:sz w:val="18"/>
              </w:rPr>
              <w:t>ORTHO</w:t>
            </w:r>
          </w:p>
        </w:tc>
        <w:tc>
          <w:tcPr>
            <w:tcW w:type="dxa" w:w="935"/>
            <w:vAlign w:val="center"/>
          </w:tcPr>
          <w:p>
            <w:pPr>
              <w:jc w:val="center"/>
            </w:pPr>
            <w:r>
              <w:rPr>
                <w:rFonts w:ascii="Calibri" w:hAnsi="Calibri"/>
                <w:b w:val="0"/>
                <w:i w:val="0"/>
                <w:sz w:val="18"/>
              </w:rPr>
              <w:t>S_ORTHO1</w:t>
            </w:r>
          </w:p>
        </w:tc>
        <w:tc>
          <w:tcPr>
            <w:tcW w:type="dxa" w:w="425"/>
            <w:vAlign w:val="center"/>
          </w:tcPr>
          <w:p>
            <w:pPr>
              <w:jc w:val="center"/>
            </w:pPr>
            <w:r>
              <w:rPr>
                <w:rFonts w:ascii="Calibri" w:hAnsi="Calibri"/>
                <w:b w:val="0"/>
                <w:i w:val="0"/>
                <w:sz w:val="18"/>
              </w:rPr>
              <w:t>P1</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60</w:t>
            </w:r>
          </w:p>
        </w:tc>
        <w:tc>
          <w:tcPr>
            <w:tcW w:type="dxa" w:w="510"/>
            <w:vAlign w:val="center"/>
          </w:tcPr>
          <w:p>
            <w:pPr>
              <w:jc w:val="center"/>
            </w:pPr>
            <w:r>
              <w:rPr>
                <w:rFonts w:ascii="Calibri" w:hAnsi="Calibri"/>
                <w:b w:val="0"/>
                <w:i w:val="0"/>
                <w:sz w:val="18"/>
              </w:rPr>
              <w:t>180</w:t>
            </w:r>
          </w:p>
        </w:tc>
        <w:tc>
          <w:tcPr>
            <w:tcW w:type="dxa" w:w="624"/>
            <w:vAlign w:val="center"/>
          </w:tcPr>
          <w:p>
            <w:pPr>
              <w:jc w:val="center"/>
            </w:pPr>
            <w:r>
              <w:rPr>
                <w:rFonts w:ascii="Calibri" w:hAnsi="Calibri"/>
                <w:b w:val="0"/>
                <w:i w:val="0"/>
                <w:sz w:val="18"/>
              </w:rPr>
              <w:t>40</w:t>
            </w:r>
          </w:p>
        </w:tc>
        <w:tc>
          <w:tcPr>
            <w:tcW w:type="dxa" w:w="510"/>
            <w:vAlign w:val="center"/>
          </w:tcPr>
          <w:p>
            <w:pPr>
              <w:jc w:val="center"/>
            </w:pPr>
            <w:r>
              <w:rPr>
                <w:rFonts w:ascii="Calibri" w:hAnsi="Calibri"/>
                <w:b w:val="0"/>
                <w:i w:val="0"/>
                <w:sz w:val="18"/>
              </w:rPr>
              <w:t>220</w:t>
            </w:r>
          </w:p>
        </w:tc>
        <w:tc>
          <w:tcPr>
            <w:tcW w:type="dxa" w:w="567"/>
            <w:vAlign w:val="center"/>
          </w:tcPr>
          <w:p>
            <w:pPr>
              <w:jc w:val="center"/>
            </w:pPr>
            <w:r>
              <w:rPr>
                <w:rFonts w:ascii="Calibri" w:hAnsi="Calibri"/>
                <w:b w:val="0"/>
                <w:i w:val="0"/>
                <w:sz w:val="18"/>
              </w:rPr>
              <w:t>260</w:t>
            </w:r>
          </w:p>
        </w:tc>
        <w:tc>
          <w:tcPr>
            <w:tcW w:type="dxa" w:w="567"/>
            <w:vAlign w:val="center"/>
          </w:tcPr>
          <w:p>
            <w:pPr>
              <w:jc w:val="center"/>
            </w:pPr>
            <w:r>
              <w:rPr>
                <w:rFonts w:ascii="Calibri" w:hAnsi="Calibri"/>
                <w:b w:val="0"/>
                <w:i w:val="0"/>
                <w:sz w:val="18"/>
              </w:rPr>
              <w:t>10</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C09</w:t>
            </w:r>
          </w:p>
        </w:tc>
        <w:tc>
          <w:tcPr>
            <w:tcW w:type="dxa" w:w="624"/>
            <w:shd w:val="clear" w:color="auto" w:fill="EEF3FB"/>
            <w:vAlign w:val="center"/>
          </w:tcPr>
          <w:p>
            <w:pPr>
              <w:jc w:val="center"/>
            </w:pPr>
            <w:r>
              <w:rPr>
                <w:rFonts w:ascii="Calibri" w:hAnsi="Calibri"/>
                <w:b w:val="0"/>
                <w:i w:val="0"/>
                <w:sz w:val="18"/>
              </w:rPr>
              <w:t>ORTHO</w:t>
            </w:r>
          </w:p>
        </w:tc>
        <w:tc>
          <w:tcPr>
            <w:tcW w:type="dxa" w:w="935"/>
            <w:shd w:val="clear" w:color="auto" w:fill="EEF3FB"/>
            <w:vAlign w:val="center"/>
          </w:tcPr>
          <w:p>
            <w:pPr>
              <w:jc w:val="center"/>
            </w:pPr>
            <w:r>
              <w:rPr>
                <w:rFonts w:ascii="Calibri" w:hAnsi="Calibri"/>
                <w:b w:val="0"/>
                <w:i w:val="0"/>
                <w:sz w:val="18"/>
              </w:rPr>
              <w:t>S_ORTHO1</w:t>
            </w:r>
          </w:p>
        </w:tc>
        <w:tc>
          <w:tcPr>
            <w:tcW w:type="dxa" w:w="425"/>
            <w:shd w:val="clear" w:color="auto" w:fill="EEF3FB"/>
            <w:vAlign w:val="center"/>
          </w:tcPr>
          <w:p>
            <w:pPr>
              <w:jc w:val="center"/>
            </w:pPr>
            <w:r>
              <w:rPr>
                <w:rFonts w:ascii="Calibri" w:hAnsi="Calibri"/>
                <w:b w:val="0"/>
                <w:i w:val="0"/>
                <w:sz w:val="18"/>
              </w:rPr>
              <w:t>P2</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50</w:t>
            </w:r>
          </w:p>
        </w:tc>
        <w:tc>
          <w:tcPr>
            <w:tcW w:type="dxa" w:w="510"/>
            <w:shd w:val="clear" w:color="auto" w:fill="EEF3FB"/>
            <w:vAlign w:val="center"/>
          </w:tcPr>
          <w:p>
            <w:pPr>
              <w:jc w:val="center"/>
            </w:pPr>
            <w:r>
              <w:rPr>
                <w:rFonts w:ascii="Calibri" w:hAnsi="Calibri"/>
                <w:b w:val="0"/>
                <w:i w:val="0"/>
                <w:sz w:val="18"/>
              </w:rPr>
              <w:t>120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145</w:t>
            </w:r>
          </w:p>
        </w:tc>
        <w:tc>
          <w:tcPr>
            <w:tcW w:type="dxa" w:w="567"/>
            <w:shd w:val="clear" w:color="auto" w:fill="EEF3FB"/>
            <w:vAlign w:val="center"/>
          </w:tcPr>
          <w:p>
            <w:pPr>
              <w:jc w:val="center"/>
            </w:pPr>
            <w:r>
              <w:rPr>
                <w:rFonts w:ascii="Calibri" w:hAnsi="Calibri"/>
                <w:b w:val="0"/>
                <w:i w:val="0"/>
                <w:sz w:val="18"/>
              </w:rPr>
              <w:t>55</w:t>
            </w:r>
          </w:p>
        </w:tc>
        <w:tc>
          <w:tcPr>
            <w:tcW w:type="dxa" w:w="567"/>
            <w:shd w:val="clear" w:color="auto" w:fill="EEF3FB"/>
            <w:vAlign w:val="center"/>
          </w:tcPr>
          <w:p>
            <w:pPr>
              <w:jc w:val="center"/>
            </w:pPr>
            <w:r>
              <w:rPr>
                <w:rFonts w:ascii="Calibri" w:hAnsi="Calibri"/>
                <w:b w:val="0"/>
                <w:i w:val="0"/>
                <w:sz w:val="18"/>
              </w:rPr>
              <w:t>5</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r>
        <w:tc>
          <w:tcPr>
            <w:tcW w:type="dxa" w:w="482"/>
            <w:vAlign w:val="center"/>
          </w:tcPr>
          <w:p>
            <w:pPr>
              <w:jc w:val="center"/>
            </w:pPr>
            <w:r>
              <w:rPr>
                <w:rFonts w:ascii="Calibri" w:hAnsi="Calibri"/>
                <w:b w:val="0"/>
                <w:i w:val="0"/>
                <w:sz w:val="18"/>
              </w:rPr>
              <w:t>C10</w:t>
            </w:r>
          </w:p>
        </w:tc>
        <w:tc>
          <w:tcPr>
            <w:tcW w:type="dxa" w:w="624"/>
            <w:vAlign w:val="center"/>
          </w:tcPr>
          <w:p>
            <w:pPr>
              <w:jc w:val="center"/>
            </w:pPr>
            <w:r>
              <w:rPr>
                <w:rFonts w:ascii="Calibri" w:hAnsi="Calibri"/>
                <w:b w:val="0"/>
                <w:i w:val="0"/>
                <w:sz w:val="18"/>
              </w:rPr>
              <w:t>ORTHO</w:t>
            </w:r>
          </w:p>
        </w:tc>
        <w:tc>
          <w:tcPr>
            <w:tcW w:type="dxa" w:w="935"/>
            <w:vAlign w:val="center"/>
          </w:tcPr>
          <w:p>
            <w:pPr>
              <w:jc w:val="center"/>
            </w:pPr>
            <w:r>
              <w:rPr>
                <w:rFonts w:ascii="Calibri" w:hAnsi="Calibri"/>
                <w:b w:val="0"/>
                <w:i w:val="0"/>
                <w:sz w:val="18"/>
              </w:rPr>
              <w:t>S_ORTHO1</w:t>
            </w:r>
          </w:p>
        </w:tc>
        <w:tc>
          <w:tcPr>
            <w:tcW w:type="dxa" w:w="425"/>
            <w:vAlign w:val="center"/>
          </w:tcPr>
          <w:p>
            <w:pPr>
              <w:jc w:val="center"/>
            </w:pPr>
            <w:r>
              <w:rPr>
                <w:rFonts w:ascii="Calibri" w:hAnsi="Calibri"/>
                <w:b w:val="0"/>
                <w:i w:val="0"/>
                <w:sz w:val="18"/>
              </w:rPr>
              <w:t>P3</w:t>
            </w:r>
          </w:p>
        </w:tc>
        <w:tc>
          <w:tcPr>
            <w:tcW w:type="dxa" w:w="850"/>
            <w:vAlign w:val="center"/>
          </w:tcPr>
          <w:p>
            <w:pPr>
              <w:jc w:val="center"/>
            </w:pPr>
            <w:r>
              <w:rPr>
                <w:rFonts w:ascii="Calibri" w:hAnsi="Calibri"/>
                <w:b w:val="0"/>
                <w:i w:val="0"/>
                <w:sz w:val="18"/>
              </w:rPr>
              <w:t>Ambul.</w:t>
            </w:r>
          </w:p>
        </w:tc>
        <w:tc>
          <w:tcPr>
            <w:tcW w:type="dxa" w:w="482"/>
            <w:vAlign w:val="center"/>
          </w:tcPr>
          <w:p>
            <w:pPr>
              <w:jc w:val="center"/>
            </w:pPr>
            <w:r>
              <w:rPr>
                <w:rFonts w:ascii="Calibri" w:hAnsi="Calibri"/>
                <w:b w:val="0"/>
                <w:i w:val="0"/>
                <w:sz w:val="18"/>
              </w:rPr>
              <w:t>35</w:t>
            </w:r>
          </w:p>
        </w:tc>
        <w:tc>
          <w:tcPr>
            <w:tcW w:type="dxa" w:w="510"/>
            <w:vAlign w:val="center"/>
          </w:tcPr>
          <w:p>
            <w:pPr>
              <w:jc w:val="center"/>
            </w:pPr>
            <w:r>
              <w:rPr>
                <w:rFonts w:ascii="Calibri" w:hAnsi="Calibri"/>
                <w:b w:val="0"/>
                <w:i w:val="0"/>
                <w:sz w:val="18"/>
              </w:rPr>
              <w:t>90</w:t>
            </w:r>
          </w:p>
        </w:tc>
        <w:tc>
          <w:tcPr>
            <w:tcW w:type="dxa" w:w="624"/>
            <w:vAlign w:val="center"/>
          </w:tcPr>
          <w:p>
            <w:pPr>
              <w:jc w:val="center"/>
            </w:pPr>
            <w:r>
              <w:rPr>
                <w:rFonts w:ascii="Calibri" w:hAnsi="Calibri"/>
                <w:b w:val="0"/>
                <w:i w:val="0"/>
                <w:sz w:val="18"/>
              </w:rPr>
              <w:t>25</w:t>
            </w:r>
          </w:p>
        </w:tc>
        <w:tc>
          <w:tcPr>
            <w:tcW w:type="dxa" w:w="510"/>
            <w:vAlign w:val="center"/>
          </w:tcPr>
          <w:p>
            <w:pPr>
              <w:jc w:val="center"/>
            </w:pPr>
            <w:r>
              <w:rPr>
                <w:rFonts w:ascii="Calibri" w:hAnsi="Calibri"/>
                <w:b w:val="0"/>
                <w:i w:val="0"/>
                <w:sz w:val="18"/>
              </w:rPr>
              <w:t>115</w:t>
            </w:r>
          </w:p>
        </w:tc>
        <w:tc>
          <w:tcPr>
            <w:tcW w:type="dxa" w:w="567"/>
            <w:vAlign w:val="center"/>
          </w:tcPr>
          <w:p>
            <w:pPr>
              <w:jc w:val="center"/>
            </w:pPr>
            <w:r>
              <w:rPr>
                <w:rFonts w:ascii="Calibri" w:hAnsi="Calibri"/>
                <w:b w:val="0"/>
                <w:i w:val="0"/>
                <w:sz w:val="18"/>
              </w:rPr>
              <w:t>10</w:t>
            </w:r>
          </w:p>
        </w:tc>
        <w:tc>
          <w:tcPr>
            <w:tcW w:type="dxa" w:w="567"/>
            <w:vAlign w:val="center"/>
          </w:tcPr>
          <w:p>
            <w:pPr>
              <w:jc w:val="center"/>
            </w:pPr>
            <w:r>
              <w:rPr>
                <w:rFonts w:ascii="Calibri" w:hAnsi="Calibri"/>
                <w:b w:val="0"/>
                <w:i w:val="0"/>
                <w:sz w:val="18"/>
              </w:rPr>
              <w:t>5</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C11</w:t>
            </w:r>
          </w:p>
        </w:tc>
        <w:tc>
          <w:tcPr>
            <w:tcW w:type="dxa" w:w="624"/>
            <w:shd w:val="clear" w:color="auto" w:fill="EEF3FB"/>
            <w:vAlign w:val="center"/>
          </w:tcPr>
          <w:p>
            <w:pPr>
              <w:jc w:val="center"/>
            </w:pPr>
            <w:r>
              <w:rPr>
                <w:rFonts w:ascii="Calibri" w:hAnsi="Calibri"/>
                <w:b w:val="0"/>
                <w:i w:val="0"/>
                <w:sz w:val="18"/>
              </w:rPr>
              <w:t>ORTHO</w:t>
            </w:r>
          </w:p>
        </w:tc>
        <w:tc>
          <w:tcPr>
            <w:tcW w:type="dxa" w:w="935"/>
            <w:shd w:val="clear" w:color="auto" w:fill="EEF3FB"/>
            <w:vAlign w:val="center"/>
          </w:tcPr>
          <w:p>
            <w:pPr>
              <w:jc w:val="center"/>
            </w:pPr>
            <w:r>
              <w:rPr>
                <w:rFonts w:ascii="Calibri" w:hAnsi="Calibri"/>
                <w:b w:val="0"/>
                <w:i w:val="0"/>
                <w:sz w:val="18"/>
              </w:rPr>
              <w:t>S_ORTHO1</w:t>
            </w:r>
          </w:p>
        </w:tc>
        <w:tc>
          <w:tcPr>
            <w:tcW w:type="dxa" w:w="425"/>
            <w:shd w:val="clear" w:color="auto" w:fill="EEF3FB"/>
            <w:vAlign w:val="center"/>
          </w:tcPr>
          <w:p>
            <w:pPr>
              <w:jc w:val="center"/>
            </w:pPr>
            <w:r>
              <w:rPr>
                <w:rFonts w:ascii="Calibri" w:hAnsi="Calibri"/>
                <w:b w:val="0"/>
                <w:i w:val="0"/>
                <w:sz w:val="18"/>
              </w:rPr>
              <w:t>P1</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70</w:t>
            </w:r>
          </w:p>
        </w:tc>
        <w:tc>
          <w:tcPr>
            <w:tcW w:type="dxa" w:w="510"/>
            <w:shd w:val="clear" w:color="auto" w:fill="EEF3FB"/>
            <w:vAlign w:val="center"/>
          </w:tcPr>
          <w:p>
            <w:pPr>
              <w:jc w:val="center"/>
            </w:pPr>
            <w:r>
              <w:rPr>
                <w:rFonts w:ascii="Calibri" w:hAnsi="Calibri"/>
                <w:b w:val="0"/>
                <w:i w:val="0"/>
                <w:sz w:val="18"/>
              </w:rPr>
              <w:t>150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175</w:t>
            </w:r>
          </w:p>
        </w:tc>
        <w:tc>
          <w:tcPr>
            <w:tcW w:type="dxa" w:w="567"/>
            <w:shd w:val="clear" w:color="auto" w:fill="EEF3FB"/>
            <w:vAlign w:val="center"/>
          </w:tcPr>
          <w:p>
            <w:pPr>
              <w:jc w:val="center"/>
            </w:pPr>
            <w:r>
              <w:rPr>
                <w:rFonts w:ascii="Calibri" w:hAnsi="Calibri"/>
                <w:b w:val="0"/>
                <w:i w:val="0"/>
                <w:sz w:val="18"/>
              </w:rPr>
              <w:t>275</w:t>
            </w:r>
          </w:p>
        </w:tc>
        <w:tc>
          <w:tcPr>
            <w:tcW w:type="dxa" w:w="567"/>
            <w:shd w:val="clear" w:color="auto" w:fill="EEF3FB"/>
            <w:vAlign w:val="center"/>
          </w:tcPr>
          <w:p>
            <w:pPr>
              <w:jc w:val="center"/>
            </w:pPr>
            <w:r>
              <w:rPr>
                <w:rFonts w:ascii="Calibri" w:hAnsi="Calibri"/>
                <w:b w:val="0"/>
                <w:i w:val="0"/>
                <w:sz w:val="18"/>
              </w:rPr>
              <w:t>−5</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Vencido</w:t>
            </w:r>
          </w:p>
        </w:tc>
      </w:tr>
      <w:tr>
        <w:tc>
          <w:tcPr>
            <w:tcW w:type="dxa" w:w="482"/>
            <w:vAlign w:val="center"/>
          </w:tcPr>
          <w:p>
            <w:pPr>
              <w:jc w:val="center"/>
            </w:pPr>
            <w:r>
              <w:rPr>
                <w:rFonts w:ascii="Calibri" w:hAnsi="Calibri"/>
                <w:b w:val="0"/>
                <w:i w:val="0"/>
                <w:sz w:val="18"/>
              </w:rPr>
              <w:t>C12</w:t>
            </w:r>
          </w:p>
        </w:tc>
        <w:tc>
          <w:tcPr>
            <w:tcW w:type="dxa" w:w="624"/>
            <w:vAlign w:val="center"/>
          </w:tcPr>
          <w:p>
            <w:pPr>
              <w:jc w:val="center"/>
            </w:pPr>
            <w:r>
              <w:rPr>
                <w:rFonts w:ascii="Calibri" w:hAnsi="Calibri"/>
                <w:b w:val="0"/>
                <w:i w:val="0"/>
                <w:sz w:val="18"/>
              </w:rPr>
              <w:t>ORTHO</w:t>
            </w:r>
          </w:p>
        </w:tc>
        <w:tc>
          <w:tcPr>
            <w:tcW w:type="dxa" w:w="935"/>
            <w:vAlign w:val="center"/>
          </w:tcPr>
          <w:p>
            <w:pPr>
              <w:jc w:val="center"/>
            </w:pPr>
            <w:r>
              <w:rPr>
                <w:rFonts w:ascii="Calibri" w:hAnsi="Calibri"/>
                <w:b w:val="0"/>
                <w:i w:val="0"/>
                <w:sz w:val="18"/>
              </w:rPr>
              <w:t>S_ORTHO1</w:t>
            </w:r>
          </w:p>
        </w:tc>
        <w:tc>
          <w:tcPr>
            <w:tcW w:type="dxa" w:w="425"/>
            <w:vAlign w:val="center"/>
          </w:tcPr>
          <w:p>
            <w:pPr>
              <w:jc w:val="center"/>
            </w:pPr>
            <w:r>
              <w:rPr>
                <w:rFonts w:ascii="Calibri" w:hAnsi="Calibri"/>
                <w:b w:val="0"/>
                <w:i w:val="0"/>
                <w:sz w:val="18"/>
              </w:rPr>
              <w:t>P2</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55</w:t>
            </w:r>
          </w:p>
        </w:tc>
        <w:tc>
          <w:tcPr>
            <w:tcW w:type="dxa" w:w="510"/>
            <w:vAlign w:val="center"/>
          </w:tcPr>
          <w:p>
            <w:pPr>
              <w:jc w:val="center"/>
            </w:pPr>
            <w:r>
              <w:rPr>
                <w:rFonts w:ascii="Calibri" w:hAnsi="Calibri"/>
                <w:b w:val="0"/>
                <w:i w:val="0"/>
                <w:sz w:val="18"/>
              </w:rPr>
              <w:t>200</w:t>
            </w:r>
          </w:p>
        </w:tc>
        <w:tc>
          <w:tcPr>
            <w:tcW w:type="dxa" w:w="624"/>
            <w:vAlign w:val="center"/>
          </w:tcPr>
          <w:p>
            <w:pPr>
              <w:jc w:val="center"/>
            </w:pPr>
            <w:r>
              <w:rPr>
                <w:rFonts w:ascii="Calibri" w:hAnsi="Calibri"/>
                <w:b w:val="0"/>
                <w:i w:val="0"/>
                <w:sz w:val="18"/>
              </w:rPr>
              <w:t>40</w:t>
            </w:r>
          </w:p>
        </w:tc>
        <w:tc>
          <w:tcPr>
            <w:tcW w:type="dxa" w:w="510"/>
            <w:vAlign w:val="center"/>
          </w:tcPr>
          <w:p>
            <w:pPr>
              <w:jc w:val="center"/>
            </w:pPr>
            <w:r>
              <w:rPr>
                <w:rFonts w:ascii="Calibri" w:hAnsi="Calibri"/>
                <w:b w:val="0"/>
                <w:i w:val="0"/>
                <w:sz w:val="18"/>
              </w:rPr>
              <w:t>240</w:t>
            </w:r>
          </w:p>
        </w:tc>
        <w:tc>
          <w:tcPr>
            <w:tcW w:type="dxa" w:w="567"/>
            <w:vAlign w:val="center"/>
          </w:tcPr>
          <w:p>
            <w:pPr>
              <w:jc w:val="center"/>
            </w:pPr>
            <w:r>
              <w:rPr>
                <w:rFonts w:ascii="Calibri" w:hAnsi="Calibri"/>
                <w:b w:val="0"/>
                <w:i w:val="0"/>
                <w:sz w:val="18"/>
              </w:rPr>
              <w:t>50</w:t>
            </w:r>
          </w:p>
        </w:tc>
        <w:tc>
          <w:tcPr>
            <w:tcW w:type="dxa" w:w="567"/>
            <w:vAlign w:val="center"/>
          </w:tcPr>
          <w:p>
            <w:pPr>
              <w:jc w:val="center"/>
            </w:pPr>
            <w:r>
              <w:rPr>
                <w:rFonts w:ascii="Calibri" w:hAnsi="Calibri"/>
                <w:b w:val="0"/>
                <w:i w:val="0"/>
                <w:sz w:val="18"/>
              </w:rPr>
              <w:t>10</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C13</w:t>
            </w:r>
          </w:p>
        </w:tc>
        <w:tc>
          <w:tcPr>
            <w:tcW w:type="dxa" w:w="624"/>
            <w:shd w:val="clear" w:color="auto" w:fill="EEF3FB"/>
            <w:vAlign w:val="center"/>
          </w:tcPr>
          <w:p>
            <w:pPr>
              <w:jc w:val="center"/>
            </w:pPr>
            <w:r>
              <w:rPr>
                <w:rFonts w:ascii="Calibri" w:hAnsi="Calibri"/>
                <w:b w:val="0"/>
                <w:i w:val="0"/>
                <w:sz w:val="18"/>
              </w:rPr>
              <w:t>ORTHO</w:t>
            </w:r>
          </w:p>
        </w:tc>
        <w:tc>
          <w:tcPr>
            <w:tcW w:type="dxa" w:w="935"/>
            <w:shd w:val="clear" w:color="auto" w:fill="EEF3FB"/>
            <w:vAlign w:val="center"/>
          </w:tcPr>
          <w:p>
            <w:pPr>
              <w:jc w:val="center"/>
            </w:pPr>
            <w:r>
              <w:rPr>
                <w:rFonts w:ascii="Calibri" w:hAnsi="Calibri"/>
                <w:b w:val="0"/>
                <w:i w:val="0"/>
                <w:sz w:val="18"/>
              </w:rPr>
              <w:t>S_ORTHO1</w:t>
            </w:r>
          </w:p>
        </w:tc>
        <w:tc>
          <w:tcPr>
            <w:tcW w:type="dxa" w:w="425"/>
            <w:shd w:val="clear" w:color="auto" w:fill="EEF3FB"/>
            <w:vAlign w:val="center"/>
          </w:tcPr>
          <w:p>
            <w:pPr>
              <w:jc w:val="center"/>
            </w:pPr>
            <w:r>
              <w:rPr>
                <w:rFonts w:ascii="Calibri" w:hAnsi="Calibri"/>
                <w:b w:val="0"/>
                <w:i w:val="0"/>
                <w:sz w:val="18"/>
              </w:rPr>
              <w:t>P4</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40</w:t>
            </w:r>
          </w:p>
        </w:tc>
        <w:tc>
          <w:tcPr>
            <w:tcW w:type="dxa" w:w="510"/>
            <w:shd w:val="clear" w:color="auto" w:fill="EEF3FB"/>
            <w:vAlign w:val="center"/>
          </w:tcPr>
          <w:p>
            <w:pPr>
              <w:jc w:val="center"/>
            </w:pPr>
            <w:r>
              <w:rPr>
                <w:rFonts w:ascii="Calibri" w:hAnsi="Calibri"/>
                <w:b w:val="0"/>
                <w:i w:val="0"/>
                <w:sz w:val="18"/>
              </w:rPr>
              <w:t>60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85</w:t>
            </w:r>
          </w:p>
        </w:tc>
        <w:tc>
          <w:tcPr>
            <w:tcW w:type="dxa" w:w="567"/>
            <w:shd w:val="clear" w:color="auto" w:fill="EEF3FB"/>
            <w:vAlign w:val="center"/>
          </w:tcPr>
          <w:p>
            <w:pPr>
              <w:jc w:val="center"/>
            </w:pPr>
            <w:r>
              <w:rPr>
                <w:rFonts w:ascii="Calibri" w:hAnsi="Calibri"/>
                <w:b w:val="0"/>
                <w:i w:val="0"/>
                <w:sz w:val="18"/>
              </w:rPr>
              <w:t>3</w:t>
            </w:r>
          </w:p>
        </w:tc>
        <w:tc>
          <w:tcPr>
            <w:tcW w:type="dxa" w:w="567"/>
            <w:shd w:val="clear" w:color="auto" w:fill="EEF3FB"/>
            <w:vAlign w:val="center"/>
          </w:tcPr>
          <w:p>
            <w:pPr>
              <w:jc w:val="center"/>
            </w:pPr>
            <w:r>
              <w:rPr>
                <w:rFonts w:ascii="Calibri" w:hAnsi="Calibri"/>
                <w:b w:val="0"/>
                <w:i w:val="0"/>
                <w:sz w:val="18"/>
              </w:rPr>
              <w:t>0</w:t>
            </w:r>
          </w:p>
        </w:tc>
        <w:tc>
          <w:tcPr>
            <w:tcW w:type="dxa" w:w="794"/>
            <w:shd w:val="clear" w:color="auto" w:fill="EEF3FB"/>
            <w:vAlign w:val="center"/>
          </w:tcPr>
          <w:p>
            <w:pPr>
              <w:jc w:val="center"/>
            </w:pPr>
            <w:r>
              <w:rPr>
                <w:rFonts w:ascii="Calibri" w:hAnsi="Calibri"/>
                <w:b w:val="0"/>
                <w:i w:val="0"/>
                <w:sz w:val="18"/>
              </w:rPr>
              <w:t>—</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Add-on D1</w:t>
            </w:r>
          </w:p>
        </w:tc>
      </w:tr>
      <w:tr>
        <w:tc>
          <w:tcPr>
            <w:tcW w:type="dxa" w:w="482"/>
            <w:vAlign w:val="center"/>
          </w:tcPr>
          <w:p>
            <w:pPr>
              <w:jc w:val="center"/>
            </w:pPr>
            <w:r>
              <w:rPr>
                <w:rFonts w:ascii="Calibri" w:hAnsi="Calibri"/>
                <w:b w:val="0"/>
                <w:i w:val="0"/>
                <w:sz w:val="18"/>
              </w:rPr>
              <w:t>C14</w:t>
            </w:r>
          </w:p>
        </w:tc>
        <w:tc>
          <w:tcPr>
            <w:tcW w:type="dxa" w:w="624"/>
            <w:vAlign w:val="center"/>
          </w:tcPr>
          <w:p>
            <w:pPr>
              <w:jc w:val="center"/>
            </w:pPr>
            <w:r>
              <w:rPr>
                <w:rFonts w:ascii="Calibri" w:hAnsi="Calibri"/>
                <w:b w:val="0"/>
                <w:i w:val="0"/>
                <w:sz w:val="18"/>
              </w:rPr>
              <w:t>VASC</w:t>
            </w:r>
          </w:p>
        </w:tc>
        <w:tc>
          <w:tcPr>
            <w:tcW w:type="dxa" w:w="935"/>
            <w:vAlign w:val="center"/>
          </w:tcPr>
          <w:p>
            <w:pPr>
              <w:jc w:val="center"/>
            </w:pPr>
            <w:r>
              <w:rPr>
                <w:rFonts w:ascii="Calibri" w:hAnsi="Calibri"/>
                <w:b w:val="0"/>
                <w:i w:val="0"/>
                <w:sz w:val="18"/>
              </w:rPr>
              <w:t>S_VASC1</w:t>
            </w:r>
          </w:p>
        </w:tc>
        <w:tc>
          <w:tcPr>
            <w:tcW w:type="dxa" w:w="425"/>
            <w:vAlign w:val="center"/>
          </w:tcPr>
          <w:p>
            <w:pPr>
              <w:jc w:val="center"/>
            </w:pPr>
            <w:r>
              <w:rPr>
                <w:rFonts w:ascii="Calibri" w:hAnsi="Calibri"/>
                <w:b w:val="0"/>
                <w:i w:val="0"/>
                <w:sz w:val="18"/>
              </w:rPr>
              <w:t>P1</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62</w:t>
            </w:r>
          </w:p>
        </w:tc>
        <w:tc>
          <w:tcPr>
            <w:tcW w:type="dxa" w:w="510"/>
            <w:vAlign w:val="center"/>
          </w:tcPr>
          <w:p>
            <w:pPr>
              <w:jc w:val="center"/>
            </w:pPr>
            <w:r>
              <w:rPr>
                <w:rFonts w:ascii="Calibri" w:hAnsi="Calibri"/>
                <w:b w:val="0"/>
                <w:i w:val="0"/>
                <w:sz w:val="18"/>
              </w:rPr>
              <w:t>210</w:t>
            </w:r>
          </w:p>
        </w:tc>
        <w:tc>
          <w:tcPr>
            <w:tcW w:type="dxa" w:w="624"/>
            <w:vAlign w:val="center"/>
          </w:tcPr>
          <w:p>
            <w:pPr>
              <w:jc w:val="center"/>
            </w:pPr>
            <w:r>
              <w:rPr>
                <w:rFonts w:ascii="Calibri" w:hAnsi="Calibri"/>
                <w:b w:val="0"/>
                <w:i w:val="0"/>
                <w:sz w:val="18"/>
              </w:rPr>
              <w:t>40</w:t>
            </w:r>
          </w:p>
        </w:tc>
        <w:tc>
          <w:tcPr>
            <w:tcW w:type="dxa" w:w="510"/>
            <w:vAlign w:val="center"/>
          </w:tcPr>
          <w:p>
            <w:pPr>
              <w:jc w:val="center"/>
            </w:pPr>
            <w:r>
              <w:rPr>
                <w:rFonts w:ascii="Calibri" w:hAnsi="Calibri"/>
                <w:b w:val="0"/>
                <w:i w:val="0"/>
                <w:sz w:val="18"/>
              </w:rPr>
              <w:t>250</w:t>
            </w:r>
          </w:p>
        </w:tc>
        <w:tc>
          <w:tcPr>
            <w:tcW w:type="dxa" w:w="567"/>
            <w:vAlign w:val="center"/>
          </w:tcPr>
          <w:p>
            <w:pPr>
              <w:jc w:val="center"/>
            </w:pPr>
            <w:r>
              <w:rPr>
                <w:rFonts w:ascii="Calibri" w:hAnsi="Calibri"/>
                <w:b w:val="0"/>
                <w:i w:val="0"/>
                <w:sz w:val="18"/>
              </w:rPr>
              <w:t>265</w:t>
            </w:r>
          </w:p>
        </w:tc>
        <w:tc>
          <w:tcPr>
            <w:tcW w:type="dxa" w:w="567"/>
            <w:vAlign w:val="center"/>
          </w:tcPr>
          <w:p>
            <w:pPr>
              <w:jc w:val="center"/>
            </w:pPr>
            <w:r>
              <w:rPr>
                <w:rFonts w:ascii="Calibri" w:hAnsi="Calibri"/>
                <w:b w:val="0"/>
                <w:i w:val="0"/>
                <w:sz w:val="18"/>
              </w:rPr>
              <w:t>5</w:t>
            </w:r>
          </w:p>
        </w:tc>
        <w:tc>
          <w:tcPr>
            <w:tcW w:type="dxa" w:w="794"/>
            <w:vAlign w:val="center"/>
          </w:tcPr>
          <w:p>
            <w:pPr>
              <w:jc w:val="center"/>
            </w:pPr>
            <w:r>
              <w:rPr>
                <w:rFonts w:ascii="Calibri" w:hAnsi="Calibri"/>
                <w:b w:val="0"/>
                <w:i w:val="0"/>
                <w:sz w:val="18"/>
              </w:rPr>
              <w:t>C-ARM</w:t>
            </w:r>
          </w:p>
        </w:tc>
        <w:tc>
          <w:tcPr>
            <w:tcW w:type="dxa" w:w="510"/>
            <w:vAlign w:val="center"/>
          </w:tcPr>
          <w:p>
            <w:pPr>
              <w:jc w:val="center"/>
            </w:pPr>
            <w:r>
              <w:rPr>
                <w:rFonts w:ascii="Calibri" w:hAnsi="Calibri"/>
                <w:b w:val="0"/>
                <w:i w:val="0"/>
                <w:sz w:val="18"/>
              </w:rPr>
              <w:t>1</w:t>
            </w:r>
          </w:p>
        </w:tc>
        <w:tc>
          <w:tcPr>
            <w:tcW w:type="dxa" w:w="1134"/>
            <w:vAlign w:val="center"/>
          </w:tcPr>
          <w:p>
            <w:pPr>
              <w:jc w:val="center"/>
            </w:pPr>
            <w:r>
              <w:rPr>
                <w:rFonts w:ascii="Calibri" w:hAnsi="Calibri"/>
                <w:b w:val="0"/>
                <w:i w:val="0"/>
                <w:sz w:val="18"/>
              </w:rPr>
              <w:t>UCI 1 dia</w:t>
            </w:r>
          </w:p>
        </w:tc>
      </w:tr>
      <w:tr>
        <w:tc>
          <w:tcPr>
            <w:tcW w:type="dxa" w:w="482"/>
            <w:shd w:val="clear" w:color="auto" w:fill="EEF3FB"/>
            <w:vAlign w:val="center"/>
          </w:tcPr>
          <w:p>
            <w:pPr>
              <w:jc w:val="center"/>
            </w:pPr>
            <w:r>
              <w:rPr>
                <w:rFonts w:ascii="Calibri" w:hAnsi="Calibri"/>
                <w:b w:val="0"/>
                <w:i w:val="0"/>
                <w:sz w:val="18"/>
              </w:rPr>
              <w:t>C15</w:t>
            </w:r>
          </w:p>
        </w:tc>
        <w:tc>
          <w:tcPr>
            <w:tcW w:type="dxa" w:w="624"/>
            <w:shd w:val="clear" w:color="auto" w:fill="EEF3FB"/>
            <w:vAlign w:val="center"/>
          </w:tcPr>
          <w:p>
            <w:pPr>
              <w:jc w:val="center"/>
            </w:pPr>
            <w:r>
              <w:rPr>
                <w:rFonts w:ascii="Calibri" w:hAnsi="Calibri"/>
                <w:b w:val="0"/>
                <w:i w:val="0"/>
                <w:sz w:val="18"/>
              </w:rPr>
              <w:t>VASC</w:t>
            </w:r>
          </w:p>
        </w:tc>
        <w:tc>
          <w:tcPr>
            <w:tcW w:type="dxa" w:w="935"/>
            <w:shd w:val="clear" w:color="auto" w:fill="EEF3FB"/>
            <w:vAlign w:val="center"/>
          </w:tcPr>
          <w:p>
            <w:pPr>
              <w:jc w:val="center"/>
            </w:pPr>
            <w:r>
              <w:rPr>
                <w:rFonts w:ascii="Calibri" w:hAnsi="Calibri"/>
                <w:b w:val="0"/>
                <w:i w:val="0"/>
                <w:sz w:val="18"/>
              </w:rPr>
              <w:t>S_VASC2</w:t>
            </w:r>
          </w:p>
        </w:tc>
        <w:tc>
          <w:tcPr>
            <w:tcW w:type="dxa" w:w="425"/>
            <w:shd w:val="clear" w:color="auto" w:fill="EEF3FB"/>
            <w:vAlign w:val="center"/>
          </w:tcPr>
          <w:p>
            <w:pPr>
              <w:jc w:val="center"/>
            </w:pPr>
            <w:r>
              <w:rPr>
                <w:rFonts w:ascii="Calibri" w:hAnsi="Calibri"/>
                <w:b w:val="0"/>
                <w:i w:val="0"/>
                <w:sz w:val="18"/>
              </w:rPr>
              <w:t>P2</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58</w:t>
            </w:r>
          </w:p>
        </w:tc>
        <w:tc>
          <w:tcPr>
            <w:tcW w:type="dxa" w:w="510"/>
            <w:shd w:val="clear" w:color="auto" w:fill="EEF3FB"/>
            <w:vAlign w:val="center"/>
          </w:tcPr>
          <w:p>
            <w:pPr>
              <w:jc w:val="center"/>
            </w:pPr>
            <w:r>
              <w:rPr>
                <w:rFonts w:ascii="Calibri" w:hAnsi="Calibri"/>
                <w:b w:val="0"/>
                <w:i w:val="0"/>
                <w:sz w:val="18"/>
              </w:rPr>
              <w:t>150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175</w:t>
            </w:r>
          </w:p>
        </w:tc>
        <w:tc>
          <w:tcPr>
            <w:tcW w:type="dxa" w:w="567"/>
            <w:shd w:val="clear" w:color="auto" w:fill="EEF3FB"/>
            <w:vAlign w:val="center"/>
          </w:tcPr>
          <w:p>
            <w:pPr>
              <w:jc w:val="center"/>
            </w:pPr>
            <w:r>
              <w:rPr>
                <w:rFonts w:ascii="Calibri" w:hAnsi="Calibri"/>
                <w:b w:val="0"/>
                <w:i w:val="0"/>
                <w:sz w:val="18"/>
              </w:rPr>
              <w:t>50</w:t>
            </w:r>
          </w:p>
        </w:tc>
        <w:tc>
          <w:tcPr>
            <w:tcW w:type="dxa" w:w="567"/>
            <w:shd w:val="clear" w:color="auto" w:fill="EEF3FB"/>
            <w:vAlign w:val="center"/>
          </w:tcPr>
          <w:p>
            <w:pPr>
              <w:jc w:val="center"/>
            </w:pPr>
            <w:r>
              <w:rPr>
                <w:rFonts w:ascii="Calibri" w:hAnsi="Calibri"/>
                <w:b w:val="0"/>
                <w:i w:val="0"/>
                <w:sz w:val="18"/>
              </w:rPr>
              <w:t>10</w:t>
            </w:r>
          </w:p>
        </w:tc>
        <w:tc>
          <w:tcPr>
            <w:tcW w:type="dxa" w:w="794"/>
            <w:shd w:val="clear" w:color="auto" w:fill="EEF3FB"/>
            <w:vAlign w:val="center"/>
          </w:tcPr>
          <w:p>
            <w:pPr>
              <w:jc w:val="center"/>
            </w:pPr>
            <w:r>
              <w:rPr>
                <w:rFonts w:ascii="Calibri" w:hAnsi="Calibri"/>
                <w:b w:val="0"/>
                <w:i w:val="0"/>
                <w:sz w:val="18"/>
              </w:rPr>
              <w:t>C-ARM</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r>
        <w:tc>
          <w:tcPr>
            <w:tcW w:type="dxa" w:w="482"/>
            <w:vAlign w:val="center"/>
          </w:tcPr>
          <w:p>
            <w:pPr>
              <w:jc w:val="center"/>
            </w:pPr>
            <w:r>
              <w:rPr>
                <w:rFonts w:ascii="Calibri" w:hAnsi="Calibri"/>
                <w:b w:val="0"/>
                <w:i w:val="0"/>
                <w:sz w:val="18"/>
              </w:rPr>
              <w:t>C16</w:t>
            </w:r>
          </w:p>
        </w:tc>
        <w:tc>
          <w:tcPr>
            <w:tcW w:type="dxa" w:w="624"/>
            <w:vAlign w:val="center"/>
          </w:tcPr>
          <w:p>
            <w:pPr>
              <w:jc w:val="center"/>
            </w:pPr>
            <w:r>
              <w:rPr>
                <w:rFonts w:ascii="Calibri" w:hAnsi="Calibri"/>
                <w:b w:val="0"/>
                <w:i w:val="0"/>
                <w:sz w:val="18"/>
              </w:rPr>
              <w:t>VASC</w:t>
            </w:r>
          </w:p>
        </w:tc>
        <w:tc>
          <w:tcPr>
            <w:tcW w:type="dxa" w:w="935"/>
            <w:vAlign w:val="center"/>
          </w:tcPr>
          <w:p>
            <w:pPr>
              <w:jc w:val="center"/>
            </w:pPr>
            <w:r>
              <w:rPr>
                <w:rFonts w:ascii="Calibri" w:hAnsi="Calibri"/>
                <w:b w:val="0"/>
                <w:i w:val="0"/>
                <w:sz w:val="18"/>
              </w:rPr>
              <w:t>S_VASC3</w:t>
            </w:r>
          </w:p>
        </w:tc>
        <w:tc>
          <w:tcPr>
            <w:tcW w:type="dxa" w:w="425"/>
            <w:vAlign w:val="center"/>
          </w:tcPr>
          <w:p>
            <w:pPr>
              <w:jc w:val="center"/>
            </w:pPr>
            <w:r>
              <w:rPr>
                <w:rFonts w:ascii="Calibri" w:hAnsi="Calibri"/>
                <w:b w:val="0"/>
                <w:i w:val="0"/>
                <w:sz w:val="18"/>
              </w:rPr>
              <w:t>P1</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65</w:t>
            </w:r>
          </w:p>
        </w:tc>
        <w:tc>
          <w:tcPr>
            <w:tcW w:type="dxa" w:w="510"/>
            <w:vAlign w:val="center"/>
          </w:tcPr>
          <w:p>
            <w:pPr>
              <w:jc w:val="center"/>
            </w:pPr>
            <w:r>
              <w:rPr>
                <w:rFonts w:ascii="Calibri" w:hAnsi="Calibri"/>
                <w:b w:val="0"/>
                <w:i w:val="0"/>
                <w:sz w:val="18"/>
              </w:rPr>
              <w:t>180</w:t>
            </w:r>
          </w:p>
        </w:tc>
        <w:tc>
          <w:tcPr>
            <w:tcW w:type="dxa" w:w="624"/>
            <w:vAlign w:val="center"/>
          </w:tcPr>
          <w:p>
            <w:pPr>
              <w:jc w:val="center"/>
            </w:pPr>
            <w:r>
              <w:rPr>
                <w:rFonts w:ascii="Calibri" w:hAnsi="Calibri"/>
                <w:b w:val="0"/>
                <w:i w:val="0"/>
                <w:sz w:val="18"/>
              </w:rPr>
              <w:t>40</w:t>
            </w:r>
          </w:p>
        </w:tc>
        <w:tc>
          <w:tcPr>
            <w:tcW w:type="dxa" w:w="510"/>
            <w:vAlign w:val="center"/>
          </w:tcPr>
          <w:p>
            <w:pPr>
              <w:jc w:val="center"/>
            </w:pPr>
            <w:r>
              <w:rPr>
                <w:rFonts w:ascii="Calibri" w:hAnsi="Calibri"/>
                <w:b w:val="0"/>
                <w:i w:val="0"/>
                <w:sz w:val="18"/>
              </w:rPr>
              <w:t>220</w:t>
            </w:r>
          </w:p>
        </w:tc>
        <w:tc>
          <w:tcPr>
            <w:tcW w:type="dxa" w:w="567"/>
            <w:vAlign w:val="center"/>
          </w:tcPr>
          <w:p>
            <w:pPr>
              <w:jc w:val="center"/>
            </w:pPr>
            <w:r>
              <w:rPr>
                <w:rFonts w:ascii="Calibri" w:hAnsi="Calibri"/>
                <w:b w:val="0"/>
                <w:i w:val="0"/>
                <w:sz w:val="18"/>
              </w:rPr>
              <w:t>280</w:t>
            </w:r>
          </w:p>
        </w:tc>
        <w:tc>
          <w:tcPr>
            <w:tcW w:type="dxa" w:w="567"/>
            <w:vAlign w:val="center"/>
          </w:tcPr>
          <w:p>
            <w:pPr>
              <w:jc w:val="center"/>
            </w:pPr>
            <w:r>
              <w:rPr>
                <w:rFonts w:ascii="Calibri" w:hAnsi="Calibri"/>
                <w:b w:val="0"/>
                <w:i w:val="0"/>
                <w:sz w:val="18"/>
              </w:rPr>
              <w:t>−10</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1</w:t>
            </w:r>
          </w:p>
        </w:tc>
        <w:tc>
          <w:tcPr>
            <w:tcW w:type="dxa" w:w="1134"/>
            <w:vAlign w:val="center"/>
          </w:tcPr>
          <w:p>
            <w:pPr>
              <w:jc w:val="center"/>
            </w:pPr>
            <w:r>
              <w:rPr>
                <w:rFonts w:ascii="Calibri" w:hAnsi="Calibri"/>
                <w:b w:val="0"/>
                <w:i w:val="0"/>
                <w:sz w:val="18"/>
              </w:rPr>
              <w:t>UCI + Venc.</w:t>
            </w:r>
          </w:p>
        </w:tc>
      </w:tr>
      <w:tr>
        <w:tc>
          <w:tcPr>
            <w:tcW w:type="dxa" w:w="482"/>
            <w:shd w:val="clear" w:color="auto" w:fill="EEF3FB"/>
            <w:vAlign w:val="center"/>
          </w:tcPr>
          <w:p>
            <w:pPr>
              <w:jc w:val="center"/>
            </w:pPr>
            <w:r>
              <w:rPr>
                <w:rFonts w:ascii="Calibri" w:hAnsi="Calibri"/>
                <w:b w:val="0"/>
                <w:i w:val="0"/>
                <w:sz w:val="18"/>
              </w:rPr>
              <w:t>C17</w:t>
            </w:r>
          </w:p>
        </w:tc>
        <w:tc>
          <w:tcPr>
            <w:tcW w:type="dxa" w:w="624"/>
            <w:shd w:val="clear" w:color="auto" w:fill="EEF3FB"/>
            <w:vAlign w:val="center"/>
          </w:tcPr>
          <w:p>
            <w:pPr>
              <w:jc w:val="center"/>
            </w:pPr>
            <w:r>
              <w:rPr>
                <w:rFonts w:ascii="Calibri" w:hAnsi="Calibri"/>
                <w:b w:val="0"/>
                <w:i w:val="0"/>
                <w:sz w:val="18"/>
              </w:rPr>
              <w:t>VASC</w:t>
            </w:r>
          </w:p>
        </w:tc>
        <w:tc>
          <w:tcPr>
            <w:tcW w:type="dxa" w:w="935"/>
            <w:shd w:val="clear" w:color="auto" w:fill="EEF3FB"/>
            <w:vAlign w:val="center"/>
          </w:tcPr>
          <w:p>
            <w:pPr>
              <w:jc w:val="center"/>
            </w:pPr>
            <w:r>
              <w:rPr>
                <w:rFonts w:ascii="Calibri" w:hAnsi="Calibri"/>
                <w:b w:val="0"/>
                <w:i w:val="0"/>
                <w:sz w:val="18"/>
              </w:rPr>
              <w:t>S_VASC1</w:t>
            </w:r>
          </w:p>
        </w:tc>
        <w:tc>
          <w:tcPr>
            <w:tcW w:type="dxa" w:w="425"/>
            <w:shd w:val="clear" w:color="auto" w:fill="EEF3FB"/>
            <w:vAlign w:val="center"/>
          </w:tcPr>
          <w:p>
            <w:pPr>
              <w:jc w:val="center"/>
            </w:pPr>
            <w:r>
              <w:rPr>
                <w:rFonts w:ascii="Calibri" w:hAnsi="Calibri"/>
                <w:b w:val="0"/>
                <w:i w:val="0"/>
                <w:sz w:val="18"/>
              </w:rPr>
              <w:t>P3</w:t>
            </w:r>
          </w:p>
        </w:tc>
        <w:tc>
          <w:tcPr>
            <w:tcW w:type="dxa" w:w="850"/>
            <w:shd w:val="clear" w:color="auto" w:fill="EEF3FB"/>
            <w:vAlign w:val="center"/>
          </w:tcPr>
          <w:p>
            <w:pPr>
              <w:jc w:val="center"/>
            </w:pPr>
            <w:r>
              <w:rPr>
                <w:rFonts w:ascii="Calibri" w:hAnsi="Calibri"/>
                <w:b w:val="0"/>
                <w:i w:val="0"/>
                <w:sz w:val="18"/>
              </w:rPr>
              <w:t>Ambul.</w:t>
            </w:r>
          </w:p>
        </w:tc>
        <w:tc>
          <w:tcPr>
            <w:tcW w:type="dxa" w:w="482"/>
            <w:shd w:val="clear" w:color="auto" w:fill="EEF3FB"/>
            <w:vAlign w:val="center"/>
          </w:tcPr>
          <w:p>
            <w:pPr>
              <w:jc w:val="center"/>
            </w:pPr>
            <w:r>
              <w:rPr>
                <w:rFonts w:ascii="Calibri" w:hAnsi="Calibri"/>
                <w:b w:val="0"/>
                <w:i w:val="0"/>
                <w:sz w:val="18"/>
              </w:rPr>
              <w:t>45</w:t>
            </w:r>
          </w:p>
        </w:tc>
        <w:tc>
          <w:tcPr>
            <w:tcW w:type="dxa" w:w="510"/>
            <w:shd w:val="clear" w:color="auto" w:fill="EEF3FB"/>
            <w:vAlign w:val="center"/>
          </w:tcPr>
          <w:p>
            <w:pPr>
              <w:jc w:val="center"/>
            </w:pPr>
            <w:r>
              <w:rPr>
                <w:rFonts w:ascii="Calibri" w:hAnsi="Calibri"/>
                <w:b w:val="0"/>
                <w:i w:val="0"/>
                <w:sz w:val="18"/>
              </w:rPr>
              <w:t>90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115</w:t>
            </w:r>
          </w:p>
        </w:tc>
        <w:tc>
          <w:tcPr>
            <w:tcW w:type="dxa" w:w="567"/>
            <w:shd w:val="clear" w:color="auto" w:fill="EEF3FB"/>
            <w:vAlign w:val="center"/>
          </w:tcPr>
          <w:p>
            <w:pPr>
              <w:jc w:val="center"/>
            </w:pPr>
            <w:r>
              <w:rPr>
                <w:rFonts w:ascii="Calibri" w:hAnsi="Calibri"/>
                <w:b w:val="0"/>
                <w:i w:val="0"/>
                <w:sz w:val="18"/>
              </w:rPr>
              <w:t>12</w:t>
            </w:r>
          </w:p>
        </w:tc>
        <w:tc>
          <w:tcPr>
            <w:tcW w:type="dxa" w:w="567"/>
            <w:shd w:val="clear" w:color="auto" w:fill="EEF3FB"/>
            <w:vAlign w:val="center"/>
          </w:tcPr>
          <w:p>
            <w:pPr>
              <w:jc w:val="center"/>
            </w:pPr>
            <w:r>
              <w:rPr>
                <w:rFonts w:ascii="Calibri" w:hAnsi="Calibri"/>
                <w:b w:val="0"/>
                <w:i w:val="0"/>
                <w:sz w:val="18"/>
              </w:rPr>
              <w:t>3</w:t>
            </w:r>
          </w:p>
        </w:tc>
        <w:tc>
          <w:tcPr>
            <w:tcW w:type="dxa" w:w="794"/>
            <w:shd w:val="clear" w:color="auto" w:fill="EEF3FB"/>
            <w:vAlign w:val="center"/>
          </w:tcPr>
          <w:p>
            <w:pPr>
              <w:jc w:val="center"/>
            </w:pPr>
            <w:r>
              <w:rPr>
                <w:rFonts w:ascii="Calibri" w:hAnsi="Calibri"/>
                <w:b w:val="0"/>
                <w:i w:val="0"/>
                <w:sz w:val="18"/>
              </w:rPr>
              <w:t>C-ARM</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r>
        <w:tc>
          <w:tcPr>
            <w:tcW w:type="dxa" w:w="482"/>
            <w:vAlign w:val="center"/>
          </w:tcPr>
          <w:p>
            <w:pPr>
              <w:jc w:val="center"/>
            </w:pPr>
            <w:r>
              <w:rPr>
                <w:rFonts w:ascii="Calibri" w:hAnsi="Calibri"/>
                <w:b w:val="0"/>
                <w:i w:val="0"/>
                <w:sz w:val="18"/>
              </w:rPr>
              <w:t>C18</w:t>
            </w:r>
          </w:p>
        </w:tc>
        <w:tc>
          <w:tcPr>
            <w:tcW w:type="dxa" w:w="624"/>
            <w:vAlign w:val="center"/>
          </w:tcPr>
          <w:p>
            <w:pPr>
              <w:jc w:val="center"/>
            </w:pPr>
            <w:r>
              <w:rPr>
                <w:rFonts w:ascii="Calibri" w:hAnsi="Calibri"/>
                <w:b w:val="0"/>
                <w:i w:val="0"/>
                <w:sz w:val="18"/>
              </w:rPr>
              <w:t>VASC</w:t>
            </w:r>
          </w:p>
        </w:tc>
        <w:tc>
          <w:tcPr>
            <w:tcW w:type="dxa" w:w="935"/>
            <w:vAlign w:val="center"/>
          </w:tcPr>
          <w:p>
            <w:pPr>
              <w:jc w:val="center"/>
            </w:pPr>
            <w:r>
              <w:rPr>
                <w:rFonts w:ascii="Calibri" w:hAnsi="Calibri"/>
                <w:b w:val="0"/>
                <w:i w:val="0"/>
                <w:sz w:val="18"/>
              </w:rPr>
              <w:t>S_VASC2</w:t>
            </w:r>
          </w:p>
        </w:tc>
        <w:tc>
          <w:tcPr>
            <w:tcW w:type="dxa" w:w="425"/>
            <w:vAlign w:val="center"/>
          </w:tcPr>
          <w:p>
            <w:pPr>
              <w:jc w:val="center"/>
            </w:pPr>
            <w:r>
              <w:rPr>
                <w:rFonts w:ascii="Calibri" w:hAnsi="Calibri"/>
                <w:b w:val="0"/>
                <w:i w:val="0"/>
                <w:sz w:val="18"/>
              </w:rPr>
              <w:t>P2</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50</w:t>
            </w:r>
          </w:p>
        </w:tc>
        <w:tc>
          <w:tcPr>
            <w:tcW w:type="dxa" w:w="510"/>
            <w:vAlign w:val="center"/>
          </w:tcPr>
          <w:p>
            <w:pPr>
              <w:jc w:val="center"/>
            </w:pPr>
            <w:r>
              <w:rPr>
                <w:rFonts w:ascii="Calibri" w:hAnsi="Calibri"/>
                <w:b w:val="0"/>
                <w:i w:val="0"/>
                <w:sz w:val="18"/>
              </w:rPr>
              <w:t>120</w:t>
            </w:r>
          </w:p>
        </w:tc>
        <w:tc>
          <w:tcPr>
            <w:tcW w:type="dxa" w:w="624"/>
            <w:vAlign w:val="center"/>
          </w:tcPr>
          <w:p>
            <w:pPr>
              <w:jc w:val="center"/>
            </w:pPr>
            <w:r>
              <w:rPr>
                <w:rFonts w:ascii="Calibri" w:hAnsi="Calibri"/>
                <w:b w:val="0"/>
                <w:i w:val="0"/>
                <w:sz w:val="18"/>
              </w:rPr>
              <w:t>25</w:t>
            </w:r>
          </w:p>
        </w:tc>
        <w:tc>
          <w:tcPr>
            <w:tcW w:type="dxa" w:w="510"/>
            <w:vAlign w:val="center"/>
          </w:tcPr>
          <w:p>
            <w:pPr>
              <w:jc w:val="center"/>
            </w:pPr>
            <w:r>
              <w:rPr>
                <w:rFonts w:ascii="Calibri" w:hAnsi="Calibri"/>
                <w:b w:val="0"/>
                <w:i w:val="0"/>
                <w:sz w:val="18"/>
              </w:rPr>
              <w:t>145</w:t>
            </w:r>
          </w:p>
        </w:tc>
        <w:tc>
          <w:tcPr>
            <w:tcW w:type="dxa" w:w="567"/>
            <w:vAlign w:val="center"/>
          </w:tcPr>
          <w:p>
            <w:pPr>
              <w:jc w:val="center"/>
            </w:pPr>
            <w:r>
              <w:rPr>
                <w:rFonts w:ascii="Calibri" w:hAnsi="Calibri"/>
                <w:b w:val="0"/>
                <w:i w:val="0"/>
                <w:sz w:val="18"/>
              </w:rPr>
              <w:t>55</w:t>
            </w:r>
          </w:p>
        </w:tc>
        <w:tc>
          <w:tcPr>
            <w:tcW w:type="dxa" w:w="567"/>
            <w:vAlign w:val="center"/>
          </w:tcPr>
          <w:p>
            <w:pPr>
              <w:jc w:val="center"/>
            </w:pPr>
            <w:r>
              <w:rPr>
                <w:rFonts w:ascii="Calibri" w:hAnsi="Calibri"/>
                <w:b w:val="0"/>
                <w:i w:val="0"/>
                <w:sz w:val="18"/>
              </w:rPr>
              <w:t>5</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r>
        <w:tc>
          <w:tcPr>
            <w:tcW w:type="dxa" w:w="482"/>
            <w:shd w:val="clear" w:color="auto" w:fill="EEF3FB"/>
            <w:vAlign w:val="center"/>
          </w:tcPr>
          <w:p>
            <w:pPr>
              <w:jc w:val="center"/>
            </w:pPr>
            <w:r>
              <w:rPr>
                <w:rFonts w:ascii="Calibri" w:hAnsi="Calibri"/>
                <w:b w:val="0"/>
                <w:i w:val="0"/>
                <w:sz w:val="18"/>
              </w:rPr>
              <w:t>C19</w:t>
            </w:r>
          </w:p>
        </w:tc>
        <w:tc>
          <w:tcPr>
            <w:tcW w:type="dxa" w:w="624"/>
            <w:shd w:val="clear" w:color="auto" w:fill="EEF3FB"/>
            <w:vAlign w:val="center"/>
          </w:tcPr>
          <w:p>
            <w:pPr>
              <w:jc w:val="center"/>
            </w:pPr>
            <w:r>
              <w:rPr>
                <w:rFonts w:ascii="Calibri" w:hAnsi="Calibri"/>
                <w:b w:val="0"/>
                <w:i w:val="0"/>
                <w:sz w:val="18"/>
              </w:rPr>
              <w:t>VASC</w:t>
            </w:r>
          </w:p>
        </w:tc>
        <w:tc>
          <w:tcPr>
            <w:tcW w:type="dxa" w:w="935"/>
            <w:shd w:val="clear" w:color="auto" w:fill="EEF3FB"/>
            <w:vAlign w:val="center"/>
          </w:tcPr>
          <w:p>
            <w:pPr>
              <w:jc w:val="center"/>
            </w:pPr>
            <w:r>
              <w:rPr>
                <w:rFonts w:ascii="Calibri" w:hAnsi="Calibri"/>
                <w:b w:val="0"/>
                <w:i w:val="0"/>
                <w:sz w:val="18"/>
              </w:rPr>
              <w:t>S_VASC3</w:t>
            </w:r>
          </w:p>
        </w:tc>
        <w:tc>
          <w:tcPr>
            <w:tcW w:type="dxa" w:w="425"/>
            <w:shd w:val="clear" w:color="auto" w:fill="EEF3FB"/>
            <w:vAlign w:val="center"/>
          </w:tcPr>
          <w:p>
            <w:pPr>
              <w:jc w:val="center"/>
            </w:pPr>
            <w:r>
              <w:rPr>
                <w:rFonts w:ascii="Calibri" w:hAnsi="Calibri"/>
                <w:b w:val="0"/>
                <w:i w:val="0"/>
                <w:sz w:val="18"/>
              </w:rPr>
              <w:t>P4</w:t>
            </w:r>
          </w:p>
        </w:tc>
        <w:tc>
          <w:tcPr>
            <w:tcW w:type="dxa" w:w="850"/>
            <w:shd w:val="clear" w:color="auto" w:fill="EEF3FB"/>
            <w:vAlign w:val="center"/>
          </w:tcPr>
          <w:p>
            <w:pPr>
              <w:jc w:val="center"/>
            </w:pPr>
            <w:r>
              <w:rPr>
                <w:rFonts w:ascii="Calibri" w:hAnsi="Calibri"/>
                <w:b w:val="0"/>
                <w:i w:val="0"/>
                <w:sz w:val="18"/>
              </w:rPr>
              <w:t>Intern.</w:t>
            </w:r>
          </w:p>
        </w:tc>
        <w:tc>
          <w:tcPr>
            <w:tcW w:type="dxa" w:w="482"/>
            <w:shd w:val="clear" w:color="auto" w:fill="EEF3FB"/>
            <w:vAlign w:val="center"/>
          </w:tcPr>
          <w:p>
            <w:pPr>
              <w:jc w:val="center"/>
            </w:pPr>
            <w:r>
              <w:rPr>
                <w:rFonts w:ascii="Calibri" w:hAnsi="Calibri"/>
                <w:b w:val="0"/>
                <w:i w:val="0"/>
                <w:sz w:val="18"/>
              </w:rPr>
              <w:t>38</w:t>
            </w:r>
          </w:p>
        </w:tc>
        <w:tc>
          <w:tcPr>
            <w:tcW w:type="dxa" w:w="510"/>
            <w:shd w:val="clear" w:color="auto" w:fill="EEF3FB"/>
            <w:vAlign w:val="center"/>
          </w:tcPr>
          <w:p>
            <w:pPr>
              <w:jc w:val="center"/>
            </w:pPr>
            <w:r>
              <w:rPr>
                <w:rFonts w:ascii="Calibri" w:hAnsi="Calibri"/>
                <w:b w:val="0"/>
                <w:i w:val="0"/>
                <w:sz w:val="18"/>
              </w:rPr>
              <w:t>120</w:t>
            </w:r>
          </w:p>
        </w:tc>
        <w:tc>
          <w:tcPr>
            <w:tcW w:type="dxa" w:w="624"/>
            <w:shd w:val="clear" w:color="auto" w:fill="EEF3FB"/>
            <w:vAlign w:val="center"/>
          </w:tcPr>
          <w:p>
            <w:pPr>
              <w:jc w:val="center"/>
            </w:pPr>
            <w:r>
              <w:rPr>
                <w:rFonts w:ascii="Calibri" w:hAnsi="Calibri"/>
                <w:b w:val="0"/>
                <w:i w:val="0"/>
                <w:sz w:val="18"/>
              </w:rPr>
              <w:t>25</w:t>
            </w:r>
          </w:p>
        </w:tc>
        <w:tc>
          <w:tcPr>
            <w:tcW w:type="dxa" w:w="510"/>
            <w:shd w:val="clear" w:color="auto" w:fill="EEF3FB"/>
            <w:vAlign w:val="center"/>
          </w:tcPr>
          <w:p>
            <w:pPr>
              <w:jc w:val="center"/>
            </w:pPr>
            <w:r>
              <w:rPr>
                <w:rFonts w:ascii="Calibri" w:hAnsi="Calibri"/>
                <w:b w:val="0"/>
                <w:i w:val="0"/>
                <w:sz w:val="18"/>
              </w:rPr>
              <w:t>145</w:t>
            </w:r>
          </w:p>
        </w:tc>
        <w:tc>
          <w:tcPr>
            <w:tcW w:type="dxa" w:w="567"/>
            <w:shd w:val="clear" w:color="auto" w:fill="EEF3FB"/>
            <w:vAlign w:val="center"/>
          </w:tcPr>
          <w:p>
            <w:pPr>
              <w:jc w:val="center"/>
            </w:pPr>
            <w:r>
              <w:rPr>
                <w:rFonts w:ascii="Calibri" w:hAnsi="Calibri"/>
                <w:b w:val="0"/>
                <w:i w:val="0"/>
                <w:sz w:val="18"/>
              </w:rPr>
              <w:t>3</w:t>
            </w:r>
          </w:p>
        </w:tc>
        <w:tc>
          <w:tcPr>
            <w:tcW w:type="dxa" w:w="567"/>
            <w:shd w:val="clear" w:color="auto" w:fill="EEF3FB"/>
            <w:vAlign w:val="center"/>
          </w:tcPr>
          <w:p>
            <w:pPr>
              <w:jc w:val="center"/>
            </w:pPr>
            <w:r>
              <w:rPr>
                <w:rFonts w:ascii="Calibri" w:hAnsi="Calibri"/>
                <w:b w:val="0"/>
                <w:i w:val="0"/>
                <w:sz w:val="18"/>
              </w:rPr>
              <w:t>0</w:t>
            </w:r>
          </w:p>
        </w:tc>
        <w:tc>
          <w:tcPr>
            <w:tcW w:type="dxa" w:w="794"/>
            <w:shd w:val="clear" w:color="auto" w:fill="EEF3FB"/>
            <w:vAlign w:val="center"/>
          </w:tcPr>
          <w:p>
            <w:pPr>
              <w:jc w:val="center"/>
            </w:pPr>
            <w:r>
              <w:rPr>
                <w:rFonts w:ascii="Calibri" w:hAnsi="Calibri"/>
                <w:b w:val="0"/>
                <w:i w:val="0"/>
                <w:sz w:val="18"/>
              </w:rPr>
              <w:t>C-ARM</w:t>
            </w:r>
          </w:p>
        </w:tc>
        <w:tc>
          <w:tcPr>
            <w:tcW w:type="dxa" w:w="510"/>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Add-on D1</w:t>
            </w:r>
          </w:p>
        </w:tc>
      </w:tr>
      <w:tr>
        <w:tc>
          <w:tcPr>
            <w:tcW w:type="dxa" w:w="482"/>
            <w:vAlign w:val="center"/>
          </w:tcPr>
          <w:p>
            <w:pPr>
              <w:jc w:val="center"/>
            </w:pPr>
            <w:r>
              <w:rPr>
                <w:rFonts w:ascii="Calibri" w:hAnsi="Calibri"/>
                <w:b w:val="0"/>
                <w:i w:val="0"/>
                <w:sz w:val="18"/>
              </w:rPr>
              <w:t>C20</w:t>
            </w:r>
          </w:p>
        </w:tc>
        <w:tc>
          <w:tcPr>
            <w:tcW w:type="dxa" w:w="624"/>
            <w:vAlign w:val="center"/>
          </w:tcPr>
          <w:p>
            <w:pPr>
              <w:jc w:val="center"/>
            </w:pPr>
            <w:r>
              <w:rPr>
                <w:rFonts w:ascii="Calibri" w:hAnsi="Calibri"/>
                <w:b w:val="0"/>
                <w:i w:val="0"/>
                <w:sz w:val="18"/>
              </w:rPr>
              <w:t>VASC</w:t>
            </w:r>
          </w:p>
        </w:tc>
        <w:tc>
          <w:tcPr>
            <w:tcW w:type="dxa" w:w="935"/>
            <w:vAlign w:val="center"/>
          </w:tcPr>
          <w:p>
            <w:pPr>
              <w:jc w:val="center"/>
            </w:pPr>
            <w:r>
              <w:rPr>
                <w:rFonts w:ascii="Calibri" w:hAnsi="Calibri"/>
                <w:b w:val="0"/>
                <w:i w:val="0"/>
                <w:sz w:val="18"/>
              </w:rPr>
              <w:t>S_VASC1</w:t>
            </w:r>
          </w:p>
        </w:tc>
        <w:tc>
          <w:tcPr>
            <w:tcW w:type="dxa" w:w="425"/>
            <w:vAlign w:val="center"/>
          </w:tcPr>
          <w:p>
            <w:pPr>
              <w:jc w:val="center"/>
            </w:pPr>
            <w:r>
              <w:rPr>
                <w:rFonts w:ascii="Calibri" w:hAnsi="Calibri"/>
                <w:b w:val="0"/>
                <w:i w:val="0"/>
                <w:sz w:val="18"/>
              </w:rPr>
              <w:t>P1</w:t>
            </w:r>
          </w:p>
        </w:tc>
        <w:tc>
          <w:tcPr>
            <w:tcW w:type="dxa" w:w="850"/>
            <w:vAlign w:val="center"/>
          </w:tcPr>
          <w:p>
            <w:pPr>
              <w:jc w:val="center"/>
            </w:pPr>
            <w:r>
              <w:rPr>
                <w:rFonts w:ascii="Calibri" w:hAnsi="Calibri"/>
                <w:b w:val="0"/>
                <w:i w:val="0"/>
                <w:sz w:val="18"/>
              </w:rPr>
              <w:t>Intern.</w:t>
            </w:r>
          </w:p>
        </w:tc>
        <w:tc>
          <w:tcPr>
            <w:tcW w:type="dxa" w:w="482"/>
            <w:vAlign w:val="center"/>
          </w:tcPr>
          <w:p>
            <w:pPr>
              <w:jc w:val="center"/>
            </w:pPr>
            <w:r>
              <w:rPr>
                <w:rFonts w:ascii="Calibri" w:hAnsi="Calibri"/>
                <w:b w:val="0"/>
                <w:i w:val="0"/>
                <w:sz w:val="18"/>
              </w:rPr>
              <w:t>55</w:t>
            </w:r>
          </w:p>
        </w:tc>
        <w:tc>
          <w:tcPr>
            <w:tcW w:type="dxa" w:w="510"/>
            <w:vAlign w:val="center"/>
          </w:tcPr>
          <w:p>
            <w:pPr>
              <w:jc w:val="center"/>
            </w:pPr>
            <w:r>
              <w:rPr>
                <w:rFonts w:ascii="Calibri" w:hAnsi="Calibri"/>
                <w:b w:val="0"/>
                <w:i w:val="0"/>
                <w:sz w:val="18"/>
              </w:rPr>
              <w:t>240</w:t>
            </w:r>
          </w:p>
        </w:tc>
        <w:tc>
          <w:tcPr>
            <w:tcW w:type="dxa" w:w="624"/>
            <w:vAlign w:val="center"/>
          </w:tcPr>
          <w:p>
            <w:pPr>
              <w:jc w:val="center"/>
            </w:pPr>
            <w:r>
              <w:rPr>
                <w:rFonts w:ascii="Calibri" w:hAnsi="Calibri"/>
                <w:b w:val="0"/>
                <w:i w:val="0"/>
                <w:sz w:val="18"/>
              </w:rPr>
              <w:t>40</w:t>
            </w:r>
          </w:p>
        </w:tc>
        <w:tc>
          <w:tcPr>
            <w:tcW w:type="dxa" w:w="510"/>
            <w:vAlign w:val="center"/>
          </w:tcPr>
          <w:p>
            <w:pPr>
              <w:jc w:val="center"/>
            </w:pPr>
            <w:r>
              <w:rPr>
                <w:rFonts w:ascii="Calibri" w:hAnsi="Calibri"/>
                <w:b w:val="0"/>
                <w:i w:val="0"/>
                <w:sz w:val="18"/>
              </w:rPr>
              <w:t>280</w:t>
            </w:r>
          </w:p>
        </w:tc>
        <w:tc>
          <w:tcPr>
            <w:tcW w:type="dxa" w:w="567"/>
            <w:vAlign w:val="center"/>
          </w:tcPr>
          <w:p>
            <w:pPr>
              <w:jc w:val="center"/>
            </w:pPr>
            <w:r>
              <w:rPr>
                <w:rFonts w:ascii="Calibri" w:hAnsi="Calibri"/>
                <w:b w:val="0"/>
                <w:i w:val="0"/>
                <w:sz w:val="18"/>
              </w:rPr>
              <w:t>255</w:t>
            </w:r>
          </w:p>
        </w:tc>
        <w:tc>
          <w:tcPr>
            <w:tcW w:type="dxa" w:w="567"/>
            <w:vAlign w:val="center"/>
          </w:tcPr>
          <w:p>
            <w:pPr>
              <w:jc w:val="center"/>
            </w:pPr>
            <w:r>
              <w:rPr>
                <w:rFonts w:ascii="Calibri" w:hAnsi="Calibri"/>
                <w:b w:val="0"/>
                <w:i w:val="0"/>
                <w:sz w:val="18"/>
              </w:rPr>
              <w:t>15</w:t>
            </w:r>
          </w:p>
        </w:tc>
        <w:tc>
          <w:tcPr>
            <w:tcW w:type="dxa" w:w="794"/>
            <w:vAlign w:val="center"/>
          </w:tcPr>
          <w:p>
            <w:pPr>
              <w:jc w:val="center"/>
            </w:pPr>
            <w:r>
              <w:rPr>
                <w:rFonts w:ascii="Calibri" w:hAnsi="Calibri"/>
                <w:b w:val="0"/>
                <w:i w:val="0"/>
                <w:sz w:val="18"/>
              </w:rPr>
              <w:t>—</w:t>
            </w:r>
          </w:p>
        </w:tc>
        <w:tc>
          <w:tcPr>
            <w:tcW w:type="dxa" w:w="510"/>
            <w:vAlign w:val="center"/>
          </w:tcPr>
          <w:p>
            <w:pPr>
              <w:jc w:val="center"/>
            </w:pPr>
            <w:r>
              <w:rPr>
                <w:rFonts w:ascii="Calibri" w:hAnsi="Calibri"/>
                <w:b w:val="0"/>
                <w:i w:val="0"/>
                <w:sz w:val="18"/>
              </w:rPr>
              <w:t>—</w:t>
            </w:r>
          </w:p>
        </w:tc>
        <w:tc>
          <w:tcPr>
            <w:tcW w:type="dxa" w:w="1134"/>
            <w:vAlign w:val="center"/>
          </w:tcPr>
          <w:p>
            <w:pPr>
              <w:jc w:val="center"/>
            </w:pPr>
            <w:r>
              <w:rPr>
                <w:rFonts w:ascii="Calibri" w:hAnsi="Calibri"/>
                <w:b w:val="0"/>
                <w:i w:val="0"/>
                <w:sz w:val="18"/>
              </w:rPr>
              <w:t>—</w:t>
            </w:r>
          </w:p>
        </w:tc>
      </w:tr>
    </w:tbl>
    <w:p>
      <w:pPr>
        <w:spacing w:after="40"/>
      </w:pPr>
    </w:p>
    <w:p>
      <w:pPr>
        <w:spacing w:before="0" w:after="120"/>
        <w:ind w:left="283"/>
        <w:jc w:val="both"/>
      </w:pPr>
      <w:r>
        <w:rPr>
          <w:rFonts w:ascii="Calibri" w:hAnsi="Calibri"/>
          <w:b w:val="0"/>
          <w:i/>
          <w:color w:val="595959"/>
          <w:sz w:val="18"/>
        </w:rPr>
        <w:t>Nota: t_clean por escalões: 15 min se t_cir≤60; 25 min se 60&lt;t_cir≤150; 40 min se t_cir&gt;150. dd_c = wl_max(prio) − dias_espera (negativo = já vencido). Add-on D1 = P4, bloqueado à 2.ª feira pela restrição C2. Doentes P4 são distribuídos por round-robin pelos cirurgiões do serviço para evitar colisões no Dia 1.</w:t>
      </w:r>
    </w:p>
    <w:p>
      <w:pPr>
        <w:spacing w:before="200" w:after="80"/>
      </w:pPr>
      <w:r>
        <w:rPr>
          <w:rFonts w:ascii="Calibri" w:hAnsi="Calibri"/>
          <w:b/>
          <w:i w:val="0"/>
          <w:color w:val="1F497D"/>
          <w:sz w:val="26"/>
        </w:rPr>
        <w:t>3.2  Instância Média — ~200 casos, 12 salas, 17 cirurgiões</w:t>
      </w:r>
    </w:p>
    <w:p>
      <w:pPr>
        <w:spacing w:after="120" w:before="0" w:lineRule="auto" w:line="276"/>
        <w:jc w:val="both"/>
      </w:pPr>
      <w:r>
        <w:rPr>
          <w:rFonts w:ascii="Calibri" w:hAnsi="Calibri"/>
          <w:b w:val="0"/>
          <w:i w:val="0"/>
          <w:sz w:val="22"/>
        </w:rPr>
        <w:t>Gerada aleatoriamente com seed=7 (reprodutível). Simula uma semana de cirurgia eletiva num hospital de grande dimensão com 5 serviços. Inclui gargalo de equipamento partilhado (C-arm, usado por VASC e NEURO) e pool de camas UCI (6/dia).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17"/>
            <w:shd w:val="clear" w:color="auto" w:fill="1F497D"/>
            <w:vAlign w:val="center"/>
          </w:tcPr>
          <w:p>
            <w:pPr>
              <w:jc w:val="center"/>
            </w:pPr>
            <w:r>
              <w:rPr>
                <w:rFonts w:ascii="Calibri" w:hAnsi="Calibri"/>
                <w:b/>
                <w:i w:val="0"/>
                <w:color w:val="FFFFFF"/>
                <w:sz w:val="18"/>
              </w:rPr>
              <w:t>Serviço</w:t>
            </w:r>
          </w:p>
        </w:tc>
        <w:tc>
          <w:tcPr>
            <w:tcW w:type="dxa" w:w="1417"/>
            <w:shd w:val="clear" w:color="auto" w:fill="1F497D"/>
            <w:vAlign w:val="center"/>
          </w:tcPr>
          <w:p>
            <w:pPr>
              <w:jc w:val="center"/>
            </w:pPr>
            <w:r>
              <w:rPr>
                <w:rFonts w:ascii="Calibri" w:hAnsi="Calibri"/>
                <w:b/>
                <w:i w:val="0"/>
                <w:color w:val="FFFFFF"/>
                <w:sz w:val="18"/>
              </w:rPr>
              <w:t>t_cir (min)</w:t>
            </w:r>
          </w:p>
        </w:tc>
        <w:tc>
          <w:tcPr>
            <w:tcW w:type="dxa" w:w="850"/>
            <w:shd w:val="clear" w:color="auto" w:fill="1F497D"/>
            <w:vAlign w:val="center"/>
          </w:tcPr>
          <w:p>
            <w:pPr>
              <w:jc w:val="center"/>
            </w:pPr>
            <w:r>
              <w:rPr>
                <w:rFonts w:ascii="Calibri" w:hAnsi="Calibri"/>
                <w:b/>
                <w:i w:val="0"/>
                <w:color w:val="FFFFFF"/>
                <w:sz w:val="18"/>
              </w:rPr>
              <w:t>Nº salas</w:t>
            </w:r>
          </w:p>
        </w:tc>
        <w:tc>
          <w:tcPr>
            <w:tcW w:type="dxa" w:w="1417"/>
            <w:shd w:val="clear" w:color="auto" w:fill="1F497D"/>
            <w:vAlign w:val="center"/>
          </w:tcPr>
          <w:p>
            <w:pPr>
              <w:jc w:val="center"/>
            </w:pPr>
            <w:r>
              <w:rPr>
                <w:rFonts w:ascii="Calibri" w:hAnsi="Calibri"/>
                <w:b/>
                <w:i w:val="0"/>
                <w:color w:val="FFFFFF"/>
                <w:sz w:val="18"/>
              </w:rPr>
              <w:t>Cap. sala</w:t>
              <w:br/>
              <w:t>(min/dia)</w:t>
            </w:r>
          </w:p>
        </w:tc>
        <w:tc>
          <w:tcPr>
            <w:tcW w:type="dxa" w:w="1417"/>
            <w:shd w:val="clear" w:color="auto" w:fill="1F497D"/>
            <w:vAlign w:val="center"/>
          </w:tcPr>
          <w:p>
            <w:pPr>
              <w:jc w:val="center"/>
            </w:pPr>
            <w:r>
              <w:rPr>
                <w:rFonts w:ascii="Calibri" w:hAnsi="Calibri"/>
                <w:b/>
                <w:i w:val="0"/>
                <w:color w:val="FFFFFF"/>
                <w:sz w:val="18"/>
              </w:rPr>
              <w:t>Nº cirurgiões</w:t>
            </w:r>
          </w:p>
        </w:tc>
        <w:tc>
          <w:tcPr>
            <w:tcW w:type="dxa" w:w="2268"/>
            <w:shd w:val="clear" w:color="auto" w:fill="1F497D"/>
            <w:vAlign w:val="center"/>
          </w:tcPr>
          <w:p>
            <w:pPr>
              <w:jc w:val="center"/>
            </w:pPr>
            <w:r>
              <w:rPr>
                <w:rFonts w:ascii="Calibri" w:hAnsi="Calibri"/>
                <w:b/>
                <w:i w:val="0"/>
                <w:color w:val="FFFFFF"/>
                <w:sz w:val="18"/>
              </w:rPr>
              <w:t>Equip. partilhado</w:t>
            </w:r>
          </w:p>
        </w:tc>
      </w:tr>
      <w:tr>
        <w:tc>
          <w:tcPr>
            <w:tcW w:type="dxa" w:w="1417"/>
            <w:shd w:val="clear" w:color="auto" w:fill="EEF3FB"/>
            <w:vAlign w:val="center"/>
          </w:tcPr>
          <w:p>
            <w:pPr>
              <w:jc w:val="center"/>
            </w:pPr>
            <w:r>
              <w:rPr>
                <w:rFonts w:ascii="Calibri" w:hAnsi="Calibri"/>
                <w:b w:val="0"/>
                <w:i w:val="0"/>
                <w:sz w:val="18"/>
              </w:rPr>
              <w:t>ORL (ENT)</w:t>
            </w:r>
          </w:p>
        </w:tc>
        <w:tc>
          <w:tcPr>
            <w:tcW w:type="dxa" w:w="1417"/>
            <w:shd w:val="clear" w:color="auto" w:fill="EEF3FB"/>
            <w:vAlign w:val="center"/>
          </w:tcPr>
          <w:p>
            <w:pPr>
              <w:jc w:val="center"/>
            </w:pPr>
            <w:r>
              <w:rPr>
                <w:rFonts w:ascii="Calibri" w:hAnsi="Calibri"/>
                <w:b w:val="0"/>
                <w:i w:val="0"/>
                <w:sz w:val="18"/>
              </w:rPr>
              <w:t>45–120</w:t>
            </w:r>
          </w:p>
        </w:tc>
        <w:tc>
          <w:tcPr>
            <w:tcW w:type="dxa" w:w="850"/>
            <w:shd w:val="clear" w:color="auto" w:fill="EEF3FB"/>
            <w:vAlign w:val="center"/>
          </w:tcPr>
          <w:p>
            <w:pPr>
              <w:jc w:val="center"/>
            </w:pPr>
            <w:r>
              <w:rPr>
                <w:rFonts w:ascii="Calibri" w:hAnsi="Calibri"/>
                <w:b w:val="0"/>
                <w:i w:val="0"/>
                <w:sz w:val="18"/>
              </w:rPr>
              <w:t>2</w:t>
            </w:r>
          </w:p>
        </w:tc>
        <w:tc>
          <w:tcPr>
            <w:tcW w:type="dxa" w:w="1417"/>
            <w:shd w:val="clear" w:color="auto" w:fill="EEF3FB"/>
            <w:vAlign w:val="center"/>
          </w:tcPr>
          <w:p>
            <w:pPr>
              <w:jc w:val="center"/>
            </w:pPr>
            <w:r>
              <w:rPr>
                <w:rFonts w:ascii="Calibri" w:hAnsi="Calibri"/>
                <w:b w:val="0"/>
                <w:i w:val="0"/>
                <w:sz w:val="18"/>
              </w:rPr>
              <w:t>360</w:t>
            </w:r>
          </w:p>
        </w:tc>
        <w:tc>
          <w:tcPr>
            <w:tcW w:type="dxa" w:w="1417"/>
            <w:shd w:val="clear" w:color="auto" w:fill="EEF3FB"/>
            <w:vAlign w:val="center"/>
          </w:tcPr>
          <w:p>
            <w:pPr>
              <w:jc w:val="center"/>
            </w:pPr>
            <w:r>
              <w:rPr>
                <w:rFonts w:ascii="Calibri" w:hAnsi="Calibri"/>
                <w:b w:val="0"/>
                <w:i w:val="0"/>
                <w:sz w:val="18"/>
              </w:rPr>
              <w:t>3</w:t>
            </w:r>
          </w:p>
        </w:tc>
        <w:tc>
          <w:tcPr>
            <w:tcW w:type="dxa" w:w="2268"/>
            <w:shd w:val="clear" w:color="auto" w:fill="EEF3FB"/>
            <w:vAlign w:val="center"/>
          </w:tcPr>
          <w:p>
            <w:pPr>
              <w:jc w:val="center"/>
            </w:pPr>
            <w:r>
              <w:rPr>
                <w:rFonts w:ascii="Calibri" w:hAnsi="Calibri"/>
                <w:b w:val="0"/>
                <w:i w:val="0"/>
                <w:sz w:val="18"/>
              </w:rPr>
              <w:t>—</w:t>
            </w:r>
          </w:p>
        </w:tc>
      </w:tr>
      <w:tr>
        <w:tc>
          <w:tcPr>
            <w:tcW w:type="dxa" w:w="1417"/>
            <w:vAlign w:val="center"/>
          </w:tcPr>
          <w:p>
            <w:pPr>
              <w:jc w:val="center"/>
            </w:pPr>
            <w:r>
              <w:rPr>
                <w:rFonts w:ascii="Calibri" w:hAnsi="Calibri"/>
                <w:b w:val="0"/>
                <w:i w:val="0"/>
                <w:sz w:val="18"/>
              </w:rPr>
              <w:t>ORTHO</w:t>
            </w:r>
          </w:p>
        </w:tc>
        <w:tc>
          <w:tcPr>
            <w:tcW w:type="dxa" w:w="1417"/>
            <w:vAlign w:val="center"/>
          </w:tcPr>
          <w:p>
            <w:pPr>
              <w:jc w:val="center"/>
            </w:pPr>
            <w:r>
              <w:rPr>
                <w:rFonts w:ascii="Calibri" w:hAnsi="Calibri"/>
                <w:b w:val="0"/>
                <w:i w:val="0"/>
                <w:sz w:val="18"/>
              </w:rPr>
              <w:t>90–240</w:t>
            </w:r>
          </w:p>
        </w:tc>
        <w:tc>
          <w:tcPr>
            <w:tcW w:type="dxa" w:w="850"/>
            <w:vAlign w:val="center"/>
          </w:tcPr>
          <w:p>
            <w:pPr>
              <w:jc w:val="center"/>
            </w:pPr>
            <w:r>
              <w:rPr>
                <w:rFonts w:ascii="Calibri" w:hAnsi="Calibri"/>
                <w:b w:val="0"/>
                <w:i w:val="0"/>
                <w:sz w:val="18"/>
              </w:rPr>
              <w:t>3</w:t>
            </w:r>
          </w:p>
        </w:tc>
        <w:tc>
          <w:tcPr>
            <w:tcW w:type="dxa" w:w="1417"/>
            <w:vAlign w:val="center"/>
          </w:tcPr>
          <w:p>
            <w:pPr>
              <w:jc w:val="center"/>
            </w:pPr>
            <w:r>
              <w:rPr>
                <w:rFonts w:ascii="Calibri" w:hAnsi="Calibri"/>
                <w:b w:val="0"/>
                <w:i w:val="0"/>
                <w:sz w:val="18"/>
              </w:rPr>
              <w:t>480</w:t>
            </w:r>
          </w:p>
        </w:tc>
        <w:tc>
          <w:tcPr>
            <w:tcW w:type="dxa" w:w="1417"/>
            <w:vAlign w:val="center"/>
          </w:tcPr>
          <w:p>
            <w:pPr>
              <w:jc w:val="center"/>
            </w:pPr>
            <w:r>
              <w:rPr>
                <w:rFonts w:ascii="Calibri" w:hAnsi="Calibri"/>
                <w:b w:val="0"/>
                <w:i w:val="0"/>
                <w:sz w:val="18"/>
              </w:rPr>
              <w:t>4</w:t>
            </w:r>
          </w:p>
        </w:tc>
        <w:tc>
          <w:tcPr>
            <w:tcW w:type="dxa" w:w="2268"/>
            <w:vAlign w:val="center"/>
          </w:tcPr>
          <w:p>
            <w:pPr>
              <w:jc w:val="center"/>
            </w:pPr>
            <w:r>
              <w:rPr>
                <w:rFonts w:ascii="Calibri" w:hAnsi="Calibri"/>
                <w:b w:val="0"/>
                <w:i w:val="0"/>
                <w:sz w:val="18"/>
              </w:rPr>
              <w:t>—</w:t>
            </w:r>
          </w:p>
        </w:tc>
      </w:tr>
      <w:tr>
        <w:tc>
          <w:tcPr>
            <w:tcW w:type="dxa" w:w="1417"/>
            <w:shd w:val="clear" w:color="auto" w:fill="EEF3FB"/>
            <w:vAlign w:val="center"/>
          </w:tcPr>
          <w:p>
            <w:pPr>
              <w:jc w:val="center"/>
            </w:pPr>
            <w:r>
              <w:rPr>
                <w:rFonts w:ascii="Calibri" w:hAnsi="Calibri"/>
                <w:b w:val="0"/>
                <w:i w:val="0"/>
                <w:sz w:val="18"/>
              </w:rPr>
              <w:t>VASC</w:t>
            </w:r>
          </w:p>
        </w:tc>
        <w:tc>
          <w:tcPr>
            <w:tcW w:type="dxa" w:w="1417"/>
            <w:shd w:val="clear" w:color="auto" w:fill="EEF3FB"/>
            <w:vAlign w:val="center"/>
          </w:tcPr>
          <w:p>
            <w:pPr>
              <w:jc w:val="center"/>
            </w:pPr>
            <w:r>
              <w:rPr>
                <w:rFonts w:ascii="Calibri" w:hAnsi="Calibri"/>
                <w:b w:val="0"/>
                <w:i w:val="0"/>
                <w:sz w:val="18"/>
              </w:rPr>
              <w:t>90–270</w:t>
            </w:r>
          </w:p>
        </w:tc>
        <w:tc>
          <w:tcPr>
            <w:tcW w:type="dxa" w:w="850"/>
            <w:shd w:val="clear" w:color="auto" w:fill="EEF3FB"/>
            <w:vAlign w:val="center"/>
          </w:tcPr>
          <w:p>
            <w:pPr>
              <w:jc w:val="center"/>
            </w:pPr>
            <w:r>
              <w:rPr>
                <w:rFonts w:ascii="Calibri" w:hAnsi="Calibri"/>
                <w:b w:val="0"/>
                <w:i w:val="0"/>
                <w:sz w:val="18"/>
              </w:rPr>
              <w:t>2</w:t>
            </w:r>
          </w:p>
        </w:tc>
        <w:tc>
          <w:tcPr>
            <w:tcW w:type="dxa" w:w="1417"/>
            <w:shd w:val="clear" w:color="auto" w:fill="EEF3FB"/>
            <w:vAlign w:val="center"/>
          </w:tcPr>
          <w:p>
            <w:pPr>
              <w:jc w:val="center"/>
            </w:pPr>
            <w:r>
              <w:rPr>
                <w:rFonts w:ascii="Calibri" w:hAnsi="Calibri"/>
                <w:b w:val="0"/>
                <w:i w:val="0"/>
                <w:sz w:val="18"/>
              </w:rPr>
              <w:t>660</w:t>
            </w:r>
          </w:p>
        </w:tc>
        <w:tc>
          <w:tcPr>
            <w:tcW w:type="dxa" w:w="1417"/>
            <w:shd w:val="clear" w:color="auto" w:fill="EEF3FB"/>
            <w:vAlign w:val="center"/>
          </w:tcPr>
          <w:p>
            <w:pPr>
              <w:jc w:val="center"/>
            </w:pPr>
            <w:r>
              <w:rPr>
                <w:rFonts w:ascii="Calibri" w:hAnsi="Calibri"/>
                <w:b w:val="0"/>
                <w:i w:val="0"/>
                <w:sz w:val="18"/>
              </w:rPr>
              <w:t>3</w:t>
            </w:r>
          </w:p>
        </w:tc>
        <w:tc>
          <w:tcPr>
            <w:tcW w:type="dxa" w:w="2268"/>
            <w:shd w:val="clear" w:color="auto" w:fill="EEF3FB"/>
            <w:vAlign w:val="center"/>
          </w:tcPr>
          <w:p>
            <w:pPr>
              <w:jc w:val="center"/>
            </w:pPr>
            <w:r>
              <w:rPr>
                <w:rFonts w:ascii="Calibri" w:hAnsi="Calibri"/>
                <w:b w:val="0"/>
                <w:i w:val="0"/>
                <w:sz w:val="18"/>
              </w:rPr>
              <w:t>C-ARM (cap.2/dia)</w:t>
            </w:r>
          </w:p>
        </w:tc>
      </w:tr>
      <w:tr>
        <w:tc>
          <w:tcPr>
            <w:tcW w:type="dxa" w:w="1417"/>
            <w:vAlign w:val="center"/>
          </w:tcPr>
          <w:p>
            <w:pPr>
              <w:jc w:val="center"/>
            </w:pPr>
            <w:r>
              <w:rPr>
                <w:rFonts w:ascii="Calibri" w:hAnsi="Calibri"/>
                <w:b w:val="0"/>
                <w:i w:val="0"/>
                <w:sz w:val="18"/>
              </w:rPr>
              <w:t>GIN (GYN)</w:t>
            </w:r>
          </w:p>
        </w:tc>
        <w:tc>
          <w:tcPr>
            <w:tcW w:type="dxa" w:w="1417"/>
            <w:vAlign w:val="center"/>
          </w:tcPr>
          <w:p>
            <w:pPr>
              <w:jc w:val="center"/>
            </w:pPr>
            <w:r>
              <w:rPr>
                <w:rFonts w:ascii="Calibri" w:hAnsi="Calibri"/>
                <w:b w:val="0"/>
                <w:i w:val="0"/>
                <w:sz w:val="18"/>
              </w:rPr>
              <w:t>60–180</w:t>
            </w:r>
          </w:p>
        </w:tc>
        <w:tc>
          <w:tcPr>
            <w:tcW w:type="dxa" w:w="850"/>
            <w:vAlign w:val="center"/>
          </w:tcPr>
          <w:p>
            <w:pPr>
              <w:jc w:val="center"/>
            </w:pPr>
            <w:r>
              <w:rPr>
                <w:rFonts w:ascii="Calibri" w:hAnsi="Calibri"/>
                <w:b w:val="0"/>
                <w:i w:val="0"/>
                <w:sz w:val="18"/>
              </w:rPr>
              <w:t>2</w:t>
            </w:r>
          </w:p>
        </w:tc>
        <w:tc>
          <w:tcPr>
            <w:tcW w:type="dxa" w:w="1417"/>
            <w:vAlign w:val="center"/>
          </w:tcPr>
          <w:p>
            <w:pPr>
              <w:jc w:val="center"/>
            </w:pPr>
            <w:r>
              <w:rPr>
                <w:rFonts w:ascii="Calibri" w:hAnsi="Calibri"/>
                <w:b w:val="0"/>
                <w:i w:val="0"/>
                <w:sz w:val="18"/>
              </w:rPr>
              <w:t>300</w:t>
            </w:r>
          </w:p>
        </w:tc>
        <w:tc>
          <w:tcPr>
            <w:tcW w:type="dxa" w:w="1417"/>
            <w:vAlign w:val="center"/>
          </w:tcPr>
          <w:p>
            <w:pPr>
              <w:jc w:val="center"/>
            </w:pPr>
            <w:r>
              <w:rPr>
                <w:rFonts w:ascii="Calibri" w:hAnsi="Calibri"/>
                <w:b w:val="0"/>
                <w:i w:val="0"/>
                <w:sz w:val="18"/>
              </w:rPr>
              <w:t>3</w:t>
            </w:r>
          </w:p>
        </w:tc>
        <w:tc>
          <w:tcPr>
            <w:tcW w:type="dxa" w:w="2268"/>
            <w:vAlign w:val="center"/>
          </w:tcPr>
          <w:p>
            <w:pPr>
              <w:jc w:val="center"/>
            </w:pPr>
            <w:r>
              <w:rPr>
                <w:rFonts w:ascii="Calibri" w:hAnsi="Calibri"/>
                <w:b w:val="0"/>
                <w:i w:val="0"/>
                <w:sz w:val="18"/>
              </w:rPr>
              <w:t>—</w:t>
            </w:r>
          </w:p>
        </w:tc>
      </w:tr>
      <w:tr>
        <w:tc>
          <w:tcPr>
            <w:tcW w:type="dxa" w:w="1417"/>
            <w:shd w:val="clear" w:color="auto" w:fill="EEF3FB"/>
            <w:vAlign w:val="center"/>
          </w:tcPr>
          <w:p>
            <w:pPr>
              <w:jc w:val="center"/>
            </w:pPr>
            <w:r>
              <w:rPr>
                <w:rFonts w:ascii="Calibri" w:hAnsi="Calibri"/>
                <w:b w:val="0"/>
                <w:i w:val="0"/>
                <w:sz w:val="18"/>
              </w:rPr>
              <w:t>NEURO</w:t>
            </w:r>
          </w:p>
        </w:tc>
        <w:tc>
          <w:tcPr>
            <w:tcW w:type="dxa" w:w="1417"/>
            <w:shd w:val="clear" w:color="auto" w:fill="EEF3FB"/>
            <w:vAlign w:val="center"/>
          </w:tcPr>
          <w:p>
            <w:pPr>
              <w:jc w:val="center"/>
            </w:pPr>
            <w:r>
              <w:rPr>
                <w:rFonts w:ascii="Calibri" w:hAnsi="Calibri"/>
                <w:b w:val="0"/>
                <w:i w:val="0"/>
                <w:sz w:val="18"/>
              </w:rPr>
              <w:t>120–360</w:t>
            </w:r>
          </w:p>
        </w:tc>
        <w:tc>
          <w:tcPr>
            <w:tcW w:type="dxa" w:w="850"/>
            <w:shd w:val="clear" w:color="auto" w:fill="EEF3FB"/>
            <w:vAlign w:val="center"/>
          </w:tcPr>
          <w:p>
            <w:pPr>
              <w:jc w:val="center"/>
            </w:pPr>
            <w:r>
              <w:rPr>
                <w:rFonts w:ascii="Calibri" w:hAnsi="Calibri"/>
                <w:b w:val="0"/>
                <w:i w:val="0"/>
                <w:sz w:val="18"/>
              </w:rPr>
              <w:t>3</w:t>
            </w:r>
          </w:p>
        </w:tc>
        <w:tc>
          <w:tcPr>
            <w:tcW w:type="dxa" w:w="1417"/>
            <w:shd w:val="clear" w:color="auto" w:fill="EEF3FB"/>
            <w:vAlign w:val="center"/>
          </w:tcPr>
          <w:p>
            <w:pPr>
              <w:jc w:val="center"/>
            </w:pPr>
            <w:r>
              <w:rPr>
                <w:rFonts w:ascii="Calibri" w:hAnsi="Calibri"/>
                <w:b w:val="0"/>
                <w:i w:val="0"/>
                <w:sz w:val="18"/>
              </w:rPr>
              <w:t>540</w:t>
            </w:r>
          </w:p>
        </w:tc>
        <w:tc>
          <w:tcPr>
            <w:tcW w:type="dxa" w:w="1417"/>
            <w:shd w:val="clear" w:color="auto" w:fill="EEF3FB"/>
            <w:vAlign w:val="center"/>
          </w:tcPr>
          <w:p>
            <w:pPr>
              <w:jc w:val="center"/>
            </w:pPr>
            <w:r>
              <w:rPr>
                <w:rFonts w:ascii="Calibri" w:hAnsi="Calibri"/>
                <w:b w:val="0"/>
                <w:i w:val="0"/>
                <w:sz w:val="18"/>
              </w:rPr>
              <w:t>4</w:t>
            </w:r>
          </w:p>
        </w:tc>
        <w:tc>
          <w:tcPr>
            <w:tcW w:type="dxa" w:w="2268"/>
            <w:shd w:val="clear" w:color="auto" w:fill="EEF3FB"/>
            <w:vAlign w:val="center"/>
          </w:tcPr>
          <w:p>
            <w:pPr>
              <w:jc w:val="center"/>
            </w:pPr>
            <w:r>
              <w:rPr>
                <w:rFonts w:ascii="Calibri" w:hAnsi="Calibri"/>
                <w:b w:val="0"/>
                <w:i w:val="0"/>
                <w:sz w:val="18"/>
              </w:rPr>
              <w:t>C-ARM (cap.2/dia)</w:t>
            </w:r>
          </w:p>
        </w:tc>
      </w:tr>
      <w:tr>
        <w:tc>
          <w:tcPr>
            <w:tcW w:type="dxa" w:w="1417"/>
            <w:vAlign w:val="center"/>
          </w:tcPr>
          <w:p>
            <w:pPr>
              <w:jc w:val="center"/>
            </w:pPr>
            <w:r>
              <w:rPr>
                <w:rFonts w:ascii="Calibri" w:hAnsi="Calibri"/>
                <w:b w:val="0"/>
                <w:i w:val="0"/>
                <w:sz w:val="18"/>
              </w:rPr>
              <w:t>TOTAL</w:t>
            </w:r>
          </w:p>
        </w:tc>
        <w:tc>
          <w:tcPr>
            <w:tcW w:type="dxa" w:w="1417"/>
            <w:vAlign w:val="center"/>
          </w:tcPr>
          <w:p>
            <w:pPr>
              <w:jc w:val="center"/>
            </w:pPr>
            <w:r>
              <w:rPr>
                <w:rFonts w:ascii="Calibri" w:hAnsi="Calibri"/>
                <w:b w:val="0"/>
                <w:i w:val="0"/>
                <w:sz w:val="18"/>
              </w:rPr>
              <w:t>—</w:t>
            </w:r>
          </w:p>
        </w:tc>
        <w:tc>
          <w:tcPr>
            <w:tcW w:type="dxa" w:w="850"/>
            <w:vAlign w:val="center"/>
          </w:tcPr>
          <w:p>
            <w:pPr>
              <w:jc w:val="center"/>
            </w:pPr>
            <w:r>
              <w:rPr>
                <w:rFonts w:ascii="Calibri" w:hAnsi="Calibri"/>
                <w:b w:val="0"/>
                <w:i w:val="0"/>
                <w:sz w:val="18"/>
              </w:rPr>
              <w:t>12</w:t>
            </w:r>
          </w:p>
        </w:tc>
        <w:tc>
          <w:tcPr>
            <w:tcW w:type="dxa" w:w="1417"/>
            <w:vAlign w:val="center"/>
          </w:tcPr>
          <w:p>
            <w:pPr>
              <w:jc w:val="center"/>
            </w:pPr>
            <w:r>
              <w:rPr>
                <w:rFonts w:ascii="Calibri" w:hAnsi="Calibri"/>
                <w:b w:val="0"/>
                <w:i w:val="0"/>
                <w:sz w:val="18"/>
              </w:rPr>
              <w:t>—</w:t>
            </w:r>
          </w:p>
        </w:tc>
        <w:tc>
          <w:tcPr>
            <w:tcW w:type="dxa" w:w="1417"/>
            <w:vAlign w:val="center"/>
          </w:tcPr>
          <w:p>
            <w:pPr>
              <w:jc w:val="center"/>
            </w:pPr>
            <w:r>
              <w:rPr>
                <w:rFonts w:ascii="Calibri" w:hAnsi="Calibri"/>
                <w:b w:val="0"/>
                <w:i w:val="0"/>
                <w:sz w:val="18"/>
              </w:rPr>
              <w:t>17</w:t>
            </w:r>
          </w:p>
        </w:tc>
        <w:tc>
          <w:tcPr>
            <w:tcW w:type="dxa" w:w="2268"/>
            <w:vAlign w:val="center"/>
          </w:tcPr>
          <w:p>
            <w:pPr>
              <w:jc w:val="center"/>
            </w:pPr>
            <w:r>
              <w:rPr>
                <w:rFonts w:ascii="Calibri" w:hAnsi="Calibri"/>
                <w:b w:val="0"/>
                <w:i w:val="0"/>
                <w:sz w:val="18"/>
              </w:rPr>
              <w:t>—</w:t>
            </w:r>
          </w:p>
        </w:tc>
      </w:tr>
    </w:tbl>
    <w:p>
      <w:pPr>
        <w:spacing w:after="40"/>
      </w:pPr>
    </w:p>
    <w:p>
      <w:pPr>
        <w:spacing w:before="0" w:after="120"/>
        <w:ind w:left="283"/>
        <w:jc w:val="both"/>
      </w:pPr>
      <w:r>
        <w:rPr>
          <w:rFonts w:ascii="Calibri" w:hAnsi="Calibri"/>
          <w:b w:val="0"/>
          <w:i/>
          <w:color w:val="595959"/>
          <w:sz w:val="18"/>
        </w:rPr>
        <w:t>Nota: Tabela 7 — Serviços da instância média.</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1F497D"/>
            <w:vAlign w:val="center"/>
          </w:tcPr>
          <w:p>
            <w:pPr>
              <w:jc w:val="center"/>
            </w:pPr>
            <w:r>
              <w:rPr>
                <w:rFonts w:ascii="Calibri" w:hAnsi="Calibri"/>
                <w:b/>
                <w:i w:val="0"/>
                <w:color w:val="FFFFFF"/>
                <w:sz w:val="18"/>
              </w:rPr>
              <w:t>Parâmetro de geração</w:t>
            </w:r>
          </w:p>
        </w:tc>
        <w:tc>
          <w:tcPr>
            <w:tcW w:type="dxa" w:w="2835"/>
            <w:shd w:val="clear" w:color="auto" w:fill="1F497D"/>
            <w:vAlign w:val="center"/>
          </w:tcPr>
          <w:p>
            <w:pPr>
              <w:jc w:val="center"/>
            </w:pPr>
            <w:r>
              <w:rPr>
                <w:rFonts w:ascii="Calibri" w:hAnsi="Calibri"/>
                <w:b/>
                <w:i w:val="0"/>
                <w:color w:val="FFFFFF"/>
                <w:sz w:val="18"/>
              </w:rPr>
              <w:t>Valor</w:t>
            </w:r>
          </w:p>
        </w:tc>
        <w:tc>
          <w:tcPr>
            <w:tcW w:type="dxa" w:w="2551"/>
            <w:shd w:val="clear" w:color="auto" w:fill="1F497D"/>
            <w:vAlign w:val="center"/>
          </w:tcPr>
          <w:p>
            <w:pPr>
              <w:jc w:val="center"/>
            </w:pPr>
            <w:r>
              <w:rPr>
                <w:rFonts w:ascii="Calibri" w:hAnsi="Calibri"/>
                <w:b/>
                <w:i w:val="0"/>
                <w:color w:val="FFFFFF"/>
                <w:sz w:val="18"/>
              </w:rPr>
              <w:t>Observação</w:t>
            </w:r>
          </w:p>
        </w:tc>
      </w:tr>
      <w:tr>
        <w:tc>
          <w:tcPr>
            <w:tcW w:type="dxa" w:w="3118"/>
            <w:shd w:val="clear" w:color="auto" w:fill="EEF3FB"/>
            <w:vAlign w:val="center"/>
          </w:tcPr>
          <w:p>
            <w:pPr>
              <w:jc w:val="center"/>
            </w:pPr>
            <w:r>
              <w:rPr>
                <w:rFonts w:ascii="Calibri" w:hAnsi="Calibri"/>
                <w:b w:val="0"/>
                <w:i w:val="0"/>
                <w:sz w:val="18"/>
              </w:rPr>
              <w:t>Nº casos</w:t>
            </w:r>
          </w:p>
        </w:tc>
        <w:tc>
          <w:tcPr>
            <w:tcW w:type="dxa" w:w="2835"/>
            <w:shd w:val="clear" w:color="auto" w:fill="EEF3FB"/>
            <w:vAlign w:val="center"/>
          </w:tcPr>
          <w:p>
            <w:pPr>
              <w:jc w:val="center"/>
            </w:pPr>
            <w:r>
              <w:rPr>
                <w:rFonts w:ascii="Calibri" w:hAnsi="Calibri"/>
                <w:b w:val="0"/>
                <w:i w:val="0"/>
                <w:sz w:val="18"/>
              </w:rPr>
              <w:t>200 (n_cases=200, seed=7)</w:t>
            </w:r>
          </w:p>
        </w:tc>
        <w:tc>
          <w:tcPr>
            <w:tcW w:type="dxa" w:w="2551"/>
            <w:shd w:val="clear" w:color="auto" w:fill="EEF3FB"/>
            <w:vAlign w:val="center"/>
          </w:tcPr>
          <w:p>
            <w:pPr>
              <w:jc w:val="center"/>
            </w:pPr>
            <w:r>
              <w:rPr>
                <w:rFonts w:ascii="Calibri" w:hAnsi="Calibri"/>
                <w:b w:val="0"/>
                <w:i w:val="0"/>
                <w:sz w:val="18"/>
              </w:rPr>
              <w:t>Reprodutível</w:t>
            </w:r>
          </w:p>
        </w:tc>
      </w:tr>
      <w:tr>
        <w:tc>
          <w:tcPr>
            <w:tcW w:type="dxa" w:w="3118"/>
            <w:vAlign w:val="center"/>
          </w:tcPr>
          <w:p>
            <w:pPr>
              <w:jc w:val="center"/>
            </w:pPr>
            <w:r>
              <w:rPr>
                <w:rFonts w:ascii="Calibri" w:hAnsi="Calibri"/>
                <w:b w:val="0"/>
                <w:i w:val="0"/>
                <w:sz w:val="18"/>
              </w:rPr>
              <w:t>Distribuição de prioridades</w:t>
            </w:r>
          </w:p>
        </w:tc>
        <w:tc>
          <w:tcPr>
            <w:tcW w:type="dxa" w:w="2835"/>
            <w:vAlign w:val="center"/>
          </w:tcPr>
          <w:p>
            <w:pPr>
              <w:jc w:val="center"/>
            </w:pPr>
            <w:r>
              <w:rPr>
                <w:rFonts w:ascii="Calibri" w:hAnsi="Calibri"/>
                <w:b w:val="0"/>
                <w:i w:val="0"/>
                <w:sz w:val="18"/>
              </w:rPr>
              <w:t>P1:58% P2:26% P3:13% P4:3%</w:t>
            </w:r>
          </w:p>
        </w:tc>
        <w:tc>
          <w:tcPr>
            <w:tcW w:type="dxa" w:w="2551"/>
            <w:vAlign w:val="center"/>
          </w:tcPr>
          <w:p>
            <w:pPr>
              <w:jc w:val="center"/>
            </w:pPr>
            <w:r>
              <w:rPr>
                <w:rFonts w:ascii="Calibri" w:hAnsi="Calibri"/>
                <w:b w:val="0"/>
                <w:i w:val="0"/>
                <w:sz w:val="18"/>
              </w:rPr>
              <w:t>weights=[58,26,13,3]</w:t>
            </w:r>
          </w:p>
        </w:tc>
      </w:tr>
      <w:tr>
        <w:tc>
          <w:tcPr>
            <w:tcW w:type="dxa" w:w="3118"/>
            <w:shd w:val="clear" w:color="auto" w:fill="EEF3FB"/>
            <w:vAlign w:val="center"/>
          </w:tcPr>
          <w:p>
            <w:pPr>
              <w:jc w:val="center"/>
            </w:pPr>
            <w:r>
              <w:rPr>
                <w:rFonts w:ascii="Calibri" w:hAnsi="Calibri"/>
                <w:b w:val="0"/>
                <w:i w:val="0"/>
                <w:sz w:val="18"/>
              </w:rPr>
              <w:t>Dias de espera gerados</w:t>
            </w:r>
          </w:p>
        </w:tc>
        <w:tc>
          <w:tcPr>
            <w:tcW w:type="dxa" w:w="2835"/>
            <w:shd w:val="clear" w:color="auto" w:fill="EEF3FB"/>
            <w:vAlign w:val="center"/>
          </w:tcPr>
          <w:p>
            <w:pPr>
              <w:jc w:val="center"/>
            </w:pPr>
            <w:r>
              <w:rPr>
                <w:rFonts w:ascii="Calibri" w:hAnsi="Calibri"/>
                <w:b w:val="0"/>
                <w:i w:val="0"/>
                <w:sz w:val="18"/>
              </w:rPr>
              <w:t>[0,4×wl_max, 1,4×wl_max]</w:t>
            </w:r>
          </w:p>
        </w:tc>
        <w:tc>
          <w:tcPr>
            <w:tcW w:type="dxa" w:w="2551"/>
            <w:shd w:val="clear" w:color="auto" w:fill="EEF3FB"/>
            <w:vAlign w:val="center"/>
          </w:tcPr>
          <w:p>
            <w:pPr>
              <w:jc w:val="center"/>
            </w:pPr>
            <w:r>
              <w:rPr>
                <w:rFonts w:ascii="Calibri" w:hAnsi="Calibri"/>
                <w:b w:val="0"/>
                <w:i w:val="0"/>
                <w:sz w:val="18"/>
              </w:rPr>
              <w:t>~40% dos casos já vencidos</w:t>
            </w:r>
          </w:p>
        </w:tc>
      </w:tr>
      <w:tr>
        <w:tc>
          <w:tcPr>
            <w:tcW w:type="dxa" w:w="3118"/>
            <w:vAlign w:val="center"/>
          </w:tcPr>
          <w:p>
            <w:pPr>
              <w:jc w:val="center"/>
            </w:pPr>
            <w:r>
              <w:rPr>
                <w:rFonts w:ascii="Calibri" w:hAnsi="Calibri"/>
                <w:b w:val="0"/>
                <w:i w:val="0"/>
                <w:sz w:val="18"/>
              </w:rPr>
              <w:t>Prob. UCI (VASC/NEURO)</w:t>
            </w:r>
          </w:p>
        </w:tc>
        <w:tc>
          <w:tcPr>
            <w:tcW w:type="dxa" w:w="2835"/>
            <w:vAlign w:val="center"/>
          </w:tcPr>
          <w:p>
            <w:pPr>
              <w:jc w:val="center"/>
            </w:pPr>
            <w:r>
              <w:rPr>
                <w:rFonts w:ascii="Calibri" w:hAnsi="Calibri"/>
                <w:b w:val="0"/>
                <w:i w:val="0"/>
                <w:sz w:val="18"/>
              </w:rPr>
              <w:t>12% ; los ∈ {1, 2} dias</w:t>
            </w:r>
          </w:p>
        </w:tc>
        <w:tc>
          <w:tcPr>
            <w:tcW w:type="dxa" w:w="2551"/>
            <w:vAlign w:val="center"/>
          </w:tcPr>
          <w:p>
            <w:pPr>
              <w:jc w:val="center"/>
            </w:pPr>
            <w:r>
              <w:rPr>
                <w:rFonts w:ascii="Calibri" w:hAnsi="Calibri"/>
                <w:b w:val="0"/>
                <w:i w:val="0"/>
                <w:sz w:val="18"/>
              </w:rPr>
              <w:t>rng.random() &lt; 0.12</w:t>
            </w:r>
          </w:p>
        </w:tc>
      </w:tr>
      <w:tr>
        <w:tc>
          <w:tcPr>
            <w:tcW w:type="dxa" w:w="3118"/>
            <w:shd w:val="clear" w:color="auto" w:fill="EEF3FB"/>
            <w:vAlign w:val="center"/>
          </w:tcPr>
          <w:p>
            <w:pPr>
              <w:jc w:val="center"/>
            </w:pPr>
            <w:r>
              <w:rPr>
                <w:rFonts w:ascii="Calibri" w:hAnsi="Calibri"/>
                <w:b w:val="0"/>
                <w:i w:val="0"/>
                <w:sz w:val="18"/>
              </w:rPr>
              <w:t>Prob. C-arm (VASC/NEURO, ≠P4)</w:t>
            </w:r>
          </w:p>
        </w:tc>
        <w:tc>
          <w:tcPr>
            <w:tcW w:type="dxa" w:w="2835"/>
            <w:shd w:val="clear" w:color="auto" w:fill="EEF3FB"/>
            <w:vAlign w:val="center"/>
          </w:tcPr>
          <w:p>
            <w:pPr>
              <w:jc w:val="center"/>
            </w:pPr>
            <w:r>
              <w:rPr>
                <w:rFonts w:ascii="Calibri" w:hAnsi="Calibri"/>
                <w:b w:val="0"/>
                <w:i w:val="0"/>
                <w:sz w:val="18"/>
              </w:rPr>
              <w:t>50%</w:t>
            </w:r>
          </w:p>
        </w:tc>
        <w:tc>
          <w:tcPr>
            <w:tcW w:type="dxa" w:w="2551"/>
            <w:shd w:val="clear" w:color="auto" w:fill="EEF3FB"/>
            <w:vAlign w:val="center"/>
          </w:tcPr>
          <w:p>
            <w:pPr>
              <w:jc w:val="center"/>
            </w:pPr>
            <w:r>
              <w:rPr>
                <w:rFonts w:ascii="Calibri" w:hAnsi="Calibri"/>
                <w:b w:val="0"/>
                <w:i w:val="0"/>
                <w:sz w:val="18"/>
              </w:rPr>
              <w:t>P4 sempre sem equipamento</w:t>
            </w:r>
          </w:p>
        </w:tc>
      </w:tr>
      <w:tr>
        <w:tc>
          <w:tcPr>
            <w:tcW w:type="dxa" w:w="3118"/>
            <w:vAlign w:val="center"/>
          </w:tcPr>
          <w:p>
            <w:pPr>
              <w:jc w:val="center"/>
            </w:pPr>
            <w:r>
              <w:rPr>
                <w:rFonts w:ascii="Calibri" w:hAnsi="Calibri"/>
                <w:b w:val="0"/>
                <w:i w:val="0"/>
                <w:sz w:val="18"/>
              </w:rPr>
              <w:t>Limite diário cirurgião</w:t>
            </w:r>
          </w:p>
        </w:tc>
        <w:tc>
          <w:tcPr>
            <w:tcW w:type="dxa" w:w="2835"/>
            <w:vAlign w:val="center"/>
          </w:tcPr>
          <w:p>
            <w:pPr>
              <w:jc w:val="center"/>
            </w:pPr>
            <w:r>
              <w:rPr>
                <w:rFonts w:ascii="Calibri" w:hAnsi="Calibri"/>
                <w:b w:val="0"/>
                <w:i w:val="0"/>
                <w:sz w:val="18"/>
              </w:rPr>
              <w:t>300 min (≈5h de bloco)</w:t>
            </w:r>
          </w:p>
        </w:tc>
        <w:tc>
          <w:tcPr>
            <w:tcW w:type="dxa" w:w="2551"/>
            <w:vAlign w:val="center"/>
          </w:tcPr>
          <w:p>
            <w:pPr>
              <w:jc w:val="center"/>
            </w:pPr>
            <w:r>
              <w:rPr>
                <w:rFonts w:ascii="Calibri" w:hAnsi="Calibri"/>
                <w:b w:val="0"/>
                <w:i w:val="0"/>
                <w:sz w:val="18"/>
              </w:rPr>
              <w:t>daily=300</w:t>
            </w:r>
          </w:p>
        </w:tc>
      </w:tr>
      <w:tr>
        <w:tc>
          <w:tcPr>
            <w:tcW w:type="dxa" w:w="3118"/>
            <w:shd w:val="clear" w:color="auto" w:fill="EEF3FB"/>
            <w:vAlign w:val="center"/>
          </w:tcPr>
          <w:p>
            <w:pPr>
              <w:jc w:val="center"/>
            </w:pPr>
            <w:r>
              <w:rPr>
                <w:rFonts w:ascii="Calibri" w:hAnsi="Calibri"/>
                <w:b w:val="0"/>
                <w:i w:val="0"/>
                <w:sz w:val="18"/>
              </w:rPr>
              <w:t>Limite semanal cirurgião</w:t>
            </w:r>
          </w:p>
        </w:tc>
        <w:tc>
          <w:tcPr>
            <w:tcW w:type="dxa" w:w="2835"/>
            <w:shd w:val="clear" w:color="auto" w:fill="EEF3FB"/>
            <w:vAlign w:val="center"/>
          </w:tcPr>
          <w:p>
            <w:pPr>
              <w:jc w:val="center"/>
            </w:pPr>
            <w:r>
              <w:rPr>
                <w:rFonts w:ascii="Calibri" w:hAnsi="Calibri"/>
                <w:b w:val="0"/>
                <w:i w:val="0"/>
                <w:sz w:val="18"/>
              </w:rPr>
              <w:t>1 300 min (≈4–5 sessões)</w:t>
            </w:r>
          </w:p>
        </w:tc>
        <w:tc>
          <w:tcPr>
            <w:tcW w:type="dxa" w:w="2551"/>
            <w:shd w:val="clear" w:color="auto" w:fill="EEF3FB"/>
            <w:vAlign w:val="center"/>
          </w:tcPr>
          <w:p>
            <w:pPr>
              <w:jc w:val="center"/>
            </w:pPr>
            <w:r>
              <w:rPr>
                <w:rFonts w:ascii="Calibri" w:hAnsi="Calibri"/>
                <w:b w:val="0"/>
                <w:i w:val="0"/>
                <w:sz w:val="18"/>
              </w:rPr>
              <w:t>weekly=1300</w:t>
            </w:r>
          </w:p>
        </w:tc>
      </w:tr>
      <w:tr>
        <w:tc>
          <w:tcPr>
            <w:tcW w:type="dxa" w:w="3118"/>
            <w:vAlign w:val="center"/>
          </w:tcPr>
          <w:p>
            <w:pPr>
              <w:jc w:val="center"/>
            </w:pPr>
            <w:r>
              <w:rPr>
                <w:rFonts w:ascii="Calibri" w:hAnsi="Calibri"/>
                <w:b w:val="0"/>
                <w:i w:val="0"/>
                <w:sz w:val="18"/>
              </w:rPr>
              <w:t>Indisponibilidade cirurgião</w:t>
            </w:r>
          </w:p>
        </w:tc>
        <w:tc>
          <w:tcPr>
            <w:tcW w:type="dxa" w:w="2835"/>
            <w:vAlign w:val="center"/>
          </w:tcPr>
          <w:p>
            <w:pPr>
              <w:jc w:val="center"/>
            </w:pPr>
            <w:r>
              <w:rPr>
                <w:rFonts w:ascii="Calibri" w:hAnsi="Calibri"/>
                <w:b w:val="0"/>
                <w:i w:val="0"/>
                <w:sz w:val="18"/>
              </w:rPr>
              <w:t>40% prob. de 1 dia fora (nunca 2.ª)</w:t>
            </w:r>
          </w:p>
        </w:tc>
        <w:tc>
          <w:tcPr>
            <w:tcW w:type="dxa" w:w="2551"/>
            <w:vAlign w:val="center"/>
          </w:tcPr>
          <w:p>
            <w:pPr>
              <w:jc w:val="center"/>
            </w:pPr>
            <w:r>
              <w:rPr>
                <w:rFonts w:ascii="Calibri" w:hAnsi="Calibri"/>
                <w:b w:val="0"/>
                <w:i w:val="0"/>
                <w:sz w:val="18"/>
              </w:rPr>
              <w:t>avail[off_day]=False</w:t>
            </w:r>
          </w:p>
        </w:tc>
      </w:tr>
      <w:tr>
        <w:tc>
          <w:tcPr>
            <w:tcW w:type="dxa" w:w="3118"/>
            <w:shd w:val="clear" w:color="auto" w:fill="EEF3FB"/>
            <w:vAlign w:val="center"/>
          </w:tcPr>
          <w:p>
            <w:pPr>
              <w:jc w:val="center"/>
            </w:pPr>
            <w:r>
              <w:rPr>
                <w:rFonts w:ascii="Calibri" w:hAnsi="Calibri"/>
                <w:b w:val="0"/>
                <w:i w:val="0"/>
                <w:sz w:val="18"/>
              </w:rPr>
              <w:t>Capacidade C-arm</w:t>
            </w:r>
          </w:p>
        </w:tc>
        <w:tc>
          <w:tcPr>
            <w:tcW w:type="dxa" w:w="2835"/>
            <w:shd w:val="clear" w:color="auto" w:fill="EEF3FB"/>
            <w:vAlign w:val="center"/>
          </w:tcPr>
          <w:p>
            <w:pPr>
              <w:jc w:val="center"/>
            </w:pPr>
            <w:r>
              <w:rPr>
                <w:rFonts w:ascii="Calibri" w:hAnsi="Calibri"/>
                <w:b w:val="0"/>
                <w:i w:val="0"/>
                <w:sz w:val="18"/>
              </w:rPr>
              <w:t>2 unidades/dia</w:t>
            </w:r>
          </w:p>
        </w:tc>
        <w:tc>
          <w:tcPr>
            <w:tcW w:type="dxa" w:w="2551"/>
            <w:shd w:val="clear" w:color="auto" w:fill="EEF3FB"/>
            <w:vAlign w:val="center"/>
          </w:tcPr>
          <w:p>
            <w:pPr>
              <w:jc w:val="center"/>
            </w:pPr>
            <w:r>
              <w:rPr>
                <w:rFonts w:ascii="Calibri" w:hAnsi="Calibri"/>
                <w:b w:val="0"/>
                <w:i w:val="0"/>
                <w:sz w:val="18"/>
              </w:rPr>
              <w:t>equipment_capacity</w:t>
            </w:r>
          </w:p>
        </w:tc>
      </w:tr>
      <w:tr>
        <w:tc>
          <w:tcPr>
            <w:tcW w:type="dxa" w:w="3118"/>
            <w:vAlign w:val="center"/>
          </w:tcPr>
          <w:p>
            <w:pPr>
              <w:jc w:val="center"/>
            </w:pPr>
            <w:r>
              <w:rPr>
                <w:rFonts w:ascii="Calibri" w:hAnsi="Calibri"/>
                <w:b w:val="0"/>
                <w:i w:val="0"/>
                <w:sz w:val="18"/>
              </w:rPr>
              <w:t>Camas UCI</w:t>
            </w:r>
          </w:p>
        </w:tc>
        <w:tc>
          <w:tcPr>
            <w:tcW w:type="dxa" w:w="2835"/>
            <w:vAlign w:val="center"/>
          </w:tcPr>
          <w:p>
            <w:pPr>
              <w:jc w:val="center"/>
            </w:pPr>
            <w:r>
              <w:rPr>
                <w:rFonts w:ascii="Calibri" w:hAnsi="Calibri"/>
                <w:b w:val="0"/>
                <w:i w:val="0"/>
                <w:sz w:val="18"/>
              </w:rPr>
              <w:t>6 camas/dia (constante)</w:t>
            </w:r>
          </w:p>
        </w:tc>
        <w:tc>
          <w:tcPr>
            <w:tcW w:type="dxa" w:w="2551"/>
            <w:vAlign w:val="center"/>
          </w:tcPr>
          <w:p>
            <w:pPr>
              <w:jc w:val="center"/>
            </w:pPr>
            <w:r>
              <w:rPr>
                <w:rFonts w:ascii="Calibri" w:hAnsi="Calibri"/>
                <w:b w:val="0"/>
                <w:i w:val="0"/>
                <w:sz w:val="18"/>
              </w:rPr>
              <w:t>bed_capacity</w:t>
            </w:r>
          </w:p>
        </w:tc>
      </w:tr>
      <w:tr>
        <w:tc>
          <w:tcPr>
            <w:tcW w:type="dxa" w:w="3118"/>
            <w:shd w:val="clear" w:color="auto" w:fill="EEF3FB"/>
            <w:vAlign w:val="center"/>
          </w:tcPr>
          <w:p>
            <w:pPr>
              <w:jc w:val="center"/>
            </w:pPr>
            <w:r>
              <w:rPr>
                <w:rFonts w:ascii="Calibri" w:hAnsi="Calibri"/>
                <w:b w:val="0"/>
                <w:i w:val="0"/>
                <w:sz w:val="18"/>
              </w:rPr>
              <w:t>Resolução de conflitos P4</w:t>
            </w:r>
          </w:p>
        </w:tc>
        <w:tc>
          <w:tcPr>
            <w:tcW w:type="dxa" w:w="2835"/>
            <w:shd w:val="clear" w:color="auto" w:fill="EEF3FB"/>
            <w:vAlign w:val="center"/>
          </w:tcPr>
          <w:p>
            <w:pPr>
              <w:jc w:val="center"/>
            </w:pPr>
            <w:r>
              <w:rPr>
                <w:rFonts w:ascii="Calibri" w:hAnsi="Calibri"/>
                <w:b w:val="0"/>
                <w:i w:val="0"/>
                <w:sz w:val="18"/>
              </w:rPr>
              <w:t>Round-robin por cirurgião de serviço</w:t>
            </w:r>
          </w:p>
        </w:tc>
        <w:tc>
          <w:tcPr>
            <w:tcW w:type="dxa" w:w="2551"/>
            <w:shd w:val="clear" w:color="auto" w:fill="EEF3FB"/>
            <w:vAlign w:val="center"/>
          </w:tcPr>
          <w:p>
            <w:pPr>
              <w:jc w:val="center"/>
            </w:pPr>
            <w:r>
              <w:rPr>
                <w:rFonts w:ascii="Calibri" w:hAnsi="Calibri"/>
                <w:b w:val="0"/>
                <w:i w:val="0"/>
                <w:sz w:val="18"/>
              </w:rPr>
              <w:t>_resolve_priority4_conflicts</w:t>
            </w:r>
          </w:p>
        </w:tc>
      </w:tr>
    </w:tbl>
    <w:p>
      <w:pPr>
        <w:spacing w:after="40"/>
      </w:pPr>
    </w:p>
    <w:p>
      <w:pPr>
        <w:spacing w:before="0" w:after="120"/>
        <w:ind w:left="283"/>
        <w:jc w:val="both"/>
      </w:pPr>
      <w:r>
        <w:rPr>
          <w:rFonts w:ascii="Calibri" w:hAnsi="Calibri"/>
          <w:b w:val="0"/>
          <w:i/>
          <w:color w:val="595959"/>
          <w:sz w:val="18"/>
        </w:rPr>
        <w:t>Nota: Tabela 8 — Parâmetros de geração da instância média.</w:t>
      </w:r>
    </w:p>
    <w:p>
      <w:r>
        <w:br w:type="page"/>
      </w:r>
    </w:p>
    <w:p>
      <w:pPr>
        <w:spacing w:before="320" w:after="80"/>
      </w:pPr>
      <w:r>
        <w:rPr>
          <w:rFonts w:ascii="Calibri" w:hAnsi="Calibri"/>
          <w:b/>
          <w:i w:val="0"/>
          <w:color w:val="1F497D"/>
          <w:sz w:val="32"/>
        </w:rPr>
        <w:t>4. Formulação MIP Completa (Modelo de Comparação)</w:t>
      </w:r>
    </w:p>
    <w:p>
      <w:pPr>
        <w:spacing w:after="120" w:before="0" w:lineRule="auto" w:line="276"/>
        <w:jc w:val="both"/>
      </w:pPr>
      <w:r>
        <w:rPr>
          <w:rFonts w:ascii="Calibri" w:hAnsi="Calibri"/>
          <w:b w:val="0"/>
          <w:i w:val="0"/>
          <w:sz w:val="22"/>
        </w:rPr>
        <w:t>Este MILP foi desenvolvido como verificação empírica do argumento a favor do CP (§1.2). Implementado em src/solvers/milp_baseline_solver.py; executável via --solver milp-cbc (CBC incluído, sem instalação), --solver milp-gurobi ou --solver milp-cplex. Usa os mesmos conjuntos, parâmetros e função objectivo do modelo CP-SAT principal, mas com restrições de sala e equipamento expressas como somas lineares — a diferença que explica o gap de objectivo reportado nos resultados.</w:t>
      </w:r>
    </w:p>
    <w:p>
      <w:pPr>
        <w:spacing w:before="200" w:after="80"/>
      </w:pPr>
      <w:r>
        <w:rPr>
          <w:rFonts w:ascii="Calibri" w:hAnsi="Calibri"/>
          <w:b/>
          <w:i w:val="0"/>
          <w:color w:val="1F497D"/>
          <w:sz w:val="26"/>
        </w:rPr>
        <w:t>4.1  Variáveis de Decisão</w:t>
      </w:r>
    </w:p>
    <w:p>
      <w:pPr>
        <w:spacing w:after="120" w:before="0" w:lineRule="auto" w:line="276"/>
        <w:jc w:val="both"/>
      </w:pPr>
      <w:r>
        <w:rPr>
          <w:rFonts w:ascii="Calibri" w:hAnsi="Calibri"/>
          <w:b w:val="0"/>
          <w:i w:val="0"/>
          <w:sz w:val="22"/>
        </w:rPr>
        <w:t>Para cada terna (c, d, r) que sobrevive ao filtro de elegibilidade C4–C6:</w:t>
      </w:r>
    </w:p>
    <w:p>
      <w:pPr>
        <w:spacing w:before="60" w:after="60"/>
        <w:jc w:val="center"/>
      </w:pPr>
      <w:r>
        <w:rPr>
          <w:rFonts w:ascii="Courier New" w:hAnsi="Courier New"/>
          <w:b w:val="0"/>
          <w:i w:val="0"/>
          <w:sz w:val="19"/>
        </w:rPr>
        <w:t>x_{c,d,r} ∈ {0,1}    ∀ c ∈ C, d ∈ Dₒ, r ∈ R   —  1 se o caso c é agendado na sala r no dia d</w:t>
      </w:r>
    </w:p>
    <w:p>
      <w:pPr>
        <w:spacing w:before="60" w:after="60"/>
        <w:jc w:val="center"/>
      </w:pPr>
      <w:r>
        <w:rPr>
          <w:rFonts w:ascii="Courier New" w:hAnsi="Courier New"/>
          <w:b w:val="0"/>
          <w:i w:val="0"/>
          <w:sz w:val="19"/>
        </w:rPr>
        <w:t>z_c ∈ [0,1]           ∀ c : pₒ ≠ 4              —  variável de não agendamento (relaxada)</w:t>
      </w:r>
    </w:p>
    <w:p>
      <w:pPr>
        <w:spacing w:after="120" w:before="0" w:lineRule="auto" w:line="276"/>
        <w:jc w:val="both"/>
      </w:pPr>
      <w:r>
        <w:rPr>
          <w:rFonts w:ascii="Calibri" w:hAnsi="Calibri"/>
          <w:b w:val="0"/>
          <w:i w:val="0"/>
          <w:sz w:val="22"/>
        </w:rPr>
        <w:t>z_c é relaxada para o intervalo contínuo [0,1] em vez de declarada binária. A restrição C3 abaixo força z_c ∈ {0,1} na solução óptima sem necessidade de a declarar binária — qualquer valor fraccionário de z_c pode ser melhorado pelo solver reduzindo-o, pelo que o relaxamento é gratuito: diminui o número de variáveis inteiras sem custos.</w:t>
      </w:r>
    </w:p>
    <w:p>
      <w:pPr>
        <w:spacing w:before="200" w:after="80"/>
      </w:pPr>
      <w:r>
        <w:rPr>
          <w:rFonts w:ascii="Calibri" w:hAnsi="Calibri"/>
          <w:b/>
          <w:i w:val="0"/>
          <w:color w:val="1F497D"/>
          <w:sz w:val="26"/>
        </w:rPr>
        <w:t>4.2  Função Objectivo</w:t>
      </w:r>
    </w:p>
    <w:p>
      <w:pPr>
        <w:spacing w:before="60" w:after="60"/>
        <w:jc w:val="center"/>
      </w:pPr>
      <w:r>
        <w:rPr>
          <w:rFonts w:ascii="Courier New" w:hAnsi="Courier New"/>
          <w:b w:val="0"/>
          <w:i w:val="0"/>
          <w:sz w:val="19"/>
        </w:rPr>
        <w:t>min  Σ_{c: dd_c≥0} Σ_{d∈Dₒ,r} [dd_c + d] · x_{cdr}           [Termo 1]</w:t>
      </w:r>
    </w:p>
    <w:p>
      <w:pPr>
        <w:spacing w:before="60" w:after="60"/>
        <w:jc w:val="center"/>
      </w:pPr>
      <w:r>
        <w:rPr>
          <w:rFonts w:ascii="Courier New" w:hAnsi="Courier New"/>
          <w:b w:val="0"/>
          <w:i w:val="0"/>
          <w:sz w:val="19"/>
        </w:rPr>
        <w:t xml:space="preserve">   + Σ_{c: dd_c&lt;0} Σ_{d∈Dₒ,r} [dd_c + α·d] · x_{cdr}         [Termo 2]</w:t>
      </w:r>
    </w:p>
    <w:p>
      <w:pPr>
        <w:spacing w:before="60" w:after="60"/>
        <w:jc w:val="center"/>
      </w:pPr>
      <w:r>
        <w:rPr>
          <w:rFonts w:ascii="Courier New" w:hAnsi="Courier New"/>
          <w:b w:val="0"/>
          <w:i w:val="0"/>
          <w:sz w:val="19"/>
        </w:rPr>
        <w:t xml:space="preserve">   + Σ_{c: pₒ≠4}  w_c · z_c                                    [Termo 3]</w:t>
      </w:r>
    </w:p>
    <w:p>
      <w:pPr>
        <w:spacing w:after="120" w:before="0" w:lineRule="auto" w:line="276"/>
        <w:jc w:val="both"/>
      </w:pPr>
      <w:r>
        <w:rPr>
          <w:rFonts w:ascii="Calibri" w:hAnsi="Calibri"/>
          <w:b w:val="0"/>
          <w:i w:val="0"/>
          <w:sz w:val="22"/>
        </w:rPr>
        <w:t>Termo 1 — casos dentro do prazo: o coeficiente aumenta com d, logo o solver prefere agendar mais cedo na semana. Termo 2 — casos vencidos: o mesmo incentivo com coeficiente de dia escalado por α para front-loading adicional. Termo 3 — penalização por não agendamento:</w:t>
      </w:r>
    </w:p>
    <w:p>
      <w:pPr>
        <w:spacing w:before="60" w:after="60"/>
        <w:jc w:val="center"/>
      </w:pPr>
      <w:r>
        <w:rPr>
          <w:rFonts w:ascii="Courier New" w:hAnsi="Courier New"/>
          <w:b w:val="0"/>
          <w:i w:val="0"/>
          <w:sz w:val="19"/>
        </w:rPr>
        <w:t>w_c = μ_{pₒ} · PenaltyCurve(dd_c) + 1,2 · max_{c'∈C}(dd_{c'})</w:t>
      </w:r>
    </w:p>
    <w:p>
      <w:pPr>
        <w:spacing w:before="60" w:after="60"/>
        <w:jc w:val="center"/>
      </w:pPr>
      <w:r>
        <w:rPr>
          <w:rFonts w:ascii="Courier New" w:hAnsi="Courier New"/>
          <w:b w:val="0"/>
          <w:i w:val="0"/>
          <w:sz w:val="19"/>
        </w:rPr>
        <w:t>PenaltyCurve: plana (50–800) quando dd_c≥0, depois escala com atraso (1000–2000+20·|dd+45|)</w:t>
      </w:r>
    </w:p>
    <w:p>
      <w:pPr>
        <w:spacing w:after="120" w:before="0" w:lineRule="auto" w:line="276"/>
        <w:jc w:val="both"/>
      </w:pPr>
      <w:r>
        <w:rPr>
          <w:rFonts w:ascii="Calibri" w:hAnsi="Calibri"/>
          <w:b w:val="0"/>
          <w:i w:val="0"/>
          <w:sz w:val="22"/>
        </w:rPr>
        <w:t>O factor 1,2×max(dd) garante que w_c domina sempre qualquer coeficiente dos Termos 1-2 — o solver só abandona um caso quando genuinamente não há capacidade, nunca como forma barata de evitar uma penalização de atraso. Avaliado uma única vez em src/model/penalty.py, partilhado por todos os backends.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97D"/>
            <w:vAlign w:val="center"/>
          </w:tcPr>
          <w:p>
            <w:pPr>
              <w:jc w:val="center"/>
            </w:pPr>
            <w:r>
              <w:rPr>
                <w:rFonts w:ascii="Calibri" w:hAnsi="Calibri"/>
                <w:b/>
                <w:i w:val="0"/>
                <w:color w:val="FFFFFF"/>
                <w:sz w:val="18"/>
              </w:rPr>
              <w:t>dd_c (dias de folga)</w:t>
            </w:r>
          </w:p>
        </w:tc>
        <w:tc>
          <w:tcPr>
            <w:tcW w:type="dxa" w:w="1701"/>
            <w:shd w:val="clear" w:color="auto" w:fill="1F497D"/>
            <w:vAlign w:val="center"/>
          </w:tcPr>
          <w:p>
            <w:pPr>
              <w:jc w:val="center"/>
            </w:pPr>
            <w:r>
              <w:rPr>
                <w:rFonts w:ascii="Calibri" w:hAnsi="Calibri"/>
                <w:b/>
                <w:i w:val="0"/>
                <w:color w:val="FFFFFF"/>
                <w:sz w:val="18"/>
              </w:rPr>
              <w:t>PenaltyCurve</w:t>
            </w:r>
          </w:p>
        </w:tc>
        <w:tc>
          <w:tcPr>
            <w:tcW w:type="dxa" w:w="4819"/>
            <w:shd w:val="clear" w:color="auto" w:fill="1F497D"/>
            <w:vAlign w:val="center"/>
          </w:tcPr>
          <w:p>
            <w:pPr>
              <w:jc w:val="center"/>
            </w:pPr>
            <w:r>
              <w:rPr>
                <w:rFonts w:ascii="Calibri" w:hAnsi="Calibri"/>
                <w:b/>
                <w:i w:val="0"/>
                <w:color w:val="FFFFFF"/>
                <w:sz w:val="18"/>
              </w:rPr>
              <w:t>Interpretação clínica</w:t>
            </w:r>
          </w:p>
        </w:tc>
      </w:tr>
      <w:tr>
        <w:tc>
          <w:tcPr>
            <w:tcW w:type="dxa" w:w="1984"/>
            <w:shd w:val="clear" w:color="auto" w:fill="EEF3FB"/>
            <w:vAlign w:val="center"/>
          </w:tcPr>
          <w:p>
            <w:pPr>
              <w:jc w:val="center"/>
            </w:pPr>
            <w:r>
              <w:rPr>
                <w:rFonts w:ascii="Calibri" w:hAnsi="Calibri"/>
                <w:b w:val="0"/>
                <w:i w:val="0"/>
                <w:sz w:val="18"/>
              </w:rPr>
              <w:t>≥ 90</w:t>
            </w:r>
          </w:p>
        </w:tc>
        <w:tc>
          <w:tcPr>
            <w:tcW w:type="dxa" w:w="1701"/>
            <w:shd w:val="clear" w:color="auto" w:fill="EEF3FB"/>
            <w:vAlign w:val="center"/>
          </w:tcPr>
          <w:p>
            <w:pPr>
              <w:jc w:val="center"/>
            </w:pPr>
            <w:r>
              <w:rPr>
                <w:rFonts w:ascii="Calibri" w:hAnsi="Calibri"/>
                <w:b w:val="0"/>
                <w:i w:val="0"/>
                <w:sz w:val="18"/>
              </w:rPr>
              <w:t>50</w:t>
            </w:r>
          </w:p>
        </w:tc>
        <w:tc>
          <w:tcPr>
            <w:tcW w:type="dxa" w:w="4819"/>
            <w:shd w:val="clear" w:color="auto" w:fill="EEF3FB"/>
            <w:vAlign w:val="center"/>
          </w:tcPr>
          <w:p>
            <w:pPr>
              <w:jc w:val="center"/>
            </w:pPr>
            <w:r>
              <w:rPr>
                <w:rFonts w:ascii="Calibri" w:hAnsi="Calibri"/>
                <w:b w:val="0"/>
                <w:i w:val="0"/>
                <w:sz w:val="18"/>
              </w:rPr>
              <w:t>Muito longe do prazo — baixa pressão</w:t>
            </w:r>
          </w:p>
        </w:tc>
      </w:tr>
      <w:tr>
        <w:tc>
          <w:tcPr>
            <w:tcW w:type="dxa" w:w="1984"/>
            <w:vAlign w:val="center"/>
          </w:tcPr>
          <w:p>
            <w:pPr>
              <w:jc w:val="center"/>
            </w:pPr>
            <w:r>
              <w:rPr>
                <w:rFonts w:ascii="Calibri" w:hAnsi="Calibri"/>
                <w:b w:val="0"/>
                <w:i w:val="0"/>
                <w:sz w:val="18"/>
              </w:rPr>
              <w:t>60 – 89</w:t>
            </w:r>
          </w:p>
        </w:tc>
        <w:tc>
          <w:tcPr>
            <w:tcW w:type="dxa" w:w="1701"/>
            <w:vAlign w:val="center"/>
          </w:tcPr>
          <w:p>
            <w:pPr>
              <w:jc w:val="center"/>
            </w:pPr>
            <w:r>
              <w:rPr>
                <w:rFonts w:ascii="Calibri" w:hAnsi="Calibri"/>
                <w:b w:val="0"/>
                <w:i w:val="0"/>
                <w:sz w:val="18"/>
              </w:rPr>
              <w:t>100</w:t>
            </w:r>
          </w:p>
        </w:tc>
        <w:tc>
          <w:tcPr>
            <w:tcW w:type="dxa" w:w="4819"/>
            <w:vAlign w:val="center"/>
          </w:tcPr>
          <w:p>
            <w:pPr>
              <w:jc w:val="center"/>
            </w:pPr>
            <w:r>
              <w:rPr>
                <w:rFonts w:ascii="Calibri" w:hAnsi="Calibri"/>
                <w:b w:val="0"/>
                <w:i w:val="0"/>
                <w:sz w:val="18"/>
              </w:rPr>
              <w:t>—</w:t>
            </w:r>
          </w:p>
        </w:tc>
      </w:tr>
      <w:tr>
        <w:tc>
          <w:tcPr>
            <w:tcW w:type="dxa" w:w="1984"/>
            <w:shd w:val="clear" w:color="auto" w:fill="EEF3FB"/>
            <w:vAlign w:val="center"/>
          </w:tcPr>
          <w:p>
            <w:pPr>
              <w:jc w:val="center"/>
            </w:pPr>
            <w:r>
              <w:rPr>
                <w:rFonts w:ascii="Calibri" w:hAnsi="Calibri"/>
                <w:b w:val="0"/>
                <w:i w:val="0"/>
                <w:sz w:val="18"/>
              </w:rPr>
              <w:t>45 – 59</w:t>
            </w:r>
          </w:p>
        </w:tc>
        <w:tc>
          <w:tcPr>
            <w:tcW w:type="dxa" w:w="1701"/>
            <w:shd w:val="clear" w:color="auto" w:fill="EEF3FB"/>
            <w:vAlign w:val="center"/>
          </w:tcPr>
          <w:p>
            <w:pPr>
              <w:jc w:val="center"/>
            </w:pPr>
            <w:r>
              <w:rPr>
                <w:rFonts w:ascii="Calibri" w:hAnsi="Calibri"/>
                <w:b w:val="0"/>
                <w:i w:val="0"/>
                <w:sz w:val="18"/>
              </w:rPr>
              <w:t>200</w:t>
            </w:r>
          </w:p>
        </w:tc>
        <w:tc>
          <w:tcPr>
            <w:tcW w:type="dxa" w:w="4819"/>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30 – 44</w:t>
            </w:r>
          </w:p>
        </w:tc>
        <w:tc>
          <w:tcPr>
            <w:tcW w:type="dxa" w:w="1701"/>
            <w:vAlign w:val="center"/>
          </w:tcPr>
          <w:p>
            <w:pPr>
              <w:jc w:val="center"/>
            </w:pPr>
            <w:r>
              <w:rPr>
                <w:rFonts w:ascii="Calibri" w:hAnsi="Calibri"/>
                <w:b w:val="0"/>
                <w:i w:val="0"/>
                <w:sz w:val="18"/>
              </w:rPr>
              <w:t>250</w:t>
            </w:r>
          </w:p>
        </w:tc>
        <w:tc>
          <w:tcPr>
            <w:tcW w:type="dxa" w:w="4819"/>
            <w:vAlign w:val="center"/>
          </w:tcPr>
          <w:p>
            <w:pPr>
              <w:jc w:val="center"/>
            </w:pPr>
            <w:r>
              <w:rPr>
                <w:rFonts w:ascii="Calibri" w:hAnsi="Calibri"/>
                <w:b w:val="0"/>
                <w:i w:val="0"/>
                <w:sz w:val="18"/>
              </w:rPr>
              <w:t>Aproximando-se do prazo</w:t>
            </w:r>
          </w:p>
        </w:tc>
      </w:tr>
      <w:tr>
        <w:tc>
          <w:tcPr>
            <w:tcW w:type="dxa" w:w="1984"/>
            <w:shd w:val="clear" w:color="auto" w:fill="EEF3FB"/>
            <w:vAlign w:val="center"/>
          </w:tcPr>
          <w:p>
            <w:pPr>
              <w:jc w:val="center"/>
            </w:pPr>
            <w:r>
              <w:rPr>
                <w:rFonts w:ascii="Calibri" w:hAnsi="Calibri"/>
                <w:b w:val="0"/>
                <w:i w:val="0"/>
                <w:sz w:val="18"/>
              </w:rPr>
              <w:t>15 – 29</w:t>
            </w:r>
          </w:p>
        </w:tc>
        <w:tc>
          <w:tcPr>
            <w:tcW w:type="dxa" w:w="1701"/>
            <w:shd w:val="clear" w:color="auto" w:fill="EEF3FB"/>
            <w:vAlign w:val="center"/>
          </w:tcPr>
          <w:p>
            <w:pPr>
              <w:jc w:val="center"/>
            </w:pPr>
            <w:r>
              <w:rPr>
                <w:rFonts w:ascii="Calibri" w:hAnsi="Calibri"/>
                <w:b w:val="0"/>
                <w:i w:val="0"/>
                <w:sz w:val="18"/>
              </w:rPr>
              <w:t>550</w:t>
            </w:r>
          </w:p>
        </w:tc>
        <w:tc>
          <w:tcPr>
            <w:tcW w:type="dxa" w:w="4819"/>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0 – 14</w:t>
            </w:r>
          </w:p>
        </w:tc>
        <w:tc>
          <w:tcPr>
            <w:tcW w:type="dxa" w:w="1701"/>
            <w:vAlign w:val="center"/>
          </w:tcPr>
          <w:p>
            <w:pPr>
              <w:jc w:val="center"/>
            </w:pPr>
            <w:r>
              <w:rPr>
                <w:rFonts w:ascii="Calibri" w:hAnsi="Calibri"/>
                <w:b w:val="0"/>
                <w:i w:val="0"/>
                <w:sz w:val="18"/>
              </w:rPr>
              <w:t>800</w:t>
            </w:r>
          </w:p>
        </w:tc>
        <w:tc>
          <w:tcPr>
            <w:tcW w:type="dxa" w:w="4819"/>
            <w:vAlign w:val="center"/>
          </w:tcPr>
          <w:p>
            <w:pPr>
              <w:jc w:val="center"/>
            </w:pPr>
            <w:r>
              <w:rPr>
                <w:rFonts w:ascii="Calibri" w:hAnsi="Calibri"/>
                <w:b w:val="0"/>
                <w:i w:val="0"/>
                <w:sz w:val="18"/>
              </w:rPr>
              <w:t>Prestes a vencer o prazo</w:t>
            </w:r>
          </w:p>
        </w:tc>
      </w:tr>
      <w:tr>
        <w:tc>
          <w:tcPr>
            <w:tcW w:type="dxa" w:w="1984"/>
            <w:shd w:val="clear" w:color="auto" w:fill="EEF3FB"/>
            <w:vAlign w:val="center"/>
          </w:tcPr>
          <w:p>
            <w:pPr>
              <w:jc w:val="center"/>
            </w:pPr>
            <w:r>
              <w:rPr>
                <w:rFonts w:ascii="Calibri" w:hAnsi="Calibri"/>
                <w:b w:val="0"/>
                <w:i w:val="0"/>
                <w:sz w:val="18"/>
              </w:rPr>
              <w:t>−15 – −1</w:t>
            </w:r>
          </w:p>
        </w:tc>
        <w:tc>
          <w:tcPr>
            <w:tcW w:type="dxa" w:w="1701"/>
            <w:shd w:val="clear" w:color="auto" w:fill="EEF3FB"/>
            <w:vAlign w:val="center"/>
          </w:tcPr>
          <w:p>
            <w:pPr>
              <w:jc w:val="center"/>
            </w:pPr>
            <w:r>
              <w:rPr>
                <w:rFonts w:ascii="Calibri" w:hAnsi="Calibri"/>
                <w:b w:val="0"/>
                <w:i w:val="0"/>
                <w:sz w:val="18"/>
              </w:rPr>
              <w:t>1 000</w:t>
            </w:r>
          </w:p>
        </w:tc>
        <w:tc>
          <w:tcPr>
            <w:tcW w:type="dxa" w:w="4819"/>
            <w:shd w:val="clear" w:color="auto" w:fill="EEF3FB"/>
            <w:vAlign w:val="center"/>
          </w:tcPr>
          <w:p>
            <w:pPr>
              <w:jc w:val="center"/>
            </w:pPr>
            <w:r>
              <w:rPr>
                <w:rFonts w:ascii="Calibri" w:hAnsi="Calibri"/>
                <w:b w:val="0"/>
                <w:i w:val="0"/>
                <w:sz w:val="18"/>
              </w:rPr>
              <w:t>Vencido há &lt; 15 dias</w:t>
            </w:r>
          </w:p>
        </w:tc>
      </w:tr>
      <w:tr>
        <w:tc>
          <w:tcPr>
            <w:tcW w:type="dxa" w:w="1984"/>
            <w:vAlign w:val="center"/>
          </w:tcPr>
          <w:p>
            <w:pPr>
              <w:jc w:val="center"/>
            </w:pPr>
            <w:r>
              <w:rPr>
                <w:rFonts w:ascii="Calibri" w:hAnsi="Calibri"/>
                <w:b w:val="0"/>
                <w:i w:val="0"/>
                <w:sz w:val="18"/>
              </w:rPr>
              <w:t>−30 – −16</w:t>
            </w:r>
          </w:p>
        </w:tc>
        <w:tc>
          <w:tcPr>
            <w:tcW w:type="dxa" w:w="1701"/>
            <w:vAlign w:val="center"/>
          </w:tcPr>
          <w:p>
            <w:pPr>
              <w:jc w:val="center"/>
            </w:pPr>
            <w:r>
              <w:rPr>
                <w:rFonts w:ascii="Calibri" w:hAnsi="Calibri"/>
                <w:b w:val="0"/>
                <w:i w:val="0"/>
                <w:sz w:val="18"/>
              </w:rPr>
              <w:t>1 500</w:t>
            </w:r>
          </w:p>
        </w:tc>
        <w:tc>
          <w:tcPr>
            <w:tcW w:type="dxa" w:w="4819"/>
            <w:vAlign w:val="center"/>
          </w:tcPr>
          <w:p>
            <w:pPr>
              <w:jc w:val="center"/>
            </w:pPr>
            <w:r>
              <w:rPr>
                <w:rFonts w:ascii="Calibri" w:hAnsi="Calibri"/>
                <w:b w:val="0"/>
                <w:i w:val="0"/>
                <w:sz w:val="18"/>
              </w:rPr>
              <w:t>—</w:t>
            </w:r>
          </w:p>
        </w:tc>
      </w:tr>
      <w:tr>
        <w:tc>
          <w:tcPr>
            <w:tcW w:type="dxa" w:w="1984"/>
            <w:shd w:val="clear" w:color="auto" w:fill="EEF3FB"/>
            <w:vAlign w:val="center"/>
          </w:tcPr>
          <w:p>
            <w:pPr>
              <w:jc w:val="center"/>
            </w:pPr>
            <w:r>
              <w:rPr>
                <w:rFonts w:ascii="Calibri" w:hAnsi="Calibri"/>
                <w:b w:val="0"/>
                <w:i w:val="0"/>
                <w:sz w:val="18"/>
              </w:rPr>
              <w:t>−45 – −31</w:t>
            </w:r>
          </w:p>
        </w:tc>
        <w:tc>
          <w:tcPr>
            <w:tcW w:type="dxa" w:w="1701"/>
            <w:shd w:val="clear" w:color="auto" w:fill="EEF3FB"/>
            <w:vAlign w:val="center"/>
          </w:tcPr>
          <w:p>
            <w:pPr>
              <w:jc w:val="center"/>
            </w:pPr>
            <w:r>
              <w:rPr>
                <w:rFonts w:ascii="Calibri" w:hAnsi="Calibri"/>
                <w:b w:val="0"/>
                <w:i w:val="0"/>
                <w:sz w:val="18"/>
              </w:rPr>
              <w:t>2 000</w:t>
            </w:r>
          </w:p>
        </w:tc>
        <w:tc>
          <w:tcPr>
            <w:tcW w:type="dxa" w:w="4819"/>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&lt; −45</w:t>
            </w:r>
          </w:p>
        </w:tc>
        <w:tc>
          <w:tcPr>
            <w:tcW w:type="dxa" w:w="1701"/>
            <w:vAlign w:val="center"/>
          </w:tcPr>
          <w:p>
            <w:pPr>
              <w:jc w:val="center"/>
            </w:pPr>
            <w:r>
              <w:rPr>
                <w:rFonts w:ascii="Calibri" w:hAnsi="Calibri"/>
                <w:b w:val="0"/>
                <w:i w:val="0"/>
                <w:sz w:val="18"/>
              </w:rPr>
              <w:t>2000+20·|dd+45|</w:t>
            </w:r>
          </w:p>
        </w:tc>
        <w:tc>
          <w:tcPr>
            <w:tcW w:type="dxa" w:w="4819"/>
            <w:vAlign w:val="center"/>
          </w:tcPr>
          <w:p>
            <w:pPr>
              <w:jc w:val="center"/>
            </w:pPr>
            <w:r>
              <w:rPr>
                <w:rFonts w:ascii="Calibri" w:hAnsi="Calibri"/>
                <w:b w:val="0"/>
                <w:i w:val="0"/>
                <w:sz w:val="18"/>
              </w:rPr>
              <w:t>Vencido há muito — crescimento linear</w:t>
            </w:r>
          </w:p>
        </w:tc>
      </w:tr>
    </w:tbl>
    <w:p>
      <w:pPr>
        <w:spacing w:after="40"/>
      </w:pPr>
    </w:p>
    <w:p>
      <w:pPr>
        <w:spacing w:before="0" w:after="120"/>
        <w:ind w:left="283"/>
        <w:jc w:val="both"/>
      </w:pPr>
      <w:r>
        <w:rPr>
          <w:rFonts w:ascii="Calibri" w:hAnsi="Calibri"/>
          <w:b w:val="0"/>
          <w:i/>
          <w:color w:val="595959"/>
          <w:sz w:val="18"/>
        </w:rPr>
        <w:t>Nota: Tabela 9 — Curva de penalização PenaltyCurve (src/model/penalty.py).</w:t>
      </w:r>
    </w:p>
    <w:p>
      <w:pPr>
        <w:spacing w:before="200" w:after="80"/>
      </w:pPr>
      <w:r>
        <w:rPr>
          <w:rFonts w:ascii="Calibri" w:hAnsi="Calibri"/>
          <w:b/>
          <w:i w:val="0"/>
          <w:color w:val="1F497D"/>
          <w:sz w:val="26"/>
        </w:rPr>
        <w:t>4.3  Restrições C1–C10</w:t>
      </w:r>
    </w:p>
    <w:p>
      <w:pPr>
        <w:spacing w:after="120" w:before="0" w:lineRule="auto" w:line="276"/>
        <w:jc w:val="both"/>
      </w:pPr>
      <w:r>
        <w:rPr>
          <w:rFonts w:ascii="Calibri" w:hAnsi="Calibri"/>
          <w:b/>
          <w:i w:val="0"/>
          <w:sz w:val="22"/>
        </w:rPr>
        <w:t>C1 — No máximo uma ocorrência por doente por semana:</w:t>
      </w:r>
    </w:p>
    <w:p>
      <w:pPr>
        <w:spacing w:before="60" w:after="60"/>
        <w:jc w:val="center"/>
      </w:pPr>
      <w:r>
        <w:rPr>
          <w:rFonts w:ascii="Courier New" w:hAnsi="Courier New"/>
          <w:b w:val="0"/>
          <w:i w:val="0"/>
          <w:sz w:val="19"/>
        </w:rPr>
        <w:t>Σ_{c: doente(c)=n} Σ_{d,r} x_{cdr} ≤ 1    ∀ n ∈ doentes</w:t>
      </w:r>
    </w:p>
    <w:p>
      <w:pPr>
        <w:spacing w:after="120" w:before="0" w:lineRule="auto" w:line="276"/>
        <w:jc w:val="both"/>
      </w:pPr>
      <w:r>
        <w:rPr>
          <w:rFonts w:ascii="Calibri" w:hAnsi="Calibri"/>
          <w:b/>
          <w:i w:val="0"/>
          <w:sz w:val="22"/>
        </w:rPr>
        <w:t>C2 — Casos P4 operam obrigatoriamente no Dia 1 (2.ª feira):</w:t>
      </w:r>
    </w:p>
    <w:p>
      <w:pPr>
        <w:spacing w:before="60" w:after="60"/>
        <w:jc w:val="center"/>
      </w:pPr>
      <w:r>
        <w:rPr>
          <w:rFonts w:ascii="Courier New" w:hAnsi="Courier New"/>
          <w:b w:val="0"/>
          <w:i w:val="0"/>
          <w:sz w:val="19"/>
        </w:rPr>
        <w:t>Σ_r x_{c,1,r} = 1         ∀ c : pₒ = 4</w:t>
      </w:r>
    </w:p>
    <w:p>
      <w:pPr>
        <w:spacing w:before="60" w:after="60"/>
        <w:jc w:val="center"/>
      </w:pPr>
      <w:r>
        <w:rPr>
          <w:rFonts w:ascii="Courier New" w:hAnsi="Courier New"/>
          <w:b w:val="0"/>
          <w:i w:val="0"/>
          <w:sz w:val="19"/>
        </w:rPr>
        <w:t>x_{c,d,r}     = 0         ∀ c : pₒ = 4, d ≠ 1</w:t>
      </w:r>
    </w:p>
    <w:p>
      <w:pPr>
        <w:spacing w:after="120" w:before="0" w:lineRule="auto" w:line="276"/>
        <w:jc w:val="both"/>
      </w:pPr>
      <w:r>
        <w:rPr>
          <w:rFonts w:ascii="Calibri" w:hAnsi="Calibri"/>
          <w:b/>
          <w:i w:val="0"/>
          <w:sz w:val="22"/>
        </w:rPr>
        <w:t>C3 — Cada caso (≠P4) é agendado exactamente uma vez ou contabilizado como não agendado:</w:t>
      </w:r>
    </w:p>
    <w:p>
      <w:pPr>
        <w:spacing w:before="60" w:after="60"/>
        <w:jc w:val="center"/>
      </w:pPr>
      <w:r>
        <w:rPr>
          <w:rFonts w:ascii="Courier New" w:hAnsi="Courier New"/>
          <w:b w:val="0"/>
          <w:i w:val="0"/>
          <w:sz w:val="19"/>
        </w:rPr>
        <w:t>Σ_{d∈Dₒ, r} x_{cdr} + z_c = 1    ∀ c : pₒ ≠ 4</w:t>
      </w:r>
    </w:p>
    <w:p>
      <w:pPr>
        <w:spacing w:after="120" w:before="0" w:lineRule="auto" w:line="276"/>
        <w:jc w:val="both"/>
      </w:pPr>
      <w:r>
        <w:rPr>
          <w:rFonts w:ascii="Calibri" w:hAnsi="Calibri"/>
          <w:b/>
          <w:i w:val="0"/>
          <w:sz w:val="22"/>
        </w:rPr>
        <w:t>C4–C6 — Elegibilidade (filtros de pré-processamento, não linhas de restrição):</w:t>
      </w:r>
    </w:p>
    <w:p>
      <w:pPr>
        <w:pStyle w:val="ListBullet"/>
        <w:spacing w:after="60" w:before="0"/>
        <w:ind w:left="454"/>
      </w:pPr>
      <w:r>
        <w:rPr>
          <w:rFonts w:ascii="Calibri" w:hAnsi="Calibri"/>
          <w:b w:val="0"/>
          <w:i w:val="0"/>
          <w:sz w:val="22"/>
        </w:rPr>
        <w:t>C4 — Rosário de sala: a sala r deve pertencer ao mesmo serviço que o caso c no dia d.</w:t>
      </w:r>
    </w:p>
    <w:p>
      <w:pPr>
        <w:pStyle w:val="ListBullet"/>
        <w:spacing w:after="60" w:before="0"/>
        <w:ind w:left="454"/>
      </w:pPr>
      <w:r>
        <w:rPr>
          <w:rFonts w:ascii="Calibri" w:hAnsi="Calibri"/>
          <w:b w:val="0"/>
          <w:i w:val="0"/>
          <w:sz w:val="22"/>
        </w:rPr>
        <w:t>C5 — Salas ambulatório: salas marcadas ambulatory_only só podem receber casos de âmbito ambulatório.</w:t>
      </w:r>
    </w:p>
    <w:p>
      <w:pPr>
        <w:pStyle w:val="ListBullet"/>
        <w:spacing w:after="60" w:before="0"/>
        <w:ind w:left="454"/>
      </w:pPr>
      <w:r>
        <w:rPr>
          <w:rFonts w:ascii="Calibri" w:hAnsi="Calibri"/>
          <w:b w:val="0"/>
          <w:i w:val="0"/>
          <w:sz w:val="22"/>
        </w:rPr>
        <w:t>C6 — Bloqueio pediátrico: salas ORL na 6.ª feira só podem receber doentes com idade ≤ 8 anos.</w:t>
      </w:r>
    </w:p>
    <w:p>
      <w:pPr>
        <w:spacing w:after="120" w:before="0" w:lineRule="auto" w:line="276"/>
        <w:jc w:val="both"/>
      </w:pPr>
      <w:r>
        <w:rPr>
          <w:rFonts w:ascii="Calibri" w:hAnsi="Calibri"/>
          <w:b w:val="0"/>
          <w:i w:val="0"/>
          <w:sz w:val="22"/>
        </w:rPr>
        <w:t>Estes três filtros são aplicados antes da criação de qualquer variável — trernas (c,d,r) que não passem nenhum filtro nunca recebem uma variável x_{cdr}. É a principal fonte de redução do número de variáveis, feita uma única vez no pré-processamento.</w:t>
      </w:r>
    </w:p>
    <w:p>
      <w:pPr>
        <w:spacing w:after="120" w:before="0" w:lineRule="auto" w:line="276"/>
        <w:jc w:val="both"/>
      </w:pPr>
      <w:r>
        <w:rPr>
          <w:rFonts w:ascii="Calibri" w:hAnsi="Calibri"/>
          <w:b/>
          <w:i w:val="0"/>
          <w:sz w:val="22"/>
        </w:rPr>
        <w:t>C7 — Capacidade da sala como soma linear de durações:</w:t>
      </w:r>
    </w:p>
    <w:p>
      <w:pPr>
        <w:spacing w:before="60" w:after="60"/>
        <w:jc w:val="center"/>
      </w:pPr>
      <w:r>
        <w:rPr>
          <w:rFonts w:ascii="Courier New" w:hAnsi="Courier New"/>
          <w:b w:val="0"/>
          <w:i w:val="0"/>
          <w:sz w:val="19"/>
        </w:rPr>
        <w:t>Σ_c t_tot(c) · x_{cdr} ≤ k_{dr}    ∀ d, r</w:t>
      </w:r>
    </w:p>
    <w:p>
      <w:pPr>
        <w:spacing w:after="120" w:before="0" w:lineRule="auto" w:line="276"/>
        <w:jc w:val="both"/>
      </w:pPr>
      <w:r>
        <w:rPr>
          <w:rFonts w:ascii="Calibri" w:hAnsi="Calibri"/>
          <w:b w:val="0"/>
          <w:i w:val="0"/>
          <w:sz w:val="22"/>
        </w:rPr>
        <w:t>Para uma única sala não partilhada, esta restrição é equivalente à não-sobreposição exacta — qualquer conjunto de durações que caiba pode ser sequenciado. Esta equivalência desaparece para o equipamento partilhado (C10 abaixo).</w:t>
      </w:r>
    </w:p>
    <w:p>
      <w:pPr>
        <w:spacing w:after="120" w:before="0" w:lineRule="auto" w:line="276"/>
        <w:jc w:val="both"/>
      </w:pPr>
      <w:r>
        <w:rPr>
          <w:rFonts w:ascii="Calibri" w:hAnsi="Calibri"/>
          <w:b/>
          <w:i w:val="0"/>
          <w:sz w:val="22"/>
        </w:rPr>
        <w:t>C8 — Cirurgião: limite diário de minutos (sem não-sobreposição explícita):</w:t>
      </w:r>
    </w:p>
    <w:p>
      <w:pPr>
        <w:spacing w:before="60" w:after="60"/>
        <w:jc w:val="center"/>
      </w:pPr>
      <w:r>
        <w:rPr>
          <w:rFonts w:ascii="Courier New" w:hAnsi="Courier New"/>
          <w:b w:val="0"/>
          <w:i w:val="0"/>
          <w:sz w:val="19"/>
        </w:rPr>
        <w:t>Σ_{c: cirurgião(c)=h} Σ_r t_cir(c) · x_{cdr} ≤ k_{hd}    ∀ h, d</w:t>
      </w:r>
    </w:p>
    <w:p>
      <w:pPr>
        <w:spacing w:after="120" w:before="0" w:lineRule="auto" w:line="276"/>
        <w:jc w:val="both"/>
      </w:pPr>
      <w:r>
        <w:rPr>
          <w:rFonts w:ascii="Calibri" w:hAnsi="Calibri"/>
          <w:b w:val="0"/>
          <w:i w:val="0"/>
          <w:sz w:val="22"/>
        </w:rPr>
        <w:t>Um MILP sem variáveis de sequenciamento não consegue expressar não-sobreposição exacta do cirurgião. A formulação disjuntiva 'A-antes-de-B' com big-M resolveria isso, mas a um custo quadrático em variáveis e com enfraquecimento do relaxamento LP. Aqui, apenas o limite de minutos é garantido.</w:t>
      </w:r>
    </w:p>
    <w:p>
      <w:pPr>
        <w:spacing w:after="120" w:before="0" w:lineRule="auto" w:line="276"/>
        <w:jc w:val="both"/>
      </w:pPr>
      <w:r>
        <w:rPr>
          <w:rFonts w:ascii="Calibri" w:hAnsi="Calibri"/>
          <w:b/>
          <w:i w:val="0"/>
          <w:sz w:val="22"/>
        </w:rPr>
        <w:t>C9 — Limite semanal do cirurgião:</w:t>
      </w:r>
    </w:p>
    <w:p>
      <w:pPr>
        <w:spacing w:before="60" w:after="60"/>
        <w:jc w:val="center"/>
      </w:pPr>
      <w:r>
        <w:rPr>
          <w:rFonts w:ascii="Courier New" w:hAnsi="Courier New"/>
          <w:b w:val="0"/>
          <w:i w:val="0"/>
          <w:sz w:val="19"/>
        </w:rPr>
        <w:t>Σ_{c: cirurgião(c)=h} Σ_{d,r} t_cir(c) · x_{cdr} ≤ k_h    ∀ h</w:t>
      </w:r>
    </w:p>
    <w:p>
      <w:pPr>
        <w:spacing w:after="120" w:before="0" w:lineRule="auto" w:line="276"/>
        <w:jc w:val="both"/>
      </w:pPr>
      <w:r>
        <w:rPr>
          <w:rFonts w:ascii="Calibri" w:hAnsi="Calibri"/>
          <w:b/>
          <w:i w:val="0"/>
          <w:sz w:val="22"/>
        </w:rPr>
        <w:t>C10 — Equipamento partilhado: contagem diária de casos (não sobreposição de tempo):</w:t>
      </w:r>
    </w:p>
    <w:p>
      <w:pPr>
        <w:spacing w:before="60" w:after="60"/>
        <w:jc w:val="center"/>
      </w:pPr>
      <w:r>
        <w:rPr>
          <w:rFonts w:ascii="Courier New" w:hAnsi="Courier New"/>
          <w:b w:val="0"/>
          <w:i w:val="0"/>
          <w:sz w:val="19"/>
        </w:rPr>
        <w:t>Σ_{c: u_{ce}=1} Σ_r x_{cdr} ≤ κ_{ed}    ∀ e, d</w:t>
      </w:r>
    </w:p>
    <w:p>
      <w:pPr>
        <w:spacing w:after="120" w:before="40"/>
        <w:ind w:left="227"/>
        <w:jc w:val="both"/>
      </w:pPr>
      <w:r>
        <w:rPr>
          <w:rFonts w:ascii="Calibri" w:hAnsi="Calibri"/>
          <w:b/>
          <w:i w:val="0"/>
          <w:color w:val="B40000"/>
          <w:sz w:val="22"/>
        </w:rPr>
        <w:t xml:space="preserve">DIFERENÇA CRÍTICA face ao CP-SAT: </w:t>
      </w:r>
      <w:r>
        <w:rPr>
          <w:rFonts w:ascii="Calibri" w:hAnsi="Calibri"/>
          <w:b w:val="0"/>
          <w:i w:val="0"/>
          <w:color w:val="B40000"/>
          <w:sz w:val="22"/>
        </w:rPr>
        <w:t>esta restrição conta quantos casos com equipamento e caem num dia — não se os seus horários se sobrepõem efectivamente. Com κ_{ed}=1, proíbe dois casos no mesmo dia mesmo que pudessem ser realizados em sequência sem qualquer sobreposição. Com κ_{ed}=2, permite dois casos mesmo que se sobreponham completamente. É a principal fonte do gap de objectivo medido nos resultados.</w:t>
      </w:r>
    </w:p>
    <w:p>
      <w:pPr>
        <w:spacing w:after="120" w:before="0" w:lineRule="auto" w:line="276"/>
        <w:jc w:val="both"/>
      </w:pPr>
      <w:r>
        <w:rPr>
          <w:rFonts w:ascii="Calibri" w:hAnsi="Calibri"/>
          <w:b/>
          <w:i w:val="0"/>
          <w:color w:val="B40000"/>
          <w:sz w:val="22"/>
        </w:rPr>
        <w:t>C11 — Camas de recuperação/UCI:</w:t>
      </w:r>
    </w:p>
    <w:p>
      <w:pPr>
        <w:spacing w:after="120" w:before="40"/>
        <w:ind w:left="227"/>
        <w:jc w:val="both"/>
      </w:pPr>
      <w:r>
        <w:rPr>
          <w:rFonts w:ascii="Calibri" w:hAnsi="Calibri"/>
          <w:b/>
          <w:i w:val="0"/>
          <w:color w:val="B40000"/>
          <w:sz w:val="22"/>
        </w:rPr>
        <w:t xml:space="preserve">NÃO MODELADA no MILP. </w:t>
      </w:r>
      <w:r>
        <w:rPr>
          <w:rFonts w:ascii="Calibri" w:hAnsi="Calibri"/>
          <w:b w:val="0"/>
          <w:i w:val="0"/>
          <w:color w:val="B40000"/>
          <w:sz w:val="22"/>
        </w:rPr>
        <w:t>Um modelo de dia-baldes não tem nenhuma variável que represente 'dia de cirurgia' como valor — só como índice ao qual um binário está associado. Por isso não é possível escrever 'ocupar uma cama durante los_c dias a partir do dia em que este caso for agendado' sem que o modelo seja reformulado como intervalar. Esta é, mais do que o gap do equipamento, a razão estrutural mais importante pela qual o modelo CP-SAT foi adoptado como modelo principal.</w:t>
      </w:r>
    </w:p>
    <w:p>
      <w:r>
        <w:br w:type="page"/>
      </w:r>
    </w:p>
    <w:p>
      <w:pPr>
        <w:spacing w:before="320" w:after="80"/>
      </w:pPr>
      <w:r>
        <w:rPr>
          <w:rFonts w:ascii="Calibri" w:hAnsi="Calibri"/>
          <w:b/>
          <w:i w:val="0"/>
          <w:color w:val="1F497D"/>
          <w:sz w:val="32"/>
        </w:rPr>
        <w:t>5. Formulação CP-SAT Completa (Modelo Principal)</w:t>
      </w:r>
    </w:p>
    <w:p>
      <w:pPr>
        <w:spacing w:after="120" w:before="0" w:lineRule="auto" w:line="276"/>
        <w:jc w:val="both"/>
      </w:pPr>
      <w:r>
        <w:rPr>
          <w:rFonts w:ascii="Calibri" w:hAnsi="Calibri"/>
          <w:b w:val="0"/>
          <w:i w:val="0"/>
          <w:sz w:val="22"/>
        </w:rPr>
        <w:t>Implementado em src/solvers/cp_sat_interval_solver.py. Cada restrição abaixo carrega o mesmo número C-N que o comentário ao lado no código — os dois lêem-se em paralelo sem ambiguidade.</w:t>
      </w:r>
    </w:p>
    <w:p>
      <w:pPr>
        <w:spacing w:before="200" w:after="80"/>
      </w:pPr>
      <w:r>
        <w:rPr>
          <w:rFonts w:ascii="Calibri" w:hAnsi="Calibri"/>
          <w:b/>
          <w:i w:val="0"/>
          <w:color w:val="1F497D"/>
          <w:sz w:val="26"/>
        </w:rPr>
        <w:t>5.1  Variáveis de Decisão</w:t>
      </w:r>
    </w:p>
    <w:p>
      <w:pPr>
        <w:spacing w:after="120" w:before="0" w:lineRule="auto" w:line="276"/>
        <w:jc w:val="both"/>
      </w:pPr>
      <w:r>
        <w:rPr>
          <w:rFonts w:ascii="Calibri" w:hAnsi="Calibri"/>
          <w:b w:val="0"/>
          <w:i w:val="0"/>
          <w:sz w:val="22"/>
        </w:rPr>
        <w:t>Para cada terna (c, d, r) que sobrevive ao filtro de elegibilidade C4–C6 (mesmo filtro do MILP — redução do número de variáveis feita em pré-processamento):</w:t>
      </w:r>
    </w:p>
    <w:p>
      <w:pPr>
        <w:spacing w:before="60" w:after="60"/>
        <w:jc w:val="center"/>
      </w:pPr>
      <w:r>
        <w:rPr>
          <w:rFonts w:ascii="Courier New" w:hAnsi="Courier New"/>
          <w:b w:val="0"/>
          <w:i w:val="0"/>
          <w:sz w:val="19"/>
        </w:rPr>
        <w:t>pr_{cdr} ∈ {0,1}    —  presença (1 = caso c está agendado na sala r no dia d)</w:t>
      </w:r>
    </w:p>
    <w:p>
      <w:pPr>
        <w:spacing w:before="60" w:after="60"/>
        <w:jc w:val="center"/>
      </w:pPr>
      <w:r>
        <w:rPr>
          <w:rFonts w:ascii="Courier New" w:hAnsi="Courier New"/>
          <w:b w:val="0"/>
          <w:i w:val="0"/>
          <w:sz w:val="19"/>
        </w:rPr>
        <w:t>start_{cdr} ∈ [0, k_{dr} - t_tot(c)]   —  início do caso (domínio apertado)</w:t>
      </w:r>
    </w:p>
    <w:p>
      <w:pPr>
        <w:spacing w:after="120" w:before="0" w:lineRule="auto" w:line="276"/>
        <w:jc w:val="both"/>
      </w:pPr>
      <w:r>
        <w:rPr>
          <w:rFonts w:ascii="Calibri" w:hAnsi="Calibri"/>
          <w:b w:val="0"/>
          <w:i w:val="0"/>
          <w:sz w:val="22"/>
        </w:rPr>
        <w:t>Dois intervalos partilham o mesmo tempo de início mas têm fins diferentes, representando dois recursos distintos:</w:t>
      </w:r>
    </w:p>
    <w:p>
      <w:pPr>
        <w:spacing w:before="60" w:after="60"/>
        <w:jc w:val="center"/>
      </w:pPr>
      <w:r>
        <w:rPr>
          <w:rFonts w:ascii="Courier New" w:hAnsi="Courier New"/>
          <w:b w:val="0"/>
          <w:i w:val="0"/>
          <w:sz w:val="19"/>
        </w:rPr>
        <w:t>iv_{cdr}  = NewOptionalIntervalVar(start_{cdr}, t_tot(c), end_{cdr},  pr_{cdr})  —  SALA</w:t>
      </w:r>
    </w:p>
    <w:p>
      <w:pPr>
        <w:spacing w:before="60" w:after="60"/>
        <w:jc w:val="center"/>
      </w:pPr>
      <w:r>
        <w:rPr>
          <w:rFonts w:ascii="Courier New" w:hAnsi="Courier New"/>
          <w:b w:val="0"/>
          <w:i w:val="0"/>
          <w:sz w:val="19"/>
        </w:rPr>
        <w:t>sgiv_{cdr}= NewOptionalIntervalVar(start_{cdr}, t_cir(c), sgend_{cdr},pr_{cdr})  —  CIRURGIÃO</w:t>
      </w:r>
    </w:p>
    <w:p>
      <w:pPr>
        <w:spacing w:after="120" w:before="0" w:lineRule="auto" w:line="276"/>
        <w:jc w:val="both"/>
      </w:pPr>
      <w:r>
        <w:rPr>
          <w:rFonts w:ascii="Calibri" w:hAnsi="Calibri"/>
          <w:b w:val="0"/>
          <w:i w:val="0"/>
          <w:sz w:val="22"/>
        </w:rPr>
        <w:t>O intervalo da sala tem comprimento t_tot (operação + limpeza). O intervalo do cirurgião tem comprimento t_cir (só a operação). Ambos têm o mesmo start — o solver propaga 'o início deste caso está fixado pela sala' para 'o que também restringe o cirurgião', e vice-versa, sem uma restrição de ligação explícita.</w:t>
      </w:r>
    </w:p>
    <w:p>
      <w:pPr>
        <w:spacing w:after="120" w:before="0" w:lineRule="auto" w:line="276"/>
        <w:jc w:val="both"/>
      </w:pPr>
      <w:r>
        <w:rPr>
          <w:rFonts w:ascii="Calibri" w:hAnsi="Calibri"/>
          <w:b w:val="0"/>
          <w:i w:val="0"/>
          <w:sz w:val="22"/>
        </w:rPr>
        <w:t>A razão para dois intervalos: a sala precisa de ficar bloqueada durante a limpeza, mas o cirurgião fica livre logo que a operação termina. Um cirurgião pode ir para outra sala enquanto a equipa de limpeza ainda trabalha na primeira. Colapsar os dois para um único intervalo proibiria incorrectamente essa sobreposição sala-cirurgião legítima.</w:t>
      </w:r>
    </w:p>
    <w:p>
      <w:pPr>
        <w:spacing w:after="120" w:before="0" w:lineRule="auto" w:line="276"/>
        <w:jc w:val="both"/>
      </w:pPr>
      <w:r>
        <w:rPr>
          <w:rFonts w:ascii="Calibri" w:hAnsi="Calibri"/>
          <w:b w:val="0"/>
          <w:i w:val="0"/>
          <w:sz w:val="22"/>
        </w:rPr>
        <w:t>Para casos que não são P4, uma variável de não agendamento:</w:t>
      </w:r>
    </w:p>
    <w:p>
      <w:pPr>
        <w:spacing w:before="60" w:after="60"/>
        <w:jc w:val="center"/>
      </w:pPr>
      <w:r>
        <w:rPr>
          <w:rFonts w:ascii="Courier New" w:hAnsi="Courier New"/>
          <w:b w:val="0"/>
          <w:i w:val="0"/>
          <w:sz w:val="19"/>
        </w:rPr>
        <w:t>u_c ∈ {0,1}    com    Σ_{d,r} pr_{cdr} + u_c = 1    ∀ c : pₒ ≠ 4</w:t>
      </w:r>
    </w:p>
    <w:p>
      <w:pPr>
        <w:spacing w:before="200" w:after="80"/>
      </w:pPr>
      <w:r>
        <w:rPr>
          <w:rFonts w:ascii="Calibri" w:hAnsi="Calibri"/>
          <w:b/>
          <w:i w:val="0"/>
          <w:color w:val="1F497D"/>
          <w:sz w:val="26"/>
        </w:rPr>
        <w:t>5.2  Função Objectivo</w:t>
      </w:r>
    </w:p>
    <w:p>
      <w:pPr>
        <w:spacing w:before="60" w:after="60"/>
        <w:jc w:val="center"/>
      </w:pPr>
      <w:r>
        <w:rPr>
          <w:rFonts w:ascii="Courier New" w:hAnsi="Courier New"/>
          <w:b w:val="0"/>
          <w:i w:val="0"/>
          <w:sz w:val="19"/>
        </w:rPr>
        <w:t>min  Σ_{c: dd_c≥0} Σ_{d,r} [dd_c + d] · pr_{cdr}              [Termo 1]</w:t>
      </w:r>
    </w:p>
    <w:p>
      <w:pPr>
        <w:spacing w:before="60" w:after="60"/>
        <w:jc w:val="center"/>
      </w:pPr>
      <w:r>
        <w:rPr>
          <w:rFonts w:ascii="Courier New" w:hAnsi="Courier New"/>
          <w:b w:val="0"/>
          <w:i w:val="0"/>
          <w:sz w:val="19"/>
        </w:rPr>
        <w:t xml:space="preserve">   + Σ_{c: dd_c&lt;0} Σ_{d,r} [dd_c + α·d] · pr_{cdr}            [Termo 2]</w:t>
      </w:r>
    </w:p>
    <w:p>
      <w:pPr>
        <w:spacing w:before="60" w:after="60"/>
        <w:jc w:val="center"/>
      </w:pPr>
      <w:r>
        <w:rPr>
          <w:rFonts w:ascii="Courier New" w:hAnsi="Courier New"/>
          <w:b w:val="0"/>
          <w:i w:val="0"/>
          <w:sz w:val="19"/>
        </w:rPr>
        <w:t xml:space="preserve">   + Σ_{c: pₒ≠4}  w_c · u_c                                    [Termo 3]</w:t>
      </w:r>
    </w:p>
    <w:p>
      <w:pPr>
        <w:spacing w:before="60" w:after="60"/>
        <w:jc w:val="center"/>
      </w:pPr>
      <w:r>
        <w:rPr>
          <w:rFonts w:ascii="Courier New" w:hAnsi="Courier New"/>
          <w:b w:val="0"/>
          <w:i w:val="0"/>
          <w:sz w:val="19"/>
        </w:rPr>
        <w:t xml:space="preserve">   + π_ovf · Σ_{c: ρ(c)≠none}  overflow_c                      [Termo 4]</w:t>
      </w:r>
    </w:p>
    <w:p>
      <w:pPr>
        <w:spacing w:after="120" w:before="0" w:lineRule="auto" w:line="276"/>
        <w:jc w:val="both"/>
      </w:pPr>
      <w:r>
        <w:rPr>
          <w:rFonts w:ascii="Calibri" w:hAnsi="Calibri"/>
          <w:b w:val="0"/>
          <w:i w:val="0"/>
          <w:sz w:val="22"/>
        </w:rPr>
        <w:t>Termos 1–3: idênticos em forma ao MILP (§4.2), avaliados pela mesma função src/model/penalty.py. O CP-SAT exige coeficientes objectivo inteiros — cada termo é arredondado ao inteiro mais próximo em tempo de construção do modelo; às magnitudes de coeficiente aqui presentes (dezenas a baixos milhares) o erro de arredondamento é inferior a 1 por termo.</w:t>
      </w:r>
    </w:p>
    <w:p>
      <w:pPr>
        <w:spacing w:after="120" w:before="0" w:lineRule="auto" w:line="276"/>
        <w:jc w:val="both"/>
      </w:pPr>
      <w:r>
        <w:rPr>
          <w:rFonts w:ascii="Calibri" w:hAnsi="Calibri"/>
          <w:b w:val="0"/>
          <w:i w:val="0"/>
          <w:sz w:val="22"/>
        </w:rPr>
        <w:t>Termo 4 — overflow de camas: penalty por dia de estadia de recuperação que ultrapasse o horizonte semanal. overflow_c = max(0, dayof_c + los_c − n_dias), via AddMaxEquality.</w:t>
      </w:r>
    </w:p>
    <w:p>
      <w:pPr>
        <w:spacing w:before="200" w:after="80"/>
      </w:pPr>
      <w:r>
        <w:rPr>
          <w:rFonts w:ascii="Calibri" w:hAnsi="Calibri"/>
          <w:b/>
          <w:i w:val="0"/>
          <w:color w:val="1F497D"/>
          <w:sz w:val="26"/>
        </w:rPr>
        <w:t>5.3  Restrições C1–C11</w:t>
      </w:r>
    </w:p>
    <w:p>
      <w:pPr>
        <w:spacing w:after="120" w:before="0" w:lineRule="auto" w:line="276"/>
        <w:jc w:val="both"/>
      </w:pPr>
      <w:r>
        <w:rPr>
          <w:rFonts w:ascii="Calibri" w:hAnsi="Calibri"/>
          <w:b/>
          <w:i w:val="0"/>
          <w:sz w:val="22"/>
        </w:rPr>
        <w:t>C1 — No máximo uma ocorrência por doente por semana:</w:t>
      </w:r>
    </w:p>
    <w:p>
      <w:pPr>
        <w:spacing w:before="60" w:after="60"/>
        <w:jc w:val="center"/>
      </w:pPr>
      <w:r>
        <w:rPr>
          <w:rFonts w:ascii="Courier New" w:hAnsi="Courier New"/>
          <w:b w:val="0"/>
          <w:i w:val="0"/>
          <w:sz w:val="19"/>
        </w:rPr>
        <w:t>Σ_{c: doente(c)=n} Σ_{d,r} pr_{cdr} ≤ 1    ∀ n</w:t>
      </w:r>
    </w:p>
    <w:p>
      <w:pPr>
        <w:spacing w:after="120" w:before="0" w:lineRule="auto" w:line="276"/>
        <w:jc w:val="both"/>
      </w:pPr>
      <w:r>
        <w:rPr>
          <w:rFonts w:ascii="Calibri" w:hAnsi="Calibri"/>
          <w:b/>
          <w:i w:val="0"/>
          <w:sz w:val="22"/>
        </w:rPr>
        <w:t>C2 — Casos P4 operam obrigatoriamente no Dia 1:</w:t>
      </w:r>
    </w:p>
    <w:p>
      <w:pPr>
        <w:spacing w:before="60" w:after="60"/>
        <w:jc w:val="center"/>
      </w:pPr>
      <w:r>
        <w:rPr>
          <w:rFonts w:ascii="Courier New" w:hAnsi="Courier New"/>
          <w:b w:val="0"/>
          <w:i w:val="0"/>
          <w:sz w:val="19"/>
        </w:rPr>
        <w:t>Σ_r pr_{c,1,r} = 1    ∀ c : pₒ = 4</w:t>
      </w:r>
    </w:p>
    <w:p>
      <w:pPr>
        <w:spacing w:before="60" w:after="60"/>
        <w:jc w:val="center"/>
      </w:pPr>
      <w:r>
        <w:rPr>
          <w:rFonts w:ascii="Courier New" w:hAnsi="Courier New"/>
          <w:b w:val="0"/>
          <w:i w:val="0"/>
          <w:sz w:val="19"/>
        </w:rPr>
        <w:t>pr_{c,d,r}     = 0    ∀ c : pₒ = 4, d ≠ 1  (todos os outros candidatos forçados a 0)</w:t>
      </w:r>
    </w:p>
    <w:p>
      <w:pPr>
        <w:spacing w:after="120" w:before="0" w:lineRule="auto" w:line="276"/>
        <w:jc w:val="both"/>
      </w:pPr>
      <w:r>
        <w:rPr>
          <w:rFonts w:ascii="Calibri" w:hAnsi="Calibri"/>
          <w:b/>
          <w:i w:val="0"/>
          <w:sz w:val="22"/>
        </w:rPr>
        <w:t>C3 — Cada caso ≠P4 é agendado exactamente uma vez ou contabilizado como não agendado:</w:t>
      </w:r>
    </w:p>
    <w:p>
      <w:pPr>
        <w:spacing w:before="60" w:after="60"/>
        <w:jc w:val="center"/>
      </w:pPr>
      <w:r>
        <w:rPr>
          <w:rFonts w:ascii="Courier New" w:hAnsi="Courier New"/>
          <w:b w:val="0"/>
          <w:i w:val="0"/>
          <w:sz w:val="19"/>
        </w:rPr>
        <w:t>Σ_{d∈Dₒ, r} pr_{cdr} + u_c = 1    ∀ c : pₒ ≠ 4</w:t>
      </w:r>
    </w:p>
    <w:p>
      <w:pPr>
        <w:spacing w:after="120" w:before="0" w:lineRule="auto" w:line="276"/>
        <w:jc w:val="both"/>
      </w:pPr>
      <w:r>
        <w:rPr>
          <w:rFonts w:ascii="Calibri" w:hAnsi="Calibri"/>
          <w:b/>
          <w:i w:val="0"/>
          <w:sz w:val="22"/>
        </w:rPr>
        <w:t>C4–C6 — Elegibilidade:</w:t>
      </w:r>
    </w:p>
    <w:p>
      <w:pPr>
        <w:spacing w:after="120" w:before="0" w:lineRule="auto" w:line="276"/>
        <w:jc w:val="both"/>
      </w:pPr>
      <w:r>
        <w:rPr>
          <w:rFonts w:ascii="Calibri" w:hAnsi="Calibri"/>
          <w:b w:val="0"/>
          <w:i w:val="0"/>
          <w:sz w:val="22"/>
        </w:rPr>
        <w:t>Idênticos ao MILP (rosário de sala, âmbito ambulatório, bloqueio pediátrico). Avaliados como predicados de pré-processamento — trernas (c,d,r) inelegíveis nunca recebem variáveis pr_{cdr}.</w:t>
      </w:r>
    </w:p>
    <w:p>
      <w:pPr>
        <w:spacing w:after="120" w:before="0" w:lineRule="auto" w:line="276"/>
        <w:jc w:val="both"/>
      </w:pPr>
      <w:r>
        <w:rPr>
          <w:rFonts w:ascii="Calibri" w:hAnsi="Calibri"/>
          <w:b/>
          <w:i w:val="0"/>
          <w:sz w:val="22"/>
        </w:rPr>
        <w:t>C7 — Não-sobreposição exacta de sala (AddNoOverlap sobre intervalos de sala):</w:t>
      </w:r>
    </w:p>
    <w:p>
      <w:pPr>
        <w:spacing w:before="60" w:after="60"/>
        <w:jc w:val="center"/>
      </w:pPr>
      <w:r>
        <w:rPr>
          <w:rFonts w:ascii="Courier New" w:hAnsi="Courier New"/>
          <w:b w:val="0"/>
          <w:i w:val="0"/>
          <w:sz w:val="19"/>
        </w:rPr>
        <w:t>AddNoOverlap( {iv_{cdr} : d, r fixos} )    ∀ d, r</w:t>
      </w:r>
    </w:p>
    <w:p>
      <w:pPr>
        <w:spacing w:after="120" w:before="0" w:lineRule="auto" w:line="276"/>
        <w:jc w:val="both"/>
      </w:pPr>
      <w:r>
        <w:rPr>
          <w:rFonts w:ascii="Calibri" w:hAnsi="Calibri"/>
          <w:b w:val="0"/>
          <w:i w:val="0"/>
          <w:sz w:val="22"/>
        </w:rPr>
        <w:t>Uma sala tem um único caso de cada vez — o caso seguinte só pode começar depois de o tempo de limpeza do anterior ter terminado (incluso em iv_{cdr}).</w:t>
      </w:r>
    </w:p>
    <w:p>
      <w:pPr>
        <w:spacing w:after="120" w:before="0" w:lineRule="auto" w:line="276"/>
        <w:jc w:val="both"/>
      </w:pPr>
      <w:r>
        <w:rPr>
          <w:rFonts w:ascii="Calibri" w:hAnsi="Calibri"/>
          <w:b/>
          <w:i w:val="0"/>
          <w:sz w:val="22"/>
        </w:rPr>
        <w:t>C8 — Não-sobreposição exacta do cirurgião + limite diário de minutos:</w:t>
      </w:r>
    </w:p>
    <w:p>
      <w:pPr>
        <w:spacing w:before="60" w:after="60"/>
        <w:jc w:val="center"/>
      </w:pPr>
      <w:r>
        <w:rPr>
          <w:rFonts w:ascii="Courier New" w:hAnsi="Courier New"/>
          <w:b w:val="0"/>
          <w:i w:val="0"/>
          <w:sz w:val="19"/>
        </w:rPr>
        <w:t>AddNoOverlap( {sgiv_{cdr} : cirurgião(c)=h, d fixo} )    ∀ h, d</w:t>
      </w:r>
    </w:p>
    <w:p>
      <w:pPr>
        <w:spacing w:before="60" w:after="60"/>
        <w:jc w:val="center"/>
      </w:pPr>
      <w:r>
        <w:rPr>
          <w:rFonts w:ascii="Courier New" w:hAnsi="Courier New"/>
          <w:b w:val="0"/>
          <w:i w:val="0"/>
          <w:sz w:val="19"/>
        </w:rPr>
        <w:t>Σ_{c: cir.(c)=h} Σ_r t_cir(c) · pr_{cdr}  ≤  k_{hd}    ∀ h, d</w:t>
      </w:r>
    </w:p>
    <w:p>
      <w:pPr>
        <w:spacing w:after="120" w:before="0" w:lineRule="auto" w:line="276"/>
        <w:jc w:val="both"/>
      </w:pPr>
      <w:r>
        <w:rPr>
          <w:rFonts w:ascii="Calibri" w:hAnsi="Calibri"/>
          <w:b w:val="0"/>
          <w:i w:val="0"/>
          <w:sz w:val="22"/>
        </w:rPr>
        <w:t>Declarado sobre sgiv_{cdr} (comprimento t_cir), não sobre o intervalo da sala — ver §5.1. O limite de minutos é mantido porque a não-sobreposição limita a concorrência mas não o total de horas trabalhadas.</w:t>
      </w:r>
    </w:p>
    <w:p>
      <w:pPr>
        <w:spacing w:after="120" w:before="0" w:lineRule="auto" w:line="276"/>
        <w:jc w:val="both"/>
      </w:pPr>
      <w:r>
        <w:rPr>
          <w:rFonts w:ascii="Calibri" w:hAnsi="Calibri"/>
          <w:b/>
          <w:i w:val="0"/>
          <w:sz w:val="22"/>
        </w:rPr>
        <w:t>C9 — Limite semanal do cirurgião:</w:t>
      </w:r>
    </w:p>
    <w:p>
      <w:pPr>
        <w:spacing w:before="60" w:after="60"/>
        <w:jc w:val="center"/>
      </w:pPr>
      <w:r>
        <w:rPr>
          <w:rFonts w:ascii="Courier New" w:hAnsi="Courier New"/>
          <w:b w:val="0"/>
          <w:i w:val="0"/>
          <w:sz w:val="19"/>
        </w:rPr>
        <w:t>Σ_{c: cir.(c)=h} Σ_{d,r} t_cir(c) · pr_{cdr}  ≤  k_h    ∀ h</w:t>
      </w:r>
    </w:p>
    <w:p>
      <w:pPr>
        <w:spacing w:after="120" w:before="0" w:lineRule="auto" w:line="276"/>
        <w:jc w:val="both"/>
      </w:pPr>
      <w:r>
        <w:rPr>
          <w:rFonts w:ascii="Calibri" w:hAnsi="Calibri"/>
          <w:b/>
          <w:i w:val="0"/>
          <w:sz w:val="22"/>
        </w:rPr>
        <w:t>C10 — Equipamento partilhado: sobreposição exacta de tempo (AddCumulative):</w:t>
      </w:r>
    </w:p>
    <w:p>
      <w:pPr>
        <w:spacing w:before="60" w:after="60"/>
        <w:jc w:val="center"/>
      </w:pPr>
      <w:r>
        <w:rPr>
          <w:rFonts w:ascii="Courier New" w:hAnsi="Courier New"/>
          <w:b w:val="0"/>
          <w:i w:val="0"/>
          <w:sz w:val="19"/>
        </w:rPr>
        <w:t>AddCumulative( {iv_{cdr} : u_{ce}=1, d fixo}, demands=1, capacity=κ_{ed} )    ∀ e, d</w:t>
      </w:r>
    </w:p>
    <w:p>
      <w:pPr>
        <w:spacing w:after="120" w:before="0" w:lineRule="auto" w:line="276"/>
        <w:jc w:val="both"/>
      </w:pPr>
      <w:r>
        <w:rPr>
          <w:rFonts w:ascii="Calibri" w:hAnsi="Calibri"/>
          <w:b w:val="0"/>
          <w:i w:val="0"/>
          <w:sz w:val="22"/>
        </w:rPr>
        <w:t>Declarado sobre o intervalo da sala (comprimento t_tot) porque o equipamento permanece na sala durante a operação e a limpeza. Verifica sobreposição literal de tempo — não uma contagem diária. Este é exactamente o tipo de restrição que o MILP §4.3.C10 não consegue expressar sem big-M disjuntivo.</w:t>
      </w:r>
    </w:p>
    <w:p>
      <w:pPr>
        <w:spacing w:after="120" w:before="0" w:lineRule="auto" w:line="276"/>
        <w:jc w:val="both"/>
      </w:pPr>
      <w:r>
        <w:rPr>
          <w:rFonts w:ascii="Calibri" w:hAnsi="Calibri"/>
          <w:b/>
          <w:i w:val="0"/>
          <w:sz w:val="22"/>
        </w:rPr>
        <w:t>C11 — Camas de recuperação/UCI (AddCumulative multi-dia):</w:t>
      </w:r>
    </w:p>
    <w:p>
      <w:pPr>
        <w:spacing w:before="60" w:after="60"/>
        <w:jc w:val="center"/>
      </w:pPr>
      <w:r>
        <w:rPr>
          <w:rFonts w:ascii="Courier New" w:hAnsi="Courier New"/>
          <w:b w:val="0"/>
          <w:i w:val="0"/>
          <w:sz w:val="19"/>
        </w:rPr>
        <w:t>dayof_c ∈ {0,…,n_dias-1}   — índice de dia, canalizado via OnlyEnforceIf(pr_{cdr})</w:t>
      </w:r>
    </w:p>
    <w:p>
      <w:pPr>
        <w:spacing w:before="60" w:after="60"/>
        <w:jc w:val="center"/>
      </w:pPr>
      <w:r>
        <w:rPr>
          <w:rFonts w:ascii="Courier New" w:hAnsi="Courier New"/>
          <w:b w:val="0"/>
          <w:i w:val="0"/>
          <w:sz w:val="19"/>
        </w:rPr>
        <w:t>bed_c = NewOptionalIntervalVar(dayof_c, los_c, dayof_c+los_c, 1-u_c)  [pₒ ≠ 4]</w:t>
      </w:r>
    </w:p>
    <w:p>
      <w:pPr>
        <w:spacing w:before="60" w:after="60"/>
        <w:jc w:val="center"/>
      </w:pPr>
      <w:r>
        <w:rPr>
          <w:rFonts w:ascii="Courier New" w:hAnsi="Courier New"/>
          <w:b w:val="0"/>
          <w:i w:val="0"/>
          <w:sz w:val="19"/>
        </w:rPr>
        <w:t>bed_c = NewIntervalVar(dayof_c, los_c, dayof_c+los_c)                  [pₒ = 4]</w:t>
      </w:r>
    </w:p>
    <w:p>
      <w:pPr>
        <w:spacing w:before="60" w:after="60"/>
        <w:jc w:val="center"/>
      </w:pPr>
      <w:r>
        <w:rPr>
          <w:rFonts w:ascii="Courier New" w:hAnsi="Courier New"/>
          <w:b w:val="0"/>
          <w:i w:val="0"/>
          <w:sz w:val="19"/>
        </w:rPr>
        <w:t>AddCumulative( {bed_c : ρ(c)=ρ}, demands=1, capacity=β_ρ )    ∀ ρ</w:t>
      </w:r>
    </w:p>
    <w:p>
      <w:pPr>
        <w:spacing w:after="120" w:before="0" w:lineRule="auto" w:line="276"/>
        <w:jc w:val="both"/>
      </w:pPr>
      <w:r>
        <w:rPr>
          <w:rFonts w:ascii="Calibri" w:hAnsi="Calibri"/>
          <w:b w:val="0"/>
          <w:i w:val="0"/>
          <w:sz w:val="22"/>
        </w:rPr>
        <w:t>Casos P4 têm intervalo de cama obrigatório (sem u_c). Casos ≠P4 têm literal de presença 1−u_c — o intervalo só ocupa capacidade quando o caso é agendado. Estadias que ultrapassem o horizonte são penalizadas com π_ovf por dia de excesso (Termo 4 da função objectivo) via AddMaxEquality.</w:t>
      </w:r>
    </w:p>
    <w:p>
      <w:pPr>
        <w:spacing w:before="200" w:after="80"/>
      </w:pPr>
      <w:r>
        <w:rPr>
          <w:rFonts w:ascii="Calibri" w:hAnsi="Calibri"/>
          <w:b/>
          <w:i w:val="0"/>
          <w:color w:val="1F497D"/>
          <w:sz w:val="26"/>
        </w:rPr>
        <w:t>5.4  Estratégia de Pesquisa e Otimizações de Desempenho</w:t>
      </w:r>
    </w:p>
    <w:p>
      <w:pPr>
        <w:spacing w:after="120" w:before="0" w:lineRule="auto" w:line="276"/>
        <w:jc w:val="both"/>
      </w:pPr>
      <w:r>
        <w:rPr>
          <w:rFonts w:ascii="Calibri" w:hAnsi="Calibri"/>
          <w:b w:val="0"/>
          <w:i w:val="0"/>
          <w:sz w:val="22"/>
        </w:rPr>
        <w:t>O CP-SAT executa o seu portfólio paralelo padrão: vários trabalhadores de pesquisa completa mais trabalhadores de LNS (Large Neighbourhood Search) que melhoram um incumbente, partilhando cláusulas aprendidas através de um núcleo SAT comum. O número de trabalhadores é limitado a min(16, os.cpu_count()) — abaixo de 8 núcleos o limite não tem efeito; entre 8 e 16 o número completo é usado; acima de 16, os custos de partilha de cláusulas começam a superar a diversidade de pesquisa adicional para instâncias desta dimensão.</w:t>
      </w:r>
    </w:p>
    <w:p>
      <w:pPr>
        <w:spacing w:after="120" w:before="0" w:lineRule="auto" w:line="276"/>
        <w:jc w:val="both"/>
      </w:pPr>
      <w:r>
        <w:rPr>
          <w:rFonts w:ascii="Calibri" w:hAnsi="Calibri"/>
          <w:b/>
          <w:i w:val="0"/>
          <w:sz w:val="22"/>
        </w:rPr>
        <w:t>Três optimizações de desempenho foram implementadas (commit 75907ad):</w:t>
      </w:r>
    </w:p>
    <w:p>
      <w:pPr>
        <w:pStyle w:val="ListBullet"/>
        <w:spacing w:after="60" w:before="0"/>
        <w:ind w:left="454"/>
      </w:pPr>
      <w:r>
        <w:rPr>
          <w:rFonts w:ascii="Calibri" w:hAnsi="Calibri"/>
          <w:b w:val="0"/>
          <w:i w:val="0"/>
          <w:sz w:val="22"/>
        </w:rPr>
        <w:t>Domínios apertados: start ∈ [0, k_{dr}−t_tot], end ∈ [t_tot, k_{dr}], sgend ∈ [t_cir, k_{dr}]. Elimina valores impossíveis logo na construção do modelo, reduzindo o espaço de pesquisa sem remover soluções válidas.</w:t>
      </w:r>
    </w:p>
    <w:p>
      <w:pPr>
        <w:pStyle w:val="ListBullet"/>
        <w:spacing w:after="60" w:before="0"/>
        <w:ind w:left="454"/>
      </w:pPr>
      <w:r>
        <w:rPr>
          <w:rFonts w:ascii="Calibri" w:hAnsi="Calibri"/>
          <w:b w:val="0"/>
          <w:i w:val="0"/>
          <w:sz w:val="22"/>
        </w:rPr>
        <w:t>Arranque quente greedy (AddHint): o método _apply_greedy_hints() ordena os casos por prioridade decrescente e folga de prazo, e executa uma atribuição first-fit nos slots disponíveis. As atribuições resultantes são fornecidas ao solver via AddHint() como solução inicial incumbente, evitando que o solver comece do zero.</w:t>
      </w:r>
    </w:p>
    <w:p>
      <w:pPr>
        <w:pStyle w:val="ListBullet"/>
        <w:spacing w:after="60" w:before="0"/>
        <w:ind w:left="454"/>
      </w:pPr>
      <w:r>
        <w:rPr>
          <w:rFonts w:ascii="Calibri" w:hAnsi="Calibri"/>
          <w:b w:val="0"/>
          <w:i w:val="0"/>
          <w:sz w:val="22"/>
        </w:rPr>
        <w:t>linearization_level=2: pede ao CP-SAT um relaxamento LP mais forte através de linearização adicional das restrições boolenas. Produz limites inferiores mais apertados desde o início, acelerando o fecho do gap.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1F497D"/>
            <w:vAlign w:val="center"/>
          </w:tcPr>
          <w:p>
            <w:pPr>
              <w:jc w:val="center"/>
            </w:pPr>
            <w:r>
              <w:rPr>
                <w:rFonts w:ascii="Calibri" w:hAnsi="Calibri"/>
                <w:b/>
                <w:i w:val="0"/>
                <w:color w:val="FFFFFF"/>
                <w:sz w:val="18"/>
              </w:rPr>
              <w:t>Versão</w:t>
            </w:r>
          </w:p>
        </w:tc>
        <w:tc>
          <w:tcPr>
            <w:tcW w:type="dxa" w:w="1984"/>
            <w:shd w:val="clear" w:color="auto" w:fill="1F497D"/>
            <w:vAlign w:val="center"/>
          </w:tcPr>
          <w:p>
            <w:pPr>
              <w:jc w:val="center"/>
            </w:pPr>
            <w:r>
              <w:rPr>
                <w:rFonts w:ascii="Calibri" w:hAnsi="Calibri"/>
                <w:b/>
                <w:i w:val="0"/>
                <w:color w:val="FFFFFF"/>
                <w:sz w:val="18"/>
              </w:rPr>
              <w:t>Objectivo (30s)</w:t>
            </w:r>
          </w:p>
        </w:tc>
        <w:tc>
          <w:tcPr>
            <w:tcW w:type="dxa" w:w="1701"/>
            <w:shd w:val="clear" w:color="auto" w:fill="1F497D"/>
            <w:vAlign w:val="center"/>
          </w:tcPr>
          <w:p>
            <w:pPr>
              <w:jc w:val="center"/>
            </w:pPr>
            <w:r>
              <w:rPr>
                <w:rFonts w:ascii="Calibri" w:hAnsi="Calibri"/>
                <w:b/>
                <w:i w:val="0"/>
                <w:color w:val="FFFFFF"/>
                <w:sz w:val="18"/>
              </w:rPr>
              <w:t>Gap (30s)</w:t>
            </w:r>
          </w:p>
        </w:tc>
        <w:tc>
          <w:tcPr>
            <w:tcW w:type="dxa" w:w="1984"/>
            <w:shd w:val="clear" w:color="auto" w:fill="1F497D"/>
            <w:vAlign w:val="center"/>
          </w:tcPr>
          <w:p>
            <w:pPr>
              <w:jc w:val="center"/>
            </w:pPr>
            <w:r>
              <w:rPr>
                <w:rFonts w:ascii="Calibri" w:hAnsi="Calibri"/>
                <w:b/>
                <w:i w:val="0"/>
                <w:color w:val="FFFFFF"/>
                <w:sz w:val="18"/>
              </w:rPr>
              <w:t>Agendados</w:t>
            </w:r>
          </w:p>
        </w:tc>
      </w:tr>
      <w:tr>
        <w:tc>
          <w:tcPr>
            <w:tcW w:type="dxa" w:w="3118"/>
            <w:shd w:val="clear" w:color="auto" w:fill="EEF3FB"/>
            <w:vAlign w:val="center"/>
          </w:tcPr>
          <w:p>
            <w:pPr>
              <w:jc w:val="center"/>
            </w:pPr>
            <w:r>
              <w:rPr>
                <w:rFonts w:ascii="Calibri" w:hAnsi="Calibri"/>
                <w:b w:val="0"/>
                <w:i w:val="0"/>
                <w:sz w:val="18"/>
              </w:rPr>
              <w:t>Antes das optimizações</w:t>
            </w:r>
          </w:p>
        </w:tc>
        <w:tc>
          <w:tcPr>
            <w:tcW w:type="dxa" w:w="1984"/>
            <w:shd w:val="clear" w:color="auto" w:fill="EEF3FB"/>
            <w:vAlign w:val="center"/>
          </w:tcPr>
          <w:p>
            <w:pPr>
              <w:jc w:val="center"/>
            </w:pPr>
            <w:r>
              <w:rPr>
                <w:rFonts w:ascii="Calibri" w:hAnsi="Calibri"/>
                <w:b w:val="0"/>
                <w:i w:val="0"/>
                <w:sz w:val="18"/>
              </w:rPr>
              <w:t>70 900</w:t>
            </w:r>
          </w:p>
        </w:tc>
        <w:tc>
          <w:tcPr>
            <w:tcW w:type="dxa" w:w="1701"/>
            <w:shd w:val="clear" w:color="auto" w:fill="EEF3FB"/>
            <w:vAlign w:val="center"/>
          </w:tcPr>
          <w:p>
            <w:pPr>
              <w:jc w:val="center"/>
            </w:pPr>
            <w:r>
              <w:rPr>
                <w:rFonts w:ascii="Calibri" w:hAnsi="Calibri"/>
                <w:b w:val="0"/>
                <w:i w:val="0"/>
                <w:sz w:val="18"/>
              </w:rPr>
              <w:t>8,82%</w:t>
            </w:r>
          </w:p>
        </w:tc>
        <w:tc>
          <w:tcPr>
            <w:tcW w:type="dxa" w:w="1984"/>
            <w:shd w:val="clear" w:color="auto" w:fill="EEF3FB"/>
            <w:vAlign w:val="center"/>
          </w:tcPr>
          <w:p>
            <w:pPr>
              <w:jc w:val="center"/>
            </w:pPr>
            <w:r>
              <w:rPr>
                <w:rFonts w:ascii="Calibri" w:hAnsi="Calibri"/>
                <w:b w:val="0"/>
                <w:i w:val="0"/>
                <w:sz w:val="18"/>
              </w:rPr>
              <w:t>132/200</w:t>
            </w:r>
          </w:p>
        </w:tc>
      </w:tr>
      <w:tr>
        <w:tc>
          <w:tcPr>
            <w:tcW w:type="dxa" w:w="3118"/>
            <w:vAlign w:val="center"/>
          </w:tcPr>
          <w:p>
            <w:pPr>
              <w:jc w:val="center"/>
            </w:pPr>
            <w:r>
              <w:rPr>
                <w:rFonts w:ascii="Calibri" w:hAnsi="Calibri"/>
                <w:b w:val="0"/>
                <w:i w:val="0"/>
                <w:sz w:val="18"/>
              </w:rPr>
              <w:t>Após optimizações</w:t>
            </w:r>
          </w:p>
        </w:tc>
        <w:tc>
          <w:tcPr>
            <w:tcW w:type="dxa" w:w="1984"/>
            <w:vAlign w:val="center"/>
          </w:tcPr>
          <w:p>
            <w:pPr>
              <w:jc w:val="center"/>
            </w:pPr>
            <w:r>
              <w:rPr>
                <w:rFonts w:ascii="Calibri" w:hAnsi="Calibri"/>
                <w:b w:val="0"/>
                <w:i w:val="0"/>
                <w:sz w:val="18"/>
              </w:rPr>
              <w:t>66 700</w:t>
            </w:r>
          </w:p>
        </w:tc>
        <w:tc>
          <w:tcPr>
            <w:tcW w:type="dxa" w:w="1701"/>
            <w:vAlign w:val="center"/>
          </w:tcPr>
          <w:p>
            <w:pPr>
              <w:jc w:val="center"/>
            </w:pPr>
            <w:r>
              <w:rPr>
                <w:rFonts w:ascii="Calibri" w:hAnsi="Calibri"/>
                <w:b w:val="0"/>
                <w:i w:val="0"/>
                <w:sz w:val="18"/>
              </w:rPr>
              <w:t>1,68%</w:t>
            </w:r>
          </w:p>
        </w:tc>
        <w:tc>
          <w:tcPr>
            <w:tcW w:type="dxa" w:w="1984"/>
            <w:vAlign w:val="center"/>
          </w:tcPr>
          <w:p>
            <w:pPr>
              <w:jc w:val="center"/>
            </w:pPr>
            <w:r>
              <w:rPr>
                <w:rFonts w:ascii="Calibri" w:hAnsi="Calibri"/>
                <w:b w:val="0"/>
                <w:i w:val="0"/>
                <w:sz w:val="18"/>
              </w:rPr>
              <w:t>132/200</w:t>
            </w:r>
          </w:p>
        </w:tc>
      </w:tr>
      <w:tr>
        <w:tc>
          <w:tcPr>
            <w:tcW w:type="dxa" w:w="3118"/>
            <w:shd w:val="clear" w:color="auto" w:fill="EEF3FB"/>
            <w:vAlign w:val="center"/>
          </w:tcPr>
          <w:p>
            <w:pPr>
              <w:jc w:val="center"/>
            </w:pPr>
            <w:r>
              <w:rPr>
                <w:rFonts w:ascii="Calibri" w:hAnsi="Calibri"/>
                <w:b w:val="0"/>
                <w:i w:val="0"/>
                <w:sz w:val="18"/>
              </w:rPr>
              <w:t>Melhoria</w:t>
            </w:r>
          </w:p>
        </w:tc>
        <w:tc>
          <w:tcPr>
            <w:tcW w:type="dxa" w:w="1984"/>
            <w:shd w:val="clear" w:color="auto" w:fill="EEF3FB"/>
            <w:vAlign w:val="center"/>
          </w:tcPr>
          <w:p>
            <w:pPr>
              <w:jc w:val="center"/>
            </w:pPr>
            <w:r>
              <w:rPr>
                <w:rFonts w:ascii="Calibri" w:hAnsi="Calibri"/>
                <w:b w:val="0"/>
                <w:i w:val="0"/>
                <w:sz w:val="18"/>
              </w:rPr>
              <w:t>−5,9%</w:t>
            </w:r>
          </w:p>
        </w:tc>
        <w:tc>
          <w:tcPr>
            <w:tcW w:type="dxa" w:w="1701"/>
            <w:shd w:val="clear" w:color="auto" w:fill="EEF3FB"/>
            <w:vAlign w:val="center"/>
          </w:tcPr>
          <w:p>
            <w:pPr>
              <w:jc w:val="center"/>
            </w:pPr>
            <w:r>
              <w:rPr>
                <w:rFonts w:ascii="Calibri" w:hAnsi="Calibri"/>
                <w:b w:val="0"/>
                <w:i w:val="0"/>
                <w:sz w:val="18"/>
              </w:rPr>
              <w:t>−7,14 pp</w:t>
            </w:r>
          </w:p>
        </w:tc>
        <w:tc>
          <w:tcPr>
            <w:tcW w:type="dxa" w:w="1984"/>
            <w:shd w:val="clear" w:color="auto" w:fill="EEF3FB"/>
            <w:vAlign w:val="center"/>
          </w:tcPr>
          <w:p>
            <w:pPr>
              <w:jc w:val="center"/>
            </w:pPr>
            <w:r>
              <w:rPr>
                <w:rFonts w:ascii="Calibri" w:hAnsi="Calibri"/>
                <w:b w:val="0"/>
                <w:i w:val="0"/>
                <w:sz w:val="18"/>
              </w:rPr>
              <w:t>—</w:t>
            </w:r>
          </w:p>
        </w:tc>
      </w:tr>
    </w:tbl>
    <w:p>
      <w:pPr>
        <w:spacing w:after="40"/>
      </w:pPr>
    </w:p>
    <w:p>
      <w:pPr>
        <w:spacing w:before="0" w:after="120"/>
        <w:ind w:left="283"/>
        <w:jc w:val="both"/>
      </w:pPr>
      <w:r>
        <w:rPr>
          <w:rFonts w:ascii="Calibri" w:hAnsi="Calibri"/>
          <w:b w:val="0"/>
          <w:i/>
          <w:color w:val="595959"/>
          <w:sz w:val="18"/>
        </w:rPr>
        <w:t>Nota: Tabela 10 — Impacto das optimizações de desempenho CP-SAT. Instância média, 30s de orçamento.</w:t>
      </w:r>
    </w:p>
    <w:p>
      <w:r>
        <w:br w:type="page"/>
      </w:r>
    </w:p>
    <w:p>
      <w:pPr>
        <w:spacing w:before="320" w:after="80"/>
      </w:pPr>
      <w:r>
        <w:rPr>
          <w:rFonts w:ascii="Calibri" w:hAnsi="Calibri"/>
          <w:b/>
          <w:i w:val="0"/>
          <w:color w:val="1F497D"/>
          <w:sz w:val="32"/>
        </w:rPr>
        <w:t>6. Resultados Experimentais</w:t>
      </w:r>
    </w:p>
    <w:p>
      <w:pPr>
        <w:spacing w:after="120" w:before="0" w:lineRule="auto" w:line="276"/>
        <w:jc w:val="both"/>
      </w:pPr>
      <w:r>
        <w:rPr>
          <w:rFonts w:ascii="Calibri" w:hAnsi="Calibri"/>
          <w:b w:val="0"/>
          <w:i w:val="0"/>
          <w:sz w:val="22"/>
        </w:rPr>
        <w:t>Ambiente: Windows 11, Python 3.12, ortools 9.x (CBC incluído, CP-SAT), gurobipy disponível localmente (opcional — sem licença cai para CBC), docplex + CP Optimizer disponível localmente (opcional). Todos os solvers reportam 'Optimal' quando provam o resultado dentro do gap relativo configurado — o gap faz parte integrante do resultado.</w:t>
      </w:r>
    </w:p>
    <w:p>
      <w:pPr>
        <w:spacing w:before="200" w:after="80"/>
      </w:pPr>
      <w:r>
        <w:rPr>
          <w:rFonts w:ascii="Calibri" w:hAnsi="Calibri"/>
          <w:b/>
          <w:i w:val="0"/>
          <w:color w:val="1F497D"/>
          <w:sz w:val="26"/>
        </w:rPr>
        <w:t>6.1  Instância Demo — 20 casos</w:t>
      </w:r>
    </w:p>
    <w:p>
      <w:pPr>
        <w:spacing w:after="120" w:before="0" w:lineRule="auto" w:line="276"/>
        <w:jc w:val="both"/>
      </w:pPr>
      <w:r>
        <w:rPr>
          <w:rFonts w:ascii="Calibri" w:hAnsi="Calibri"/>
          <w:b w:val="0"/>
          <w:i/>
          <w:sz w:val="18"/>
        </w:rPr>
        <w:t>Comando: python main.py --instance demo --benchmark --gap 0.0001</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51"/>
            <w:shd w:val="clear" w:color="auto" w:fill="1F497D"/>
            <w:vAlign w:val="center"/>
          </w:tcPr>
          <w:p>
            <w:pPr>
              <w:jc w:val="center"/>
            </w:pPr>
            <w:r>
              <w:rPr>
                <w:rFonts w:ascii="Calibri" w:hAnsi="Calibri"/>
                <w:b/>
                <w:i w:val="0"/>
                <w:color w:val="FFFFFF"/>
                <w:sz w:val="18"/>
              </w:rPr>
              <w:t>Solver</w:t>
            </w:r>
          </w:p>
        </w:tc>
        <w:tc>
          <w:tcPr>
            <w:tcW w:type="dxa" w:w="1134"/>
            <w:shd w:val="clear" w:color="auto" w:fill="1F497D"/>
            <w:vAlign w:val="center"/>
          </w:tcPr>
          <w:p>
            <w:pPr>
              <w:jc w:val="center"/>
            </w:pPr>
            <w:r>
              <w:rPr>
                <w:rFonts w:ascii="Calibri" w:hAnsi="Calibri"/>
                <w:b/>
                <w:i w:val="0"/>
                <w:color w:val="FFFFFF"/>
                <w:sz w:val="18"/>
              </w:rPr>
              <w:t>Status</w:t>
            </w:r>
          </w:p>
        </w:tc>
        <w:tc>
          <w:tcPr>
            <w:tcW w:type="dxa" w:w="1417"/>
            <w:shd w:val="clear" w:color="auto" w:fill="1F497D"/>
            <w:vAlign w:val="center"/>
          </w:tcPr>
          <w:p>
            <w:pPr>
              <w:jc w:val="center"/>
            </w:pPr>
            <w:r>
              <w:rPr>
                <w:rFonts w:ascii="Calibri" w:hAnsi="Calibri"/>
                <w:b/>
                <w:i w:val="0"/>
                <w:color w:val="FFFFFF"/>
                <w:sz w:val="18"/>
              </w:rPr>
              <w:t>Objectivo</w:t>
            </w:r>
          </w:p>
        </w:tc>
        <w:tc>
          <w:tcPr>
            <w:tcW w:type="dxa" w:w="850"/>
            <w:shd w:val="clear" w:color="auto" w:fill="1F497D"/>
            <w:vAlign w:val="center"/>
          </w:tcPr>
          <w:p>
            <w:pPr>
              <w:jc w:val="center"/>
            </w:pPr>
            <w:r>
              <w:rPr>
                <w:rFonts w:ascii="Calibri" w:hAnsi="Calibri"/>
                <w:b/>
                <w:i w:val="0"/>
                <w:color w:val="FFFFFF"/>
                <w:sz w:val="18"/>
              </w:rPr>
              <w:t>Gap</w:t>
            </w:r>
          </w:p>
        </w:tc>
        <w:tc>
          <w:tcPr>
            <w:tcW w:type="dxa" w:w="1417"/>
            <w:shd w:val="clear" w:color="auto" w:fill="1F497D"/>
            <w:vAlign w:val="center"/>
          </w:tcPr>
          <w:p>
            <w:pPr>
              <w:jc w:val="center"/>
            </w:pPr>
            <w:r>
              <w:rPr>
                <w:rFonts w:ascii="Calibri" w:hAnsi="Calibri"/>
                <w:b/>
                <w:i w:val="0"/>
                <w:color w:val="FFFFFF"/>
                <w:sz w:val="18"/>
              </w:rPr>
              <w:t>Agendados</w:t>
            </w:r>
          </w:p>
        </w:tc>
        <w:tc>
          <w:tcPr>
            <w:tcW w:type="dxa" w:w="850"/>
            <w:shd w:val="clear" w:color="auto" w:fill="1F497D"/>
            <w:vAlign w:val="center"/>
          </w:tcPr>
          <w:p>
            <w:pPr>
              <w:jc w:val="center"/>
            </w:pPr>
            <w:r>
              <w:rPr>
                <w:rFonts w:ascii="Calibri" w:hAnsi="Calibri"/>
                <w:b/>
                <w:i w:val="0"/>
                <w:color w:val="FFFFFF"/>
                <w:sz w:val="18"/>
              </w:rPr>
              <w:t>Tempo</w:t>
            </w:r>
          </w:p>
        </w:tc>
      </w:tr>
      <w:tr>
        <w:tc>
          <w:tcPr>
            <w:tcW w:type="dxa" w:w="2551"/>
            <w:shd w:val="clear" w:color="auto" w:fill="EEF3FB"/>
            <w:vAlign w:val="center"/>
          </w:tcPr>
          <w:p>
            <w:pPr>
              <w:jc w:val="center"/>
            </w:pPr>
            <w:r>
              <w:rPr>
                <w:rFonts w:ascii="Calibri" w:hAnsi="Calibri"/>
                <w:b w:val="0"/>
                <w:i w:val="0"/>
                <w:sz w:val="18"/>
              </w:rPr>
              <w:t>CP-SAT (modelo principal)</w:t>
            </w:r>
          </w:p>
        </w:tc>
        <w:tc>
          <w:tcPr>
            <w:tcW w:type="dxa" w:w="1134"/>
            <w:shd w:val="clear" w:color="auto" w:fill="EEF3FB"/>
            <w:vAlign w:val="center"/>
          </w:tcPr>
          <w:p>
            <w:pPr>
              <w:jc w:val="center"/>
            </w:pPr>
            <w:r>
              <w:rPr>
                <w:rFonts w:ascii="Calibri" w:hAnsi="Calibri"/>
                <w:b w:val="0"/>
                <w:i w:val="0"/>
                <w:sz w:val="18"/>
              </w:rPr>
              <w:t>Optimal</w:t>
            </w:r>
          </w:p>
        </w:tc>
        <w:tc>
          <w:tcPr>
            <w:tcW w:type="dxa" w:w="1417"/>
            <w:shd w:val="clear" w:color="auto" w:fill="EEF3FB"/>
            <w:vAlign w:val="center"/>
          </w:tcPr>
          <w:p>
            <w:pPr>
              <w:jc w:val="center"/>
            </w:pPr>
            <w:r>
              <w:rPr>
                <w:rFonts w:ascii="Calibri" w:hAnsi="Calibri"/>
                <w:b w:val="0"/>
                <w:i w:val="0"/>
                <w:sz w:val="18"/>
              </w:rPr>
              <w:t>155,0</w:t>
            </w:r>
          </w:p>
        </w:tc>
        <w:tc>
          <w:tcPr>
            <w:tcW w:type="dxa" w:w="850"/>
            <w:shd w:val="clear" w:color="auto" w:fill="EEF3FB"/>
            <w:vAlign w:val="center"/>
          </w:tcPr>
          <w:p>
            <w:pPr>
              <w:jc w:val="center"/>
            </w:pPr>
            <w:r>
              <w:rPr>
                <w:rFonts w:ascii="Calibri" w:hAnsi="Calibri"/>
                <w:b w:val="0"/>
                <w:i w:val="0"/>
                <w:sz w:val="18"/>
              </w:rPr>
              <w:t>0,00%</w:t>
            </w:r>
          </w:p>
        </w:tc>
        <w:tc>
          <w:tcPr>
            <w:tcW w:type="dxa" w:w="1417"/>
            <w:shd w:val="clear" w:color="auto" w:fill="EEF3FB"/>
            <w:vAlign w:val="center"/>
          </w:tcPr>
          <w:p>
            <w:pPr>
              <w:jc w:val="center"/>
            </w:pPr>
            <w:r>
              <w:rPr>
                <w:rFonts w:ascii="Calibri" w:hAnsi="Calibri"/>
                <w:b w:val="0"/>
                <w:i w:val="0"/>
                <w:sz w:val="18"/>
              </w:rPr>
              <w:t>20/20</w:t>
            </w:r>
          </w:p>
        </w:tc>
        <w:tc>
          <w:tcPr>
            <w:tcW w:type="dxa" w:w="850"/>
            <w:shd w:val="clear" w:color="auto" w:fill="EEF3FB"/>
            <w:vAlign w:val="center"/>
          </w:tcPr>
          <w:p>
            <w:pPr>
              <w:jc w:val="center"/>
            </w:pPr>
            <w:r>
              <w:rPr>
                <w:rFonts w:ascii="Calibri" w:hAnsi="Calibri"/>
                <w:b w:val="0"/>
                <w:i w:val="0"/>
                <w:sz w:val="18"/>
              </w:rPr>
              <w:t>~0,1s</w:t>
            </w:r>
          </w:p>
        </w:tc>
      </w:tr>
      <w:tr>
        <w:tc>
          <w:tcPr>
            <w:tcW w:type="dxa" w:w="2551"/>
            <w:vAlign w:val="center"/>
          </w:tcPr>
          <w:p>
            <w:pPr>
              <w:jc w:val="center"/>
            </w:pPr>
            <w:r>
              <w:rPr>
                <w:rFonts w:ascii="Calibri" w:hAnsi="Calibri"/>
                <w:b w:val="0"/>
                <w:i w:val="0"/>
                <w:sz w:val="18"/>
              </w:rPr>
              <w:t>OR-Tools/CBC (MILP)</w:t>
            </w:r>
          </w:p>
        </w:tc>
        <w:tc>
          <w:tcPr>
            <w:tcW w:type="dxa" w:w="1134"/>
            <w:vAlign w:val="center"/>
          </w:tcPr>
          <w:p>
            <w:pPr>
              <w:jc w:val="center"/>
            </w:pPr>
            <w:r>
              <w:rPr>
                <w:rFonts w:ascii="Calibri" w:hAnsi="Calibri"/>
                <w:b w:val="0"/>
                <w:i w:val="0"/>
                <w:sz w:val="18"/>
              </w:rPr>
              <w:t>Optimal</w:t>
            </w:r>
          </w:p>
        </w:tc>
        <w:tc>
          <w:tcPr>
            <w:tcW w:type="dxa" w:w="1417"/>
            <w:vAlign w:val="center"/>
          </w:tcPr>
          <w:p>
            <w:pPr>
              <w:jc w:val="center"/>
            </w:pPr>
            <w:r>
              <w:rPr>
                <w:rFonts w:ascii="Calibri" w:hAnsi="Calibri"/>
                <w:b w:val="0"/>
                <w:i w:val="0"/>
                <w:sz w:val="18"/>
              </w:rPr>
              <w:t>157,0</w:t>
            </w:r>
          </w:p>
        </w:tc>
        <w:tc>
          <w:tcPr>
            <w:tcW w:type="dxa" w:w="850"/>
            <w:vAlign w:val="center"/>
          </w:tcPr>
          <w:p>
            <w:pPr>
              <w:jc w:val="center"/>
            </w:pPr>
            <w:r>
              <w:rPr>
                <w:rFonts w:ascii="Calibri" w:hAnsi="Calibri"/>
                <w:b w:val="0"/>
                <w:i w:val="0"/>
                <w:sz w:val="18"/>
              </w:rPr>
              <w:t>0,00%</w:t>
            </w:r>
          </w:p>
        </w:tc>
        <w:tc>
          <w:tcPr>
            <w:tcW w:type="dxa" w:w="1417"/>
            <w:vAlign w:val="center"/>
          </w:tcPr>
          <w:p>
            <w:pPr>
              <w:jc w:val="center"/>
            </w:pPr>
            <w:r>
              <w:rPr>
                <w:rFonts w:ascii="Calibri" w:hAnsi="Calibri"/>
                <w:b w:val="0"/>
                <w:i w:val="0"/>
                <w:sz w:val="18"/>
              </w:rPr>
              <w:t>20/20</w:t>
            </w:r>
          </w:p>
        </w:tc>
        <w:tc>
          <w:tcPr>
            <w:tcW w:type="dxa" w:w="850"/>
            <w:vAlign w:val="center"/>
          </w:tcPr>
          <w:p>
            <w:pPr>
              <w:jc w:val="center"/>
            </w:pPr>
            <w:r>
              <w:rPr>
                <w:rFonts w:ascii="Calibri" w:hAnsi="Calibri"/>
                <w:b w:val="0"/>
                <w:i w:val="0"/>
                <w:sz w:val="18"/>
              </w:rPr>
              <w:t>~0,03s</w:t>
            </w:r>
          </w:p>
        </w:tc>
      </w:tr>
      <w:tr>
        <w:tc>
          <w:tcPr>
            <w:tcW w:type="dxa" w:w="2551"/>
            <w:shd w:val="clear" w:color="auto" w:fill="EEF3FB"/>
            <w:vAlign w:val="center"/>
          </w:tcPr>
          <w:p>
            <w:pPr>
              <w:jc w:val="center"/>
            </w:pPr>
            <w:r>
              <w:rPr>
                <w:rFonts w:ascii="Calibri" w:hAnsi="Calibri"/>
                <w:b w:val="0"/>
                <w:i w:val="0"/>
                <w:sz w:val="18"/>
              </w:rPr>
              <w:t>Gurobi (MILP)</w:t>
            </w:r>
          </w:p>
        </w:tc>
        <w:tc>
          <w:tcPr>
            <w:tcW w:type="dxa" w:w="1134"/>
            <w:shd w:val="clear" w:color="auto" w:fill="EEF3FB"/>
            <w:vAlign w:val="center"/>
          </w:tcPr>
          <w:p>
            <w:pPr>
              <w:jc w:val="center"/>
            </w:pPr>
            <w:r>
              <w:rPr>
                <w:rFonts w:ascii="Calibri" w:hAnsi="Calibri"/>
                <w:b w:val="0"/>
                <w:i w:val="0"/>
                <w:sz w:val="18"/>
              </w:rPr>
              <w:t>Optimal</w:t>
            </w:r>
          </w:p>
        </w:tc>
        <w:tc>
          <w:tcPr>
            <w:tcW w:type="dxa" w:w="1417"/>
            <w:shd w:val="clear" w:color="auto" w:fill="EEF3FB"/>
            <w:vAlign w:val="center"/>
          </w:tcPr>
          <w:p>
            <w:pPr>
              <w:jc w:val="center"/>
            </w:pPr>
            <w:r>
              <w:rPr>
                <w:rFonts w:ascii="Calibri" w:hAnsi="Calibri"/>
                <w:b w:val="0"/>
                <w:i w:val="0"/>
                <w:sz w:val="18"/>
              </w:rPr>
              <w:t>157,0</w:t>
            </w:r>
          </w:p>
        </w:tc>
        <w:tc>
          <w:tcPr>
            <w:tcW w:type="dxa" w:w="850"/>
            <w:shd w:val="clear" w:color="auto" w:fill="EEF3FB"/>
            <w:vAlign w:val="center"/>
          </w:tcPr>
          <w:p>
            <w:pPr>
              <w:jc w:val="center"/>
            </w:pPr>
            <w:r>
              <w:rPr>
                <w:rFonts w:ascii="Calibri" w:hAnsi="Calibri"/>
                <w:b w:val="0"/>
                <w:i w:val="0"/>
                <w:sz w:val="18"/>
              </w:rPr>
              <w:t>0,00%</w:t>
            </w:r>
          </w:p>
        </w:tc>
        <w:tc>
          <w:tcPr>
            <w:tcW w:type="dxa" w:w="1417"/>
            <w:shd w:val="clear" w:color="auto" w:fill="EEF3FB"/>
            <w:vAlign w:val="center"/>
          </w:tcPr>
          <w:p>
            <w:pPr>
              <w:jc w:val="center"/>
            </w:pPr>
            <w:r>
              <w:rPr>
                <w:rFonts w:ascii="Calibri" w:hAnsi="Calibri"/>
                <w:b w:val="0"/>
                <w:i w:val="0"/>
                <w:sz w:val="18"/>
              </w:rPr>
              <w:t>20/20</w:t>
            </w:r>
          </w:p>
        </w:tc>
        <w:tc>
          <w:tcPr>
            <w:tcW w:type="dxa" w:w="850"/>
            <w:shd w:val="clear" w:color="auto" w:fill="EEF3FB"/>
            <w:vAlign w:val="center"/>
          </w:tcPr>
          <w:p>
            <w:pPr>
              <w:jc w:val="center"/>
            </w:pPr>
            <w:r>
              <w:rPr>
                <w:rFonts w:ascii="Calibri" w:hAnsi="Calibri"/>
                <w:b w:val="0"/>
                <w:i w:val="0"/>
                <w:sz w:val="18"/>
              </w:rPr>
              <w:t>~0,6s</w:t>
            </w:r>
          </w:p>
        </w:tc>
      </w:tr>
      <w:tr>
        <w:tc>
          <w:tcPr>
            <w:tcW w:type="dxa" w:w="2551"/>
            <w:vAlign w:val="center"/>
          </w:tcPr>
          <w:p>
            <w:pPr>
              <w:jc w:val="center"/>
            </w:pPr>
            <w:r>
              <w:rPr>
                <w:rFonts w:ascii="Calibri" w:hAnsi="Calibri"/>
                <w:b w:val="0"/>
                <w:i w:val="0"/>
                <w:sz w:val="18"/>
              </w:rPr>
              <w:t>CP Optimizer (apêndice)</w:t>
            </w:r>
          </w:p>
        </w:tc>
        <w:tc>
          <w:tcPr>
            <w:tcW w:type="dxa" w:w="1134"/>
            <w:vAlign w:val="center"/>
          </w:tcPr>
          <w:p>
            <w:pPr>
              <w:jc w:val="center"/>
            </w:pPr>
            <w:r>
              <w:rPr>
                <w:rFonts w:ascii="Calibri" w:hAnsi="Calibri"/>
                <w:b w:val="0"/>
                <w:i w:val="0"/>
                <w:sz w:val="18"/>
              </w:rPr>
              <w:t>Optimal</w:t>
            </w:r>
          </w:p>
        </w:tc>
        <w:tc>
          <w:tcPr>
            <w:tcW w:type="dxa" w:w="1417"/>
            <w:vAlign w:val="center"/>
          </w:tcPr>
          <w:p>
            <w:pPr>
              <w:jc w:val="center"/>
            </w:pPr>
            <w:r>
              <w:rPr>
                <w:rFonts w:ascii="Calibri" w:hAnsi="Calibri"/>
                <w:b w:val="0"/>
                <w:i w:val="0"/>
                <w:sz w:val="18"/>
              </w:rPr>
              <w:t>155,0</w:t>
            </w:r>
          </w:p>
        </w:tc>
        <w:tc>
          <w:tcPr>
            <w:tcW w:type="dxa" w:w="850"/>
            <w:vAlign w:val="center"/>
          </w:tcPr>
          <w:p>
            <w:pPr>
              <w:jc w:val="center"/>
            </w:pPr>
            <w:r>
              <w:rPr>
                <w:rFonts w:ascii="Calibri" w:hAnsi="Calibri"/>
                <w:b w:val="0"/>
                <w:i w:val="0"/>
                <w:sz w:val="18"/>
              </w:rPr>
              <w:t>0,00%</w:t>
            </w:r>
          </w:p>
        </w:tc>
        <w:tc>
          <w:tcPr>
            <w:tcW w:type="dxa" w:w="1417"/>
            <w:vAlign w:val="center"/>
          </w:tcPr>
          <w:p>
            <w:pPr>
              <w:jc w:val="center"/>
            </w:pPr>
            <w:r>
              <w:rPr>
                <w:rFonts w:ascii="Calibri" w:hAnsi="Calibri"/>
                <w:b w:val="0"/>
                <w:i w:val="0"/>
                <w:sz w:val="18"/>
              </w:rPr>
              <w:t>20/20</w:t>
            </w:r>
          </w:p>
        </w:tc>
        <w:tc>
          <w:tcPr>
            <w:tcW w:type="dxa" w:w="850"/>
            <w:vAlign w:val="center"/>
          </w:tcPr>
          <w:p>
            <w:pPr>
              <w:jc w:val="center"/>
            </w:pPr>
            <w:r>
              <w:rPr>
                <w:rFonts w:ascii="Calibri" w:hAnsi="Calibri"/>
                <w:b w:val="0"/>
                <w:i w:val="0"/>
                <w:sz w:val="18"/>
              </w:rPr>
              <w:t>~1,1s</w:t>
            </w:r>
          </w:p>
        </w:tc>
      </w:tr>
    </w:tbl>
    <w:p>
      <w:pPr>
        <w:spacing w:after="40"/>
      </w:pPr>
    </w:p>
    <w:p>
      <w:pPr>
        <w:spacing w:before="0" w:after="120"/>
        <w:ind w:left="283"/>
        <w:jc w:val="both"/>
      </w:pPr>
      <w:r>
        <w:rPr>
          <w:rFonts w:ascii="Calibri" w:hAnsi="Calibri"/>
          <w:b w:val="0"/>
          <w:i/>
          <w:color w:val="595959"/>
          <w:sz w:val="18"/>
        </w:rPr>
        <w:t>Nota: Tabela 11 — Instância demo, gap zero em &lt;2s em todos os solvers.</w:t>
      </w:r>
    </w:p>
    <w:p>
      <w:pPr>
        <w:spacing w:after="120" w:before="0" w:lineRule="auto" w:line="276"/>
        <w:jc w:val="both"/>
      </w:pPr>
      <w:r>
        <w:rPr>
          <w:rFonts w:ascii="Calibri" w:hAnsi="Calibri"/>
          <w:b w:val="0"/>
          <w:i w:val="0"/>
          <w:sz w:val="22"/>
        </w:rPr>
        <w:t>A diferença 155 vs. 157 materializa exactamente o argumento do §1.2. A instância demo tem um C-arm com capacidade 1, necessário por 4 casos: C14, C15, C17, C19. O MILP conta casos por dia — com κ=1 força cada caso para um dia diferente. O CP-SAT verifica sobreposição real de tempo e coloca C15 e C17 no mesmo dia em sequência: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701"/>
            <w:shd w:val="clear" w:color="auto" w:fill="1F497D"/>
            <w:vAlign w:val="center"/>
          </w:tcPr>
          <w:p>
            <w:pPr>
              <w:jc w:val="center"/>
            </w:pPr>
            <w:r>
              <w:rPr>
                <w:rFonts w:ascii="Calibri" w:hAnsi="Calibri"/>
                <w:b/>
                <w:i w:val="0"/>
                <w:color w:val="FFFFFF"/>
                <w:sz w:val="18"/>
              </w:rPr>
              <w:t>Solver</w:t>
            </w:r>
          </w:p>
        </w:tc>
        <w:tc>
          <w:tcPr>
            <w:tcW w:type="dxa" w:w="1417"/>
            <w:shd w:val="clear" w:color="auto" w:fill="1F497D"/>
            <w:vAlign w:val="center"/>
          </w:tcPr>
          <w:p>
            <w:pPr>
              <w:jc w:val="center"/>
            </w:pPr>
            <w:r>
              <w:rPr>
                <w:rFonts w:ascii="Calibri" w:hAnsi="Calibri"/>
                <w:b/>
                <w:i w:val="0"/>
                <w:color w:val="FFFFFF"/>
                <w:sz w:val="18"/>
              </w:rPr>
              <w:t>2.ª feira</w:t>
            </w:r>
          </w:p>
        </w:tc>
        <w:tc>
          <w:tcPr>
            <w:tcW w:type="dxa" w:w="2551"/>
            <w:shd w:val="clear" w:color="auto" w:fill="1F497D"/>
            <w:vAlign w:val="center"/>
          </w:tcPr>
          <w:p>
            <w:pPr>
              <w:jc w:val="center"/>
            </w:pPr>
            <w:r>
              <w:rPr>
                <w:rFonts w:ascii="Calibri" w:hAnsi="Calibri"/>
                <w:b/>
                <w:i w:val="0"/>
                <w:color w:val="FFFFFF"/>
                <w:sz w:val="18"/>
              </w:rPr>
              <w:t>3.ª feira</w:t>
            </w:r>
          </w:p>
        </w:tc>
        <w:tc>
          <w:tcPr>
            <w:tcW w:type="dxa" w:w="1417"/>
            <w:shd w:val="clear" w:color="auto" w:fill="1F497D"/>
            <w:vAlign w:val="center"/>
          </w:tcPr>
          <w:p>
            <w:pPr>
              <w:jc w:val="center"/>
            </w:pPr>
            <w:r>
              <w:rPr>
                <w:rFonts w:ascii="Calibri" w:hAnsi="Calibri"/>
                <w:b/>
                <w:i w:val="0"/>
                <w:color w:val="FFFFFF"/>
                <w:sz w:val="18"/>
              </w:rPr>
              <w:t>4.ª feira</w:t>
            </w:r>
          </w:p>
        </w:tc>
        <w:tc>
          <w:tcPr>
            <w:tcW w:type="dxa" w:w="1134"/>
            <w:shd w:val="clear" w:color="auto" w:fill="1F497D"/>
            <w:vAlign w:val="center"/>
          </w:tcPr>
          <w:p>
            <w:pPr>
              <w:jc w:val="center"/>
            </w:pPr>
            <w:r>
              <w:rPr>
                <w:rFonts w:ascii="Calibri" w:hAnsi="Calibri"/>
                <w:b/>
                <w:i w:val="0"/>
                <w:color w:val="FFFFFF"/>
                <w:sz w:val="18"/>
              </w:rPr>
              <w:t>5.ª feira</w:t>
            </w:r>
          </w:p>
        </w:tc>
        <w:tc>
          <w:tcPr>
            <w:tcW w:type="dxa" w:w="1134"/>
            <w:shd w:val="clear" w:color="auto" w:fill="1F497D"/>
            <w:vAlign w:val="center"/>
          </w:tcPr>
          <w:p>
            <w:pPr>
              <w:jc w:val="center"/>
            </w:pPr>
            <w:r>
              <w:rPr>
                <w:rFonts w:ascii="Calibri" w:hAnsi="Calibri"/>
                <w:b/>
                <w:i w:val="0"/>
                <w:color w:val="FFFFFF"/>
                <w:sz w:val="18"/>
              </w:rPr>
              <w:t>6.ª feira</w:t>
            </w:r>
          </w:p>
        </w:tc>
      </w:tr>
      <w:tr>
        <w:tc>
          <w:tcPr>
            <w:tcW w:type="dxa" w:w="1701"/>
            <w:shd w:val="clear" w:color="auto" w:fill="EEF3FB"/>
            <w:vAlign w:val="center"/>
          </w:tcPr>
          <w:p>
            <w:pPr>
              <w:jc w:val="center"/>
            </w:pPr>
            <w:r>
              <w:rPr>
                <w:rFonts w:ascii="Calibri" w:hAnsi="Calibri"/>
                <w:b w:val="0"/>
                <w:i w:val="0"/>
                <w:sz w:val="18"/>
              </w:rPr>
              <w:t>CP-SAT</w:t>
            </w:r>
          </w:p>
        </w:tc>
        <w:tc>
          <w:tcPr>
            <w:tcW w:type="dxa" w:w="1417"/>
            <w:shd w:val="clear" w:color="auto" w:fill="EEF3FB"/>
            <w:vAlign w:val="center"/>
          </w:tcPr>
          <w:p>
            <w:pPr>
              <w:jc w:val="center"/>
            </w:pPr>
            <w:r>
              <w:rPr>
                <w:rFonts w:ascii="Calibri" w:hAnsi="Calibri"/>
                <w:b w:val="0"/>
                <w:i w:val="0"/>
                <w:sz w:val="18"/>
              </w:rPr>
              <w:t>C19</w:t>
            </w:r>
          </w:p>
        </w:tc>
        <w:tc>
          <w:tcPr>
            <w:tcW w:type="dxa" w:w="2551"/>
            <w:shd w:val="clear" w:color="auto" w:fill="EEF3FB"/>
            <w:vAlign w:val="center"/>
          </w:tcPr>
          <w:p>
            <w:pPr>
              <w:jc w:val="center"/>
            </w:pPr>
            <w:r>
              <w:rPr>
                <w:rFonts w:ascii="Calibri" w:hAnsi="Calibri"/>
                <w:b w:val="0"/>
                <w:i w:val="0"/>
                <w:sz w:val="18"/>
              </w:rPr>
              <w:t>C15, C17 (sequência)</w:t>
            </w:r>
          </w:p>
        </w:tc>
        <w:tc>
          <w:tcPr>
            <w:tcW w:type="dxa" w:w="1417"/>
            <w:shd w:val="clear" w:color="auto" w:fill="EEF3FB"/>
            <w:vAlign w:val="center"/>
          </w:tcPr>
          <w:p>
            <w:pPr>
              <w:jc w:val="center"/>
            </w:pPr>
            <w:r>
              <w:rPr>
                <w:rFonts w:ascii="Calibri" w:hAnsi="Calibri"/>
                <w:b w:val="0"/>
                <w:i w:val="0"/>
                <w:sz w:val="18"/>
              </w:rPr>
              <w:t>C14</w:t>
            </w:r>
          </w:p>
        </w:tc>
        <w:tc>
          <w:tcPr>
            <w:tcW w:type="dxa" w:w="1134"/>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r>
        <w:tc>
          <w:tcPr>
            <w:tcW w:type="dxa" w:w="1701"/>
            <w:vAlign w:val="center"/>
          </w:tcPr>
          <w:p>
            <w:pPr>
              <w:jc w:val="center"/>
            </w:pPr>
            <w:r>
              <w:rPr>
                <w:rFonts w:ascii="Calibri" w:hAnsi="Calibri"/>
                <w:b w:val="0"/>
                <w:i w:val="0"/>
                <w:sz w:val="18"/>
              </w:rPr>
              <w:t>MILP</w:t>
            </w:r>
          </w:p>
        </w:tc>
        <w:tc>
          <w:tcPr>
            <w:tcW w:type="dxa" w:w="1417"/>
            <w:vAlign w:val="center"/>
          </w:tcPr>
          <w:p>
            <w:pPr>
              <w:jc w:val="center"/>
            </w:pPr>
            <w:r>
              <w:rPr>
                <w:rFonts w:ascii="Calibri" w:hAnsi="Calibri"/>
                <w:b w:val="0"/>
                <w:i w:val="0"/>
                <w:sz w:val="18"/>
              </w:rPr>
              <w:t>C19</w:t>
            </w:r>
          </w:p>
        </w:tc>
        <w:tc>
          <w:tcPr>
            <w:tcW w:type="dxa" w:w="2551"/>
            <w:vAlign w:val="center"/>
          </w:tcPr>
          <w:p>
            <w:pPr>
              <w:jc w:val="center"/>
            </w:pPr>
            <w:r>
              <w:rPr>
                <w:rFonts w:ascii="Calibri" w:hAnsi="Calibri"/>
                <w:b w:val="0"/>
                <w:i w:val="0"/>
                <w:sz w:val="18"/>
              </w:rPr>
              <w:t>C15</w:t>
            </w:r>
          </w:p>
        </w:tc>
        <w:tc>
          <w:tcPr>
            <w:tcW w:type="dxa" w:w="1417"/>
            <w:vAlign w:val="center"/>
          </w:tcPr>
          <w:p>
            <w:pPr>
              <w:jc w:val="center"/>
            </w:pPr>
            <w:r>
              <w:rPr>
                <w:rFonts w:ascii="Calibri" w:hAnsi="Calibri"/>
                <w:b w:val="0"/>
                <w:i w:val="0"/>
                <w:sz w:val="18"/>
              </w:rPr>
              <w:t>C17</w:t>
            </w:r>
          </w:p>
        </w:tc>
        <w:tc>
          <w:tcPr>
            <w:tcW w:type="dxa" w:w="1134"/>
            <w:vAlign w:val="center"/>
          </w:tcPr>
          <w:p>
            <w:pPr>
              <w:jc w:val="center"/>
            </w:pPr>
            <w:r>
              <w:rPr>
                <w:rFonts w:ascii="Calibri" w:hAnsi="Calibri"/>
                <w:b w:val="0"/>
                <w:i w:val="0"/>
                <w:sz w:val="18"/>
              </w:rPr>
              <w:t>C14</w:t>
            </w:r>
          </w:p>
        </w:tc>
        <w:tc>
          <w:tcPr>
            <w:tcW w:type="dxa" w:w="1134"/>
            <w:vAlign w:val="center"/>
          </w:tcPr>
          <w:p>
            <w:pPr>
              <w:jc w:val="center"/>
            </w:pPr>
            <w:r>
              <w:rPr>
                <w:rFonts w:ascii="Calibri" w:hAnsi="Calibri"/>
                <w:b w:val="0"/>
                <w:i w:val="0"/>
                <w:sz w:val="18"/>
              </w:rPr>
              <w:t>—</w:t>
            </w:r>
          </w:p>
        </w:tc>
      </w:tr>
    </w:tbl>
    <w:p>
      <w:pPr>
        <w:spacing w:after="40"/>
      </w:pPr>
    </w:p>
    <w:p>
      <w:pPr>
        <w:spacing w:before="0" w:after="120"/>
        <w:ind w:left="283"/>
        <w:jc w:val="both"/>
      </w:pPr>
      <w:r>
        <w:rPr>
          <w:rFonts w:ascii="Calibri" w:hAnsi="Calibri"/>
          <w:b w:val="0"/>
          <w:i/>
          <w:color w:val="595959"/>
          <w:sz w:val="18"/>
        </w:rPr>
        <w:t>Nota: Tabela 12 — Agendamento do C-arm: o CP-SAT coloca dois casos no mesmo dia em sequência (nunca mais de 1 em uso simultâneo); o MILP proíbe isso por construção com cap diário=1.</w:t>
      </w:r>
    </w:p>
    <w:p>
      <w:pPr>
        <w:spacing w:before="200" w:after="80"/>
      </w:pPr>
      <w:r>
        <w:rPr>
          <w:rFonts w:ascii="Calibri" w:hAnsi="Calibri"/>
          <w:b/>
          <w:i w:val="0"/>
          <w:color w:val="1F497D"/>
          <w:sz w:val="26"/>
        </w:rPr>
        <w:t>6.2  Instância Média — 200 casos, orçamento de 2 minutos</w:t>
      </w:r>
    </w:p>
    <w:p>
      <w:pPr>
        <w:spacing w:after="120" w:before="0" w:lineRule="auto" w:line="276"/>
        <w:jc w:val="both"/>
      </w:pPr>
      <w:r>
        <w:rPr>
          <w:rFonts w:ascii="Calibri" w:hAnsi="Calibri"/>
          <w:b/>
          <w:i w:val="0"/>
          <w:sz w:val="22"/>
        </w:rPr>
        <w:t>Passo 1 — Óptimo verdadeiro do MILP via Gurobi, gap quase nulo:</w:t>
      </w:r>
    </w:p>
    <w:p>
      <w:pPr>
        <w:spacing w:before="60" w:after="60"/>
        <w:jc w:val="center"/>
      </w:pPr>
      <w:r>
        <w:rPr>
          <w:rFonts w:ascii="Courier New" w:hAnsi="Courier New"/>
          <w:b w:val="0"/>
          <w:i w:val="0"/>
          <w:sz w:val="19"/>
        </w:rPr>
        <w:t>python main.py --solver milp-gurobi --gap 0.0005 --instance medium</w:t>
      </w:r>
    </w:p>
    <w:p>
      <w:pPr>
        <w:spacing w:before="60" w:after="60"/>
        <w:jc w:val="center"/>
      </w:pPr>
      <w:r>
        <w:rPr>
          <w:rFonts w:ascii="Courier New" w:hAnsi="Courier New"/>
          <w:b w:val="0"/>
          <w:i w:val="0"/>
          <w:sz w:val="19"/>
        </w:rPr>
        <w:t>→  Óptimo MILP = 74 074,0   (130/200 agendados,  &lt;1 segundo)</w:t>
      </w:r>
    </w:p>
    <w:p>
      <w:pPr>
        <w:spacing w:after="120" w:before="0" w:lineRule="auto" w:line="276"/>
        <w:jc w:val="both"/>
      </w:pPr>
      <w:r>
        <w:rPr>
          <w:rFonts w:ascii="Calibri" w:hAnsi="Calibri"/>
          <w:b w:val="0"/>
          <w:i w:val="0"/>
          <w:sz w:val="22"/>
        </w:rPr>
        <w:t>Este é o número de referência. Tudo abaixo é medido contra ele.</w:t>
      </w:r>
    </w:p>
    <w:p>
      <w:pPr>
        <w:spacing w:after="120" w:before="0" w:lineRule="auto" w:line="276"/>
        <w:jc w:val="both"/>
      </w:pPr>
      <w:r>
        <w:rPr>
          <w:rFonts w:ascii="Calibri" w:hAnsi="Calibri"/>
          <w:b/>
          <w:i w:val="0"/>
          <w:sz w:val="22"/>
        </w:rPr>
        <w:t>Passo 2 — Orçamento de 2 minutos, meta de 1% de gap:</w:t>
      </w:r>
    </w:p>
    <w:p>
      <w:pPr>
        <w:spacing w:before="60" w:after="60"/>
        <w:jc w:val="center"/>
      </w:pPr>
      <w:r>
        <w:rPr>
          <w:rFonts w:ascii="Courier New" w:hAnsi="Courier New"/>
          <w:b w:val="0"/>
          <w:i w:val="0"/>
          <w:sz w:val="19"/>
        </w:rPr>
        <w:t>python main.py --time-limit 120 --gap 0.01 --instance medium</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984"/>
            <w:shd w:val="clear" w:color="auto" w:fill="1F497D"/>
            <w:vAlign w:val="center"/>
          </w:tcPr>
          <w:p>
            <w:pPr>
              <w:jc w:val="center"/>
            </w:pPr>
            <w:r>
              <w:rPr>
                <w:rFonts w:ascii="Calibri" w:hAnsi="Calibri"/>
                <w:b/>
                <w:i w:val="0"/>
                <w:color w:val="FFFFFF"/>
                <w:sz w:val="18"/>
              </w:rPr>
              <w:t>Solver</w:t>
            </w:r>
          </w:p>
        </w:tc>
        <w:tc>
          <w:tcPr>
            <w:tcW w:type="dxa" w:w="1134"/>
            <w:shd w:val="clear" w:color="auto" w:fill="1F497D"/>
            <w:vAlign w:val="center"/>
          </w:tcPr>
          <w:p>
            <w:pPr>
              <w:jc w:val="center"/>
            </w:pPr>
            <w:r>
              <w:rPr>
                <w:rFonts w:ascii="Calibri" w:hAnsi="Calibri"/>
                <w:b/>
                <w:i w:val="0"/>
                <w:color w:val="FFFFFF"/>
                <w:sz w:val="18"/>
              </w:rPr>
              <w:t>Status</w:t>
            </w:r>
          </w:p>
        </w:tc>
        <w:tc>
          <w:tcPr>
            <w:tcW w:type="dxa" w:w="1417"/>
            <w:shd w:val="clear" w:color="auto" w:fill="1F497D"/>
            <w:vAlign w:val="center"/>
          </w:tcPr>
          <w:p>
            <w:pPr>
              <w:jc w:val="center"/>
            </w:pPr>
            <w:r>
              <w:rPr>
                <w:rFonts w:ascii="Calibri" w:hAnsi="Calibri"/>
                <w:b/>
                <w:i w:val="0"/>
                <w:color w:val="FFFFFF"/>
                <w:sz w:val="18"/>
              </w:rPr>
              <w:t>Objectivo</w:t>
            </w:r>
          </w:p>
        </w:tc>
        <w:tc>
          <w:tcPr>
            <w:tcW w:type="dxa" w:w="1134"/>
            <w:shd w:val="clear" w:color="auto" w:fill="1F497D"/>
            <w:vAlign w:val="center"/>
          </w:tcPr>
          <w:p>
            <w:pPr>
              <w:jc w:val="center"/>
            </w:pPr>
            <w:r>
              <w:rPr>
                <w:rFonts w:ascii="Calibri" w:hAnsi="Calibri"/>
                <w:b/>
                <w:i w:val="0"/>
                <w:color w:val="FFFFFF"/>
                <w:sz w:val="18"/>
              </w:rPr>
              <w:t>Gap próprio</w:t>
            </w:r>
          </w:p>
        </w:tc>
        <w:tc>
          <w:tcPr>
            <w:tcW w:type="dxa" w:w="1417"/>
            <w:shd w:val="clear" w:color="auto" w:fill="1F497D"/>
            <w:vAlign w:val="center"/>
          </w:tcPr>
          <w:p>
            <w:pPr>
              <w:jc w:val="center"/>
            </w:pPr>
            <w:r>
              <w:rPr>
                <w:rFonts w:ascii="Calibri" w:hAnsi="Calibri"/>
                <w:b/>
                <w:i w:val="0"/>
                <w:color w:val="FFFFFF"/>
                <w:sz w:val="18"/>
              </w:rPr>
              <w:t>vs. Óptimo MILP</w:t>
            </w:r>
          </w:p>
        </w:tc>
        <w:tc>
          <w:tcPr>
            <w:tcW w:type="dxa" w:w="1417"/>
            <w:shd w:val="clear" w:color="auto" w:fill="1F497D"/>
            <w:vAlign w:val="center"/>
          </w:tcPr>
          <w:p>
            <w:pPr>
              <w:jc w:val="center"/>
            </w:pPr>
            <w:r>
              <w:rPr>
                <w:rFonts w:ascii="Calibri" w:hAnsi="Calibri"/>
                <w:b/>
                <w:i w:val="0"/>
                <w:color w:val="FFFFFF"/>
                <w:sz w:val="18"/>
              </w:rPr>
              <w:t>Agendados</w:t>
            </w:r>
          </w:p>
        </w:tc>
        <w:tc>
          <w:tcPr>
            <w:tcW w:type="dxa" w:w="1134"/>
            <w:shd w:val="clear" w:color="auto" w:fill="1F497D"/>
            <w:vAlign w:val="center"/>
          </w:tcPr>
          <w:p>
            <w:pPr>
              <w:jc w:val="center"/>
            </w:pPr>
            <w:r>
              <w:rPr>
                <w:rFonts w:ascii="Calibri" w:hAnsi="Calibri"/>
                <w:b/>
                <w:i w:val="0"/>
                <w:color w:val="FFFFFF"/>
                <w:sz w:val="18"/>
              </w:rPr>
              <w:t>Tempo</w:t>
            </w:r>
          </w:p>
        </w:tc>
      </w:tr>
      <w:tr>
        <w:tc>
          <w:tcPr>
            <w:tcW w:type="dxa" w:w="1984"/>
            <w:shd w:val="clear" w:color="auto" w:fill="EEF3FB"/>
            <w:vAlign w:val="center"/>
          </w:tcPr>
          <w:p>
            <w:pPr>
              <w:jc w:val="center"/>
            </w:pPr>
            <w:r>
              <w:rPr>
                <w:rFonts w:ascii="Calibri" w:hAnsi="Calibri"/>
                <w:b w:val="0"/>
                <w:i w:val="0"/>
                <w:sz w:val="18"/>
              </w:rPr>
              <w:t>OR-Tools/CBC</w:t>
            </w:r>
          </w:p>
        </w:tc>
        <w:tc>
          <w:tcPr>
            <w:tcW w:type="dxa" w:w="1134"/>
            <w:shd w:val="clear" w:color="auto" w:fill="EEF3FB"/>
            <w:vAlign w:val="center"/>
          </w:tcPr>
          <w:p>
            <w:pPr>
              <w:jc w:val="center"/>
            </w:pPr>
            <w:r>
              <w:rPr>
                <w:rFonts w:ascii="Calibri" w:hAnsi="Calibri"/>
                <w:b w:val="0"/>
                <w:i w:val="0"/>
                <w:sz w:val="18"/>
              </w:rPr>
              <w:t>Feasible</w:t>
            </w:r>
          </w:p>
        </w:tc>
        <w:tc>
          <w:tcPr>
            <w:tcW w:type="dxa" w:w="1417"/>
            <w:shd w:val="clear" w:color="auto" w:fill="EEF3FB"/>
            <w:vAlign w:val="center"/>
          </w:tcPr>
          <w:p>
            <w:pPr>
              <w:jc w:val="center"/>
            </w:pPr>
            <w:r>
              <w:rPr>
                <w:rFonts w:ascii="Calibri" w:hAnsi="Calibri"/>
                <w:b w:val="0"/>
                <w:i w:val="0"/>
                <w:sz w:val="18"/>
              </w:rPr>
              <w:t>74 116,0</w:t>
            </w:r>
          </w:p>
        </w:tc>
        <w:tc>
          <w:tcPr>
            <w:tcW w:type="dxa" w:w="1134"/>
            <w:shd w:val="clear" w:color="auto" w:fill="EEF3FB"/>
            <w:vAlign w:val="center"/>
          </w:tcPr>
          <w:p>
            <w:pPr>
              <w:jc w:val="center"/>
            </w:pPr>
            <w:r>
              <w:rPr>
                <w:rFonts w:ascii="Calibri" w:hAnsi="Calibri"/>
                <w:b w:val="0"/>
                <w:i w:val="0"/>
                <w:sz w:val="18"/>
              </w:rPr>
              <w:t>0,56%</w:t>
            </w:r>
          </w:p>
        </w:tc>
        <w:tc>
          <w:tcPr>
            <w:tcW w:type="dxa" w:w="1417"/>
            <w:shd w:val="clear" w:color="auto" w:fill="EEF3FB"/>
            <w:vAlign w:val="center"/>
          </w:tcPr>
          <w:p>
            <w:pPr>
              <w:jc w:val="center"/>
            </w:pPr>
            <w:r>
              <w:rPr>
                <w:rFonts w:ascii="Calibri" w:hAnsi="Calibri"/>
                <w:b w:val="0"/>
                <w:i w:val="0"/>
                <w:sz w:val="18"/>
              </w:rPr>
              <w:t>+0,06%</w:t>
            </w:r>
          </w:p>
        </w:tc>
        <w:tc>
          <w:tcPr>
            <w:tcW w:type="dxa" w:w="1417"/>
            <w:shd w:val="clear" w:color="auto" w:fill="EEF3FB"/>
            <w:vAlign w:val="center"/>
          </w:tcPr>
          <w:p>
            <w:pPr>
              <w:jc w:val="center"/>
            </w:pPr>
            <w:r>
              <w:rPr>
                <w:rFonts w:ascii="Calibri" w:hAnsi="Calibri"/>
                <w:b w:val="0"/>
                <w:i w:val="0"/>
                <w:sz w:val="18"/>
              </w:rPr>
              <w:t>130/200</w:t>
            </w:r>
          </w:p>
        </w:tc>
        <w:tc>
          <w:tcPr>
            <w:tcW w:type="dxa" w:w="1134"/>
            <w:shd w:val="clear" w:color="auto" w:fill="EEF3FB"/>
            <w:vAlign w:val="center"/>
          </w:tcPr>
          <w:p>
            <w:pPr>
              <w:jc w:val="center"/>
            </w:pPr>
            <w:r>
              <w:rPr>
                <w:rFonts w:ascii="Calibri" w:hAnsi="Calibri"/>
                <w:b w:val="0"/>
                <w:i w:val="0"/>
                <w:sz w:val="18"/>
              </w:rPr>
              <w:t>120,2s</w:t>
            </w:r>
          </w:p>
        </w:tc>
      </w:tr>
      <w:tr>
        <w:tc>
          <w:tcPr>
            <w:tcW w:type="dxa" w:w="1984"/>
            <w:vAlign w:val="center"/>
          </w:tcPr>
          <w:p>
            <w:pPr>
              <w:jc w:val="center"/>
            </w:pPr>
            <w:r>
              <w:rPr>
                <w:rFonts w:ascii="Calibri" w:hAnsi="Calibri"/>
                <w:b w:val="0"/>
                <w:i w:val="0"/>
                <w:sz w:val="18"/>
              </w:rPr>
              <w:t>CP-SAT (principal)</w:t>
            </w:r>
          </w:p>
        </w:tc>
        <w:tc>
          <w:tcPr>
            <w:tcW w:type="dxa" w:w="1134"/>
            <w:vAlign w:val="center"/>
          </w:tcPr>
          <w:p>
            <w:pPr>
              <w:jc w:val="center"/>
            </w:pPr>
            <w:r>
              <w:rPr>
                <w:rFonts w:ascii="Calibri" w:hAnsi="Calibri"/>
                <w:b w:val="0"/>
                <w:i w:val="0"/>
                <w:sz w:val="18"/>
              </w:rPr>
              <w:t>Feasible</w:t>
            </w:r>
          </w:p>
        </w:tc>
        <w:tc>
          <w:tcPr>
            <w:tcW w:type="dxa" w:w="1417"/>
            <w:vAlign w:val="center"/>
          </w:tcPr>
          <w:p>
            <w:pPr>
              <w:jc w:val="center"/>
            </w:pPr>
            <w:r>
              <w:rPr>
                <w:rFonts w:ascii="Calibri" w:hAnsi="Calibri"/>
                <w:b w:val="0"/>
                <w:i w:val="0"/>
                <w:sz w:val="18"/>
              </w:rPr>
              <w:t>69 956,0</w:t>
            </w:r>
          </w:p>
        </w:tc>
        <w:tc>
          <w:tcPr>
            <w:tcW w:type="dxa" w:w="1134"/>
            <w:vAlign w:val="center"/>
          </w:tcPr>
          <w:p>
            <w:pPr>
              <w:jc w:val="center"/>
            </w:pPr>
            <w:r>
              <w:rPr>
                <w:rFonts w:ascii="Calibri" w:hAnsi="Calibri"/>
                <w:b w:val="0"/>
                <w:i w:val="0"/>
                <w:sz w:val="18"/>
              </w:rPr>
              <w:t>6,62%</w:t>
            </w:r>
          </w:p>
        </w:tc>
        <w:tc>
          <w:tcPr>
            <w:tcW w:type="dxa" w:w="1417"/>
            <w:vAlign w:val="center"/>
          </w:tcPr>
          <w:p>
            <w:pPr>
              <w:jc w:val="center"/>
            </w:pPr>
            <w:r>
              <w:rPr>
                <w:rFonts w:ascii="Calibri" w:hAnsi="Calibri"/>
                <w:b w:val="0"/>
                <w:i w:val="0"/>
                <w:sz w:val="18"/>
              </w:rPr>
              <w:t>−5,56%</w:t>
            </w:r>
          </w:p>
        </w:tc>
        <w:tc>
          <w:tcPr>
            <w:tcW w:type="dxa" w:w="1417"/>
            <w:vAlign w:val="center"/>
          </w:tcPr>
          <w:p>
            <w:pPr>
              <w:jc w:val="center"/>
            </w:pPr>
            <w:r>
              <w:rPr>
                <w:rFonts w:ascii="Calibri" w:hAnsi="Calibri"/>
                <w:b w:val="0"/>
                <w:i w:val="0"/>
                <w:sz w:val="18"/>
              </w:rPr>
              <w:t>131/200</w:t>
            </w:r>
          </w:p>
        </w:tc>
        <w:tc>
          <w:tcPr>
            <w:tcW w:type="dxa" w:w="1134"/>
            <w:vAlign w:val="center"/>
          </w:tcPr>
          <w:p>
            <w:pPr>
              <w:jc w:val="center"/>
            </w:pPr>
            <w:r>
              <w:rPr>
                <w:rFonts w:ascii="Calibri" w:hAnsi="Calibri"/>
                <w:b w:val="0"/>
                <w:i w:val="0"/>
                <w:sz w:val="18"/>
              </w:rPr>
              <w:t>124,5s</w:t>
            </w:r>
          </w:p>
        </w:tc>
      </w:tr>
    </w:tbl>
    <w:p>
      <w:pPr>
        <w:spacing w:after="40"/>
      </w:pPr>
    </w:p>
    <w:p>
      <w:pPr>
        <w:spacing w:before="0" w:after="120"/>
        <w:ind w:left="283"/>
        <w:jc w:val="both"/>
      </w:pPr>
      <w:r>
        <w:rPr>
          <w:rFonts w:ascii="Calibri" w:hAnsi="Calibri"/>
          <w:b w:val="0"/>
          <w:i/>
          <w:color w:val="595959"/>
          <w:sz w:val="18"/>
        </w:rPr>
        <w:t>Nota: Tabela 13 — Instância média, 2 minutos de orçamento.</w:t>
      </w:r>
    </w:p>
    <w:p>
      <w:pPr>
        <w:spacing w:after="120" w:before="0" w:lineRule="auto" w:line="276"/>
        <w:jc w:val="both"/>
      </w:pPr>
      <w:r>
        <w:rPr>
          <w:rFonts w:ascii="Calibri" w:hAnsi="Calibri"/>
          <w:b w:val="0"/>
          <w:i w:val="0"/>
          <w:sz w:val="22"/>
        </w:rPr>
        <w:t>O CBC atinge essencialmente o óptimo verdadeiro do MILP no orçamento de 2 minutos — o Gurobi prova o mesmo resultado mais de 100× mais rapidamente, mesma matemática, motor diferente. O CP-SAT não apenas não supera esse limite como encontra um plano genuinamente diferente e melhor abaixo dele, agendando um caso adicional: (74074−69956)/74074 = 5,56% abaixo do melhor que o MILP pode fazer.</w:t>
      </w:r>
    </w:p>
    <w:p>
      <w:pPr>
        <w:spacing w:after="120" w:before="0" w:lineRule="auto" w:line="276"/>
        <w:jc w:val="both"/>
      </w:pPr>
      <w:r>
        <w:rPr>
          <w:rFonts w:ascii="Calibri" w:hAnsi="Calibri"/>
          <w:b w:val="0"/>
          <w:i w:val="0"/>
          <w:sz w:val="22"/>
        </w:rPr>
        <w:t>O gap mais amplo do CP-SAT (6,62% vs. 0,56%) não é uma contradição — uma região viável menor é mecanicamente mais fácil de fechar completamente, da mesma forma que é mais fácil provar que não há nenhum número acima de 5 em {1,…,5} do que em {1,…,100}. O gap amplo significa que há provavelmente um plano melhor que 69 956 por encontrar com mais tempo, não que a pesquisa correu mal.</w:t>
      </w:r>
    </w:p>
    <w:p>
      <w:pPr>
        <w:spacing w:before="200" w:after="80"/>
      </w:pPr>
      <w:r>
        <w:rPr>
          <w:rFonts w:ascii="Calibri" w:hAnsi="Calibri"/>
          <w:b/>
          <w:i w:val="0"/>
          <w:color w:val="1F497D"/>
          <w:sz w:val="26"/>
        </w:rPr>
        <w:t>6.3  Resultados com Optimizações de Desempenho CP-SAT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F497D"/>
            <w:vAlign w:val="center"/>
          </w:tcPr>
          <w:p>
            <w:pPr>
              <w:jc w:val="center"/>
            </w:pPr>
            <w:r>
              <w:rPr>
                <w:rFonts w:ascii="Calibri" w:hAnsi="Calibri"/>
                <w:b/>
                <w:i w:val="0"/>
                <w:color w:val="FFFFFF"/>
                <w:sz w:val="18"/>
              </w:rPr>
              <w:t>Métrica</w:t>
            </w:r>
          </w:p>
        </w:tc>
        <w:tc>
          <w:tcPr>
            <w:tcW w:type="dxa" w:w="2268"/>
            <w:shd w:val="clear" w:color="auto" w:fill="1F497D"/>
            <w:vAlign w:val="center"/>
          </w:tcPr>
          <w:p>
            <w:pPr>
              <w:jc w:val="center"/>
            </w:pPr>
            <w:r>
              <w:rPr>
                <w:rFonts w:ascii="Calibri" w:hAnsi="Calibri"/>
                <w:b/>
                <w:i w:val="0"/>
                <w:color w:val="FFFFFF"/>
                <w:sz w:val="18"/>
              </w:rPr>
              <w:t>Sem optimizações (30s)</w:t>
            </w:r>
          </w:p>
        </w:tc>
        <w:tc>
          <w:tcPr>
            <w:tcW w:type="dxa" w:w="2268"/>
            <w:shd w:val="clear" w:color="auto" w:fill="1F497D"/>
            <w:vAlign w:val="center"/>
          </w:tcPr>
          <w:p>
            <w:pPr>
              <w:jc w:val="center"/>
            </w:pPr>
            <w:r>
              <w:rPr>
                <w:rFonts w:ascii="Calibri" w:hAnsi="Calibri"/>
                <w:b/>
                <w:i w:val="0"/>
                <w:color w:val="FFFFFF"/>
                <w:sz w:val="18"/>
              </w:rPr>
              <w:t>Com optimizações (30s)</w:t>
            </w:r>
          </w:p>
        </w:tc>
        <w:tc>
          <w:tcPr>
            <w:tcW w:type="dxa" w:w="1701"/>
            <w:shd w:val="clear" w:color="auto" w:fill="1F497D"/>
            <w:vAlign w:val="center"/>
          </w:tcPr>
          <w:p>
            <w:pPr>
              <w:jc w:val="center"/>
            </w:pPr>
            <w:r>
              <w:rPr>
                <w:rFonts w:ascii="Calibri" w:hAnsi="Calibri"/>
                <w:b/>
                <w:i w:val="0"/>
                <w:color w:val="FFFFFF"/>
                <w:sz w:val="18"/>
              </w:rPr>
              <w:t>Melhoria</w:t>
            </w:r>
          </w:p>
        </w:tc>
      </w:tr>
      <w:tr>
        <w:tc>
          <w:tcPr>
            <w:tcW w:type="dxa" w:w="2551"/>
            <w:shd w:val="clear" w:color="auto" w:fill="EEF3FB"/>
            <w:vAlign w:val="center"/>
          </w:tcPr>
          <w:p>
            <w:pPr>
              <w:jc w:val="center"/>
            </w:pPr>
            <w:r>
              <w:rPr>
                <w:rFonts w:ascii="Calibri" w:hAnsi="Calibri"/>
                <w:b w:val="0"/>
                <w:i w:val="0"/>
                <w:sz w:val="18"/>
              </w:rPr>
              <w:t>Objectivo</w:t>
            </w:r>
          </w:p>
        </w:tc>
        <w:tc>
          <w:tcPr>
            <w:tcW w:type="dxa" w:w="2268"/>
            <w:shd w:val="clear" w:color="auto" w:fill="EEF3FB"/>
            <w:vAlign w:val="center"/>
          </w:tcPr>
          <w:p>
            <w:pPr>
              <w:jc w:val="center"/>
            </w:pPr>
            <w:r>
              <w:rPr>
                <w:rFonts w:ascii="Calibri" w:hAnsi="Calibri"/>
                <w:b w:val="0"/>
                <w:i w:val="0"/>
                <w:sz w:val="18"/>
              </w:rPr>
              <w:t>70 900</w:t>
            </w:r>
          </w:p>
        </w:tc>
        <w:tc>
          <w:tcPr>
            <w:tcW w:type="dxa" w:w="2268"/>
            <w:shd w:val="clear" w:color="auto" w:fill="EEF3FB"/>
            <w:vAlign w:val="center"/>
          </w:tcPr>
          <w:p>
            <w:pPr>
              <w:jc w:val="center"/>
            </w:pPr>
            <w:r>
              <w:rPr>
                <w:rFonts w:ascii="Calibri" w:hAnsi="Calibri"/>
                <w:b w:val="0"/>
                <w:i w:val="0"/>
                <w:sz w:val="18"/>
              </w:rPr>
              <w:t>66 700</w:t>
            </w:r>
          </w:p>
        </w:tc>
        <w:tc>
          <w:tcPr>
            <w:tcW w:type="dxa" w:w="1701"/>
            <w:shd w:val="clear" w:color="auto" w:fill="EEF3FB"/>
            <w:vAlign w:val="center"/>
          </w:tcPr>
          <w:p>
            <w:pPr>
              <w:jc w:val="center"/>
            </w:pPr>
            <w:r>
              <w:rPr>
                <w:rFonts w:ascii="Calibri" w:hAnsi="Calibri"/>
                <w:b w:val="0"/>
                <w:i w:val="0"/>
                <w:sz w:val="18"/>
              </w:rPr>
              <w:t>−5,9%</w:t>
            </w:r>
          </w:p>
        </w:tc>
      </w:tr>
      <w:tr>
        <w:tc>
          <w:tcPr>
            <w:tcW w:type="dxa" w:w="2551"/>
            <w:vAlign w:val="center"/>
          </w:tcPr>
          <w:p>
            <w:pPr>
              <w:jc w:val="center"/>
            </w:pPr>
            <w:r>
              <w:rPr>
                <w:rFonts w:ascii="Calibri" w:hAnsi="Calibri"/>
                <w:b w:val="0"/>
                <w:i w:val="0"/>
                <w:sz w:val="18"/>
              </w:rPr>
              <w:t>Gap</w:t>
            </w:r>
          </w:p>
        </w:tc>
        <w:tc>
          <w:tcPr>
            <w:tcW w:type="dxa" w:w="2268"/>
            <w:vAlign w:val="center"/>
          </w:tcPr>
          <w:p>
            <w:pPr>
              <w:jc w:val="center"/>
            </w:pPr>
            <w:r>
              <w:rPr>
                <w:rFonts w:ascii="Calibri" w:hAnsi="Calibri"/>
                <w:b w:val="0"/>
                <w:i w:val="0"/>
                <w:sz w:val="18"/>
              </w:rPr>
              <w:t>8,82%</w:t>
            </w:r>
          </w:p>
        </w:tc>
        <w:tc>
          <w:tcPr>
            <w:tcW w:type="dxa" w:w="2268"/>
            <w:vAlign w:val="center"/>
          </w:tcPr>
          <w:p>
            <w:pPr>
              <w:jc w:val="center"/>
            </w:pPr>
            <w:r>
              <w:rPr>
                <w:rFonts w:ascii="Calibri" w:hAnsi="Calibri"/>
                <w:b w:val="0"/>
                <w:i w:val="0"/>
                <w:sz w:val="18"/>
              </w:rPr>
              <w:t>1,68%</w:t>
            </w:r>
          </w:p>
        </w:tc>
        <w:tc>
          <w:tcPr>
            <w:tcW w:type="dxa" w:w="1701"/>
            <w:vAlign w:val="center"/>
          </w:tcPr>
          <w:p>
            <w:pPr>
              <w:jc w:val="center"/>
            </w:pPr>
            <w:r>
              <w:rPr>
                <w:rFonts w:ascii="Calibri" w:hAnsi="Calibri"/>
                <w:b w:val="0"/>
                <w:i w:val="0"/>
                <w:sz w:val="18"/>
              </w:rPr>
              <w:t>−7,14 pp</w:t>
            </w:r>
          </w:p>
        </w:tc>
      </w:tr>
      <w:tr>
        <w:tc>
          <w:tcPr>
            <w:tcW w:type="dxa" w:w="2551"/>
            <w:shd w:val="clear" w:color="auto" w:fill="EEF3FB"/>
            <w:vAlign w:val="center"/>
          </w:tcPr>
          <w:p>
            <w:pPr>
              <w:jc w:val="center"/>
            </w:pPr>
            <w:r>
              <w:rPr>
                <w:rFonts w:ascii="Calibri" w:hAnsi="Calibri"/>
                <w:b w:val="0"/>
                <w:i w:val="0"/>
                <w:sz w:val="18"/>
              </w:rPr>
              <w:t>vs. Óptimo MILP</w:t>
            </w:r>
          </w:p>
        </w:tc>
        <w:tc>
          <w:tcPr>
            <w:tcW w:type="dxa" w:w="2268"/>
            <w:shd w:val="clear" w:color="auto" w:fill="EEF3FB"/>
            <w:vAlign w:val="center"/>
          </w:tcPr>
          <w:p>
            <w:pPr>
              <w:jc w:val="center"/>
            </w:pPr>
            <w:r>
              <w:rPr>
                <w:rFonts w:ascii="Calibri" w:hAnsi="Calibri"/>
                <w:b w:val="0"/>
                <w:i w:val="0"/>
                <w:sz w:val="18"/>
              </w:rPr>
              <w:t>−4,3%</w:t>
            </w:r>
          </w:p>
        </w:tc>
        <w:tc>
          <w:tcPr>
            <w:tcW w:type="dxa" w:w="2268"/>
            <w:shd w:val="clear" w:color="auto" w:fill="EEF3FB"/>
            <w:vAlign w:val="center"/>
          </w:tcPr>
          <w:p>
            <w:pPr>
              <w:jc w:val="center"/>
            </w:pPr>
            <w:r>
              <w:rPr>
                <w:rFonts w:ascii="Calibri" w:hAnsi="Calibri"/>
                <w:b w:val="0"/>
                <w:i w:val="0"/>
                <w:sz w:val="18"/>
              </w:rPr>
              <w:t>−10,0%</w:t>
            </w:r>
          </w:p>
        </w:tc>
        <w:tc>
          <w:tcPr>
            <w:tcW w:type="dxa" w:w="1701"/>
            <w:shd w:val="clear" w:color="auto" w:fill="EEF3FB"/>
            <w:vAlign w:val="center"/>
          </w:tcPr>
          <w:p>
            <w:pPr>
              <w:jc w:val="center"/>
            </w:pPr>
            <w:r>
              <w:rPr>
                <w:rFonts w:ascii="Calibri" w:hAnsi="Calibri"/>
                <w:b w:val="0"/>
                <w:i w:val="0"/>
                <w:sz w:val="18"/>
              </w:rPr>
              <w:t>−5,7 pp</w:t>
            </w:r>
          </w:p>
        </w:tc>
      </w:tr>
      <w:tr>
        <w:tc>
          <w:tcPr>
            <w:tcW w:type="dxa" w:w="2551"/>
            <w:vAlign w:val="center"/>
          </w:tcPr>
          <w:p>
            <w:pPr>
              <w:jc w:val="center"/>
            </w:pPr>
            <w:r>
              <w:rPr>
                <w:rFonts w:ascii="Calibri" w:hAnsi="Calibri"/>
                <w:b w:val="0"/>
                <w:i w:val="0"/>
                <w:sz w:val="18"/>
              </w:rPr>
              <w:t>Agendados</w:t>
            </w:r>
          </w:p>
        </w:tc>
        <w:tc>
          <w:tcPr>
            <w:tcW w:type="dxa" w:w="2268"/>
            <w:vAlign w:val="center"/>
          </w:tcPr>
          <w:p>
            <w:pPr>
              <w:jc w:val="center"/>
            </w:pPr>
            <w:r>
              <w:rPr>
                <w:rFonts w:ascii="Calibri" w:hAnsi="Calibri"/>
                <w:b w:val="0"/>
                <w:i w:val="0"/>
                <w:sz w:val="18"/>
              </w:rPr>
              <w:t>132/200</w:t>
            </w:r>
          </w:p>
        </w:tc>
        <w:tc>
          <w:tcPr>
            <w:tcW w:type="dxa" w:w="2268"/>
            <w:vAlign w:val="center"/>
          </w:tcPr>
          <w:p>
            <w:pPr>
              <w:jc w:val="center"/>
            </w:pPr>
            <w:r>
              <w:rPr>
                <w:rFonts w:ascii="Calibri" w:hAnsi="Calibri"/>
                <w:b w:val="0"/>
                <w:i w:val="0"/>
                <w:sz w:val="18"/>
              </w:rPr>
              <w:t>132/200</w:t>
            </w:r>
          </w:p>
        </w:tc>
        <w:tc>
          <w:tcPr>
            <w:tcW w:type="dxa" w:w="1701"/>
            <w:vAlign w:val="center"/>
          </w:tcPr>
          <w:p>
            <w:pPr>
              <w:jc w:val="center"/>
            </w:pPr>
            <w:r>
              <w:rPr>
                <w:rFonts w:ascii="Calibri" w:hAnsi="Calibri"/>
                <w:b w:val="0"/>
                <w:i w:val="0"/>
                <w:sz w:val="18"/>
              </w:rPr>
              <w:t>—</w:t>
            </w:r>
          </w:p>
        </w:tc>
      </w:tr>
      <w:tr>
        <w:tc>
          <w:tcPr>
            <w:tcW w:type="dxa" w:w="2551"/>
            <w:shd w:val="clear" w:color="auto" w:fill="EEF3FB"/>
            <w:vAlign w:val="center"/>
          </w:tcPr>
          <w:p>
            <w:pPr>
              <w:jc w:val="center"/>
            </w:pPr>
            <w:r>
              <w:rPr>
                <w:rFonts w:ascii="Calibri" w:hAnsi="Calibri"/>
                <w:b w:val="0"/>
                <w:i w:val="0"/>
                <w:sz w:val="18"/>
              </w:rPr>
              <w:t>Tempo</w:t>
            </w:r>
          </w:p>
        </w:tc>
        <w:tc>
          <w:tcPr>
            <w:tcW w:type="dxa" w:w="2268"/>
            <w:shd w:val="clear" w:color="auto" w:fill="EEF3FB"/>
            <w:vAlign w:val="center"/>
          </w:tcPr>
          <w:p>
            <w:pPr>
              <w:jc w:val="center"/>
            </w:pPr>
            <w:r>
              <w:rPr>
                <w:rFonts w:ascii="Calibri" w:hAnsi="Calibri"/>
                <w:b w:val="0"/>
                <w:i w:val="0"/>
                <w:sz w:val="18"/>
              </w:rPr>
              <w:t>30s</w:t>
            </w:r>
          </w:p>
        </w:tc>
        <w:tc>
          <w:tcPr>
            <w:tcW w:type="dxa" w:w="2268"/>
            <w:shd w:val="clear" w:color="auto" w:fill="EEF3FB"/>
            <w:vAlign w:val="center"/>
          </w:tcPr>
          <w:p>
            <w:pPr>
              <w:jc w:val="center"/>
            </w:pPr>
            <w:r>
              <w:rPr>
                <w:rFonts w:ascii="Calibri" w:hAnsi="Calibri"/>
                <w:b w:val="0"/>
                <w:i w:val="0"/>
                <w:sz w:val="18"/>
              </w:rPr>
              <w:t>30s</w:t>
            </w:r>
          </w:p>
        </w:tc>
        <w:tc>
          <w:tcPr>
            <w:tcW w:type="dxa" w:w="1701"/>
            <w:shd w:val="clear" w:color="auto" w:fill="EEF3FB"/>
            <w:vAlign w:val="center"/>
          </w:tcPr>
          <w:p>
            <w:pPr>
              <w:jc w:val="center"/>
            </w:pPr>
            <w:r>
              <w:rPr>
                <w:rFonts w:ascii="Calibri" w:hAnsi="Calibri"/>
                <w:b w:val="0"/>
                <w:i w:val="0"/>
                <w:sz w:val="18"/>
              </w:rPr>
              <w:t>—</w:t>
            </w:r>
          </w:p>
        </w:tc>
      </w:tr>
    </w:tbl>
    <w:p>
      <w:pPr>
        <w:spacing w:after="40"/>
      </w:pPr>
    </w:p>
    <w:p>
      <w:pPr>
        <w:spacing w:before="0" w:after="120"/>
        <w:ind w:left="283"/>
        <w:jc w:val="both"/>
      </w:pPr>
      <w:r>
        <w:rPr>
          <w:rFonts w:ascii="Calibri" w:hAnsi="Calibri"/>
          <w:b w:val="0"/>
          <w:i/>
          <w:color w:val="595959"/>
          <w:sz w:val="18"/>
        </w:rPr>
        <w:t>Nota: Tabela 14 — Impacto das três optimizações (domínios apertados + warm-start greedy + linearization_level=2). Com optimizações, CP-SAT atinge um objectivo 10% abaixo do melhor possível com o MILP, a 30 segundos.</w:t>
      </w:r>
    </w:p>
    <w:p>
      <w:pPr>
        <w:spacing w:before="200" w:after="80"/>
      </w:pPr>
      <w:r>
        <w:rPr>
          <w:rFonts w:ascii="Calibri" w:hAnsi="Calibri"/>
          <w:b/>
          <w:i w:val="0"/>
          <w:color w:val="1F497D"/>
          <w:sz w:val="26"/>
        </w:rPr>
        <w:t>6.4  Comparação CP Optimizer (Apêndice)</w:t>
      </w:r>
    </w:p>
    <w:p>
      <w:pPr>
        <w:spacing w:after="120" w:before="0" w:lineRule="auto" w:line="276"/>
        <w:jc w:val="both"/>
      </w:pPr>
      <w:r>
        <w:rPr>
          <w:rFonts w:ascii="Calibri" w:hAnsi="Calibri"/>
          <w:b w:val="0"/>
          <w:i w:val="0"/>
          <w:sz w:val="22"/>
        </w:rPr>
        <w:t>O CP Optimizer (IBM ILOG, via docplex) é um backend opcional que demonstra uma diferença específica: modela o tempo de limpeza como custo de transição dependente da sequência (not flat por caso), via sequence_var com uma matriz de transição. Está implementado em src/solvers/cp_optimizer_solver.py.</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51"/>
            <w:shd w:val="clear" w:color="auto" w:fill="1F497D"/>
            <w:vAlign w:val="center"/>
          </w:tcPr>
          <w:p>
            <w:pPr>
              <w:jc w:val="center"/>
            </w:pPr>
            <w:r>
              <w:rPr>
                <w:rFonts w:ascii="Calibri" w:hAnsi="Calibri"/>
                <w:b/>
                <w:i w:val="0"/>
                <w:color w:val="FFFFFF"/>
                <w:sz w:val="18"/>
              </w:rPr>
              <w:t>Solver</w:t>
            </w:r>
          </w:p>
        </w:tc>
        <w:tc>
          <w:tcPr>
            <w:tcW w:type="dxa" w:w="1134"/>
            <w:shd w:val="clear" w:color="auto" w:fill="1F497D"/>
            <w:vAlign w:val="center"/>
          </w:tcPr>
          <w:p>
            <w:pPr>
              <w:jc w:val="center"/>
            </w:pPr>
            <w:r>
              <w:rPr>
                <w:rFonts w:ascii="Calibri" w:hAnsi="Calibri"/>
                <w:b/>
                <w:i w:val="0"/>
                <w:color w:val="FFFFFF"/>
                <w:sz w:val="18"/>
              </w:rPr>
              <w:t>Status</w:t>
            </w:r>
          </w:p>
        </w:tc>
        <w:tc>
          <w:tcPr>
            <w:tcW w:type="dxa" w:w="1417"/>
            <w:shd w:val="clear" w:color="auto" w:fill="1F497D"/>
            <w:vAlign w:val="center"/>
          </w:tcPr>
          <w:p>
            <w:pPr>
              <w:jc w:val="center"/>
            </w:pPr>
            <w:r>
              <w:rPr>
                <w:rFonts w:ascii="Calibri" w:hAnsi="Calibri"/>
                <w:b/>
                <w:i w:val="0"/>
                <w:color w:val="FFFFFF"/>
                <w:sz w:val="18"/>
              </w:rPr>
              <w:t>Objectivo</w:t>
            </w:r>
          </w:p>
        </w:tc>
        <w:tc>
          <w:tcPr>
            <w:tcW w:type="dxa" w:w="850"/>
            <w:shd w:val="clear" w:color="auto" w:fill="1F497D"/>
            <w:vAlign w:val="center"/>
          </w:tcPr>
          <w:p>
            <w:pPr>
              <w:jc w:val="center"/>
            </w:pPr>
            <w:r>
              <w:rPr>
                <w:rFonts w:ascii="Calibri" w:hAnsi="Calibri"/>
                <w:b/>
                <w:i w:val="0"/>
                <w:color w:val="FFFFFF"/>
                <w:sz w:val="18"/>
              </w:rPr>
              <w:t>Gap</w:t>
            </w:r>
          </w:p>
        </w:tc>
        <w:tc>
          <w:tcPr>
            <w:tcW w:type="dxa" w:w="1417"/>
            <w:shd w:val="clear" w:color="auto" w:fill="1F497D"/>
            <w:vAlign w:val="center"/>
          </w:tcPr>
          <w:p>
            <w:pPr>
              <w:jc w:val="center"/>
            </w:pPr>
            <w:r>
              <w:rPr>
                <w:rFonts w:ascii="Calibri" w:hAnsi="Calibri"/>
                <w:b/>
                <w:i w:val="0"/>
                <w:color w:val="FFFFFF"/>
                <w:sz w:val="18"/>
              </w:rPr>
              <w:t>Agendados</w:t>
            </w:r>
          </w:p>
        </w:tc>
        <w:tc>
          <w:tcPr>
            <w:tcW w:type="dxa" w:w="1417"/>
            <w:shd w:val="clear" w:color="auto" w:fill="1F497D"/>
            <w:vAlign w:val="center"/>
          </w:tcPr>
          <w:p>
            <w:pPr>
              <w:jc w:val="center"/>
            </w:pPr>
            <w:r>
              <w:rPr>
                <w:rFonts w:ascii="Calibri" w:hAnsi="Calibri"/>
                <w:b/>
                <w:i w:val="0"/>
                <w:color w:val="FFFFFF"/>
                <w:sz w:val="18"/>
              </w:rPr>
              <w:t>Tempo</w:t>
            </w:r>
          </w:p>
        </w:tc>
      </w:tr>
      <w:tr>
        <w:tc>
          <w:tcPr>
            <w:tcW w:type="dxa" w:w="2551"/>
            <w:shd w:val="clear" w:color="auto" w:fill="EEF3FB"/>
            <w:vAlign w:val="center"/>
          </w:tcPr>
          <w:p>
            <w:pPr>
              <w:jc w:val="center"/>
            </w:pPr>
            <w:r>
              <w:rPr>
                <w:rFonts w:ascii="Calibri" w:hAnsi="Calibri"/>
                <w:b w:val="0"/>
                <w:i w:val="0"/>
                <w:sz w:val="18"/>
              </w:rPr>
              <w:t>CP-SAT (principal)</w:t>
            </w:r>
          </w:p>
        </w:tc>
        <w:tc>
          <w:tcPr>
            <w:tcW w:type="dxa" w:w="1134"/>
            <w:shd w:val="clear" w:color="auto" w:fill="EEF3FB"/>
            <w:vAlign w:val="center"/>
          </w:tcPr>
          <w:p>
            <w:pPr>
              <w:jc w:val="center"/>
            </w:pPr>
            <w:r>
              <w:rPr>
                <w:rFonts w:ascii="Calibri" w:hAnsi="Calibri"/>
                <w:b w:val="0"/>
                <w:i w:val="0"/>
                <w:sz w:val="18"/>
              </w:rPr>
              <w:t>Optimal</w:t>
            </w:r>
          </w:p>
        </w:tc>
        <w:tc>
          <w:tcPr>
            <w:tcW w:type="dxa" w:w="1417"/>
            <w:shd w:val="clear" w:color="auto" w:fill="EEF3FB"/>
            <w:vAlign w:val="center"/>
          </w:tcPr>
          <w:p>
            <w:pPr>
              <w:jc w:val="center"/>
            </w:pPr>
            <w:r>
              <w:rPr>
                <w:rFonts w:ascii="Calibri" w:hAnsi="Calibri"/>
                <w:b w:val="0"/>
                <w:i w:val="0"/>
                <w:sz w:val="18"/>
              </w:rPr>
              <w:t>155,0</w:t>
            </w:r>
          </w:p>
        </w:tc>
        <w:tc>
          <w:tcPr>
            <w:tcW w:type="dxa" w:w="850"/>
            <w:shd w:val="clear" w:color="auto" w:fill="EEF3FB"/>
            <w:vAlign w:val="center"/>
          </w:tcPr>
          <w:p>
            <w:pPr>
              <w:jc w:val="center"/>
            </w:pPr>
            <w:r>
              <w:rPr>
                <w:rFonts w:ascii="Calibri" w:hAnsi="Calibri"/>
                <w:b w:val="0"/>
                <w:i w:val="0"/>
                <w:sz w:val="18"/>
              </w:rPr>
              <w:t>0,00%</w:t>
            </w:r>
          </w:p>
        </w:tc>
        <w:tc>
          <w:tcPr>
            <w:tcW w:type="dxa" w:w="1417"/>
            <w:shd w:val="clear" w:color="auto" w:fill="EEF3FB"/>
            <w:vAlign w:val="center"/>
          </w:tcPr>
          <w:p>
            <w:pPr>
              <w:jc w:val="center"/>
            </w:pPr>
            <w:r>
              <w:rPr>
                <w:rFonts w:ascii="Calibri" w:hAnsi="Calibri"/>
                <w:b w:val="0"/>
                <w:i w:val="0"/>
                <w:sz w:val="18"/>
              </w:rPr>
              <w:t>20/20</w:t>
            </w:r>
          </w:p>
        </w:tc>
        <w:tc>
          <w:tcPr>
            <w:tcW w:type="dxa" w:w="1417"/>
            <w:shd w:val="clear" w:color="auto" w:fill="EEF3FB"/>
            <w:vAlign w:val="center"/>
          </w:tcPr>
          <w:p>
            <w:pPr>
              <w:jc w:val="center"/>
            </w:pPr>
            <w:r>
              <w:rPr>
                <w:rFonts w:ascii="Calibri" w:hAnsi="Calibri"/>
                <w:b w:val="0"/>
                <w:i w:val="0"/>
                <w:sz w:val="18"/>
              </w:rPr>
              <w:t>~0,1s</w:t>
            </w:r>
          </w:p>
        </w:tc>
      </w:tr>
      <w:tr>
        <w:tc>
          <w:tcPr>
            <w:tcW w:type="dxa" w:w="2551"/>
            <w:vAlign w:val="center"/>
          </w:tcPr>
          <w:p>
            <w:pPr>
              <w:jc w:val="center"/>
            </w:pPr>
            <w:r>
              <w:rPr>
                <w:rFonts w:ascii="Calibri" w:hAnsi="Calibri"/>
                <w:b w:val="0"/>
                <w:i w:val="0"/>
                <w:sz w:val="18"/>
              </w:rPr>
              <w:t>CP Optimizer (apêndice)</w:t>
            </w:r>
          </w:p>
        </w:tc>
        <w:tc>
          <w:tcPr>
            <w:tcW w:type="dxa" w:w="1134"/>
            <w:vAlign w:val="center"/>
          </w:tcPr>
          <w:p>
            <w:pPr>
              <w:jc w:val="center"/>
            </w:pPr>
            <w:r>
              <w:rPr>
                <w:rFonts w:ascii="Calibri" w:hAnsi="Calibri"/>
                <w:b w:val="0"/>
                <w:i w:val="0"/>
                <w:sz w:val="18"/>
              </w:rPr>
              <w:t>Optimal</w:t>
            </w:r>
          </w:p>
        </w:tc>
        <w:tc>
          <w:tcPr>
            <w:tcW w:type="dxa" w:w="1417"/>
            <w:vAlign w:val="center"/>
          </w:tcPr>
          <w:p>
            <w:pPr>
              <w:jc w:val="center"/>
            </w:pPr>
            <w:r>
              <w:rPr>
                <w:rFonts w:ascii="Calibri" w:hAnsi="Calibri"/>
                <w:b w:val="0"/>
                <w:i w:val="0"/>
                <w:sz w:val="18"/>
              </w:rPr>
              <w:t>155,0</w:t>
            </w:r>
          </w:p>
        </w:tc>
        <w:tc>
          <w:tcPr>
            <w:tcW w:type="dxa" w:w="850"/>
            <w:vAlign w:val="center"/>
          </w:tcPr>
          <w:p>
            <w:pPr>
              <w:jc w:val="center"/>
            </w:pPr>
            <w:r>
              <w:rPr>
                <w:rFonts w:ascii="Calibri" w:hAnsi="Calibri"/>
                <w:b w:val="0"/>
                <w:i w:val="0"/>
                <w:sz w:val="18"/>
              </w:rPr>
              <w:t>0,00%</w:t>
            </w:r>
          </w:p>
        </w:tc>
        <w:tc>
          <w:tcPr>
            <w:tcW w:type="dxa" w:w="1417"/>
            <w:vAlign w:val="center"/>
          </w:tcPr>
          <w:p>
            <w:pPr>
              <w:jc w:val="center"/>
            </w:pPr>
            <w:r>
              <w:rPr>
                <w:rFonts w:ascii="Calibri" w:hAnsi="Calibri"/>
                <w:b w:val="0"/>
                <w:i w:val="0"/>
                <w:sz w:val="18"/>
              </w:rPr>
              <w:t>20/20</w:t>
            </w:r>
          </w:p>
        </w:tc>
        <w:tc>
          <w:tcPr>
            <w:tcW w:type="dxa" w:w="1417"/>
            <w:vAlign w:val="center"/>
          </w:tcPr>
          <w:p>
            <w:pPr>
              <w:jc w:val="center"/>
            </w:pPr>
            <w:r>
              <w:rPr>
                <w:rFonts w:ascii="Calibri" w:hAnsi="Calibri"/>
                <w:b w:val="0"/>
                <w:i w:val="0"/>
                <w:sz w:val="18"/>
              </w:rPr>
              <w:t>~1,1s</w:t>
            </w:r>
          </w:p>
        </w:tc>
      </w:tr>
    </w:tbl>
    <w:p>
      <w:pPr>
        <w:spacing w:after="40"/>
      </w:pPr>
    </w:p>
    <w:p>
      <w:pPr>
        <w:spacing w:before="0" w:after="120"/>
        <w:ind w:left="283"/>
        <w:jc w:val="both"/>
      </w:pPr>
      <w:r>
        <w:rPr>
          <w:rFonts w:ascii="Calibri" w:hAnsi="Calibri"/>
          <w:b w:val="0"/>
          <w:i/>
          <w:color w:val="595959"/>
          <w:sz w:val="18"/>
        </w:rPr>
        <w:t>Nota: Tabela 15 — Instância demo. CP Optimizer obtém o mesmo objectivo; os gaps de turno entre casos adjacentes da mesma sala foram verificados: exactamente 15 min (mesmo serviço), confirmando que a matriz de transição é efectiva e não um no-op.</w:t>
      </w:r>
    </w:p>
    <w:p>
      <w:pPr>
        <w:spacing w:after="120" w:before="0" w:lineRule="auto" w:line="276"/>
        <w:jc w:val="both"/>
      </w:pPr>
      <w:r>
        <w:rPr>
          <w:rFonts w:ascii="Calibri" w:hAnsi="Calibri"/>
          <w:b w:val="0"/>
          <w:i w:val="0"/>
          <w:sz w:val="22"/>
        </w:rPr>
        <w:t>A escalão 200 casos, o CP Optimizer fecha o gap muito mais lentamente que o CP-SAT ao mesmo orçamento de tempo — provavelmente por diferença de afinação da pesquisa (nenhuma fase de pesquisa personalizada nem warm-start foram aplicados). A conclusão honesta: dentro do paradigma CP, a escolha do primitivo importa (a matriz de transição é uma resposta real a uma lacuna real no modelo principal de limpeza), mas o CP-SAT permanece o motor com melhor desempenho neste projecto.</w:t>
      </w:r>
    </w:p>
    <w:p>
      <w:r>
        <w:br w:type="page"/>
      </w:r>
    </w:p>
    <w:p>
      <w:pPr>
        <w:spacing w:before="320" w:after="80"/>
      </w:pPr>
      <w:r>
        <w:rPr>
          <w:rFonts w:ascii="Calibri" w:hAnsi="Calibri"/>
          <w:b/>
          <w:i w:val="0"/>
          <w:color w:val="1F497D"/>
          <w:sz w:val="32"/>
        </w:rPr>
        <w:t>7. Conclusões</w:t>
      </w:r>
    </w:p>
    <w:p>
      <w:pPr>
        <w:spacing w:before="100" w:after="40"/>
        <w:ind w:left="283"/>
      </w:pPr>
      <w:r>
        <w:rPr>
          <w:rFonts w:ascii="Calibri" w:hAnsi="Calibri"/>
          <w:b/>
          <w:i w:val="0"/>
          <w:color w:val="1F497D"/>
          <w:sz w:val="22"/>
        </w:rPr>
        <w:t xml:space="preserve">1. </w:t>
      </w:r>
      <w:r>
        <w:rPr>
          <w:rFonts w:ascii="Calibri" w:hAnsi="Calibri"/>
          <w:b/>
          <w:i w:val="0"/>
          <w:sz w:val="22"/>
        </w:rPr>
        <w:t>CP-SAT vs. MILP: o CP-SAT agenda mais casos e obtém um objectivo mais baixo.</w:t>
      </w:r>
    </w:p>
    <w:p>
      <w:pPr>
        <w:spacing w:before="0" w:after="120"/>
        <w:ind w:left="680"/>
        <w:jc w:val="both"/>
      </w:pPr>
      <w:r>
        <w:rPr>
          <w:rFonts w:ascii="Calibri" w:hAnsi="Calibri"/>
          <w:b w:val="0"/>
          <w:i w:val="0"/>
          <w:sz w:val="22"/>
        </w:rPr>
        <w:t>131 vs. 130 casos na instância média (2 min). Obj=69 956 vs. óptimo MILP=74 074 (-5,56%). Com optimizações: obj=66 700 em 30s (-10,0%). O MILP de comparação acede a uma região viável estritamente mais pequena — não é uma questão de velocidade de pesquisa, é uma questão de formulação.</w:t>
      </w:r>
    </w:p>
    <w:p>
      <w:pPr>
        <w:spacing w:before="100" w:after="40"/>
        <w:ind w:left="283"/>
      </w:pPr>
      <w:r>
        <w:rPr>
          <w:rFonts w:ascii="Calibri" w:hAnsi="Calibri"/>
          <w:b/>
          <w:i w:val="0"/>
          <w:color w:val="1F497D"/>
          <w:sz w:val="22"/>
        </w:rPr>
        <w:t xml:space="preserve">2. </w:t>
      </w:r>
      <w:r>
        <w:rPr>
          <w:rFonts w:ascii="Calibri" w:hAnsi="Calibri"/>
          <w:b/>
          <w:i w:val="0"/>
          <w:sz w:val="22"/>
        </w:rPr>
        <w:t>A restrição de equipamento C10 é a diferença mais visível.</w:t>
      </w:r>
    </w:p>
    <w:p>
      <w:pPr>
        <w:spacing w:before="0" w:after="120"/>
        <w:ind w:left="680"/>
        <w:jc w:val="both"/>
      </w:pPr>
      <w:r>
        <w:rPr>
          <w:rFonts w:ascii="Calibri" w:hAnsi="Calibri"/>
          <w:b w:val="0"/>
          <w:i w:val="0"/>
          <w:sz w:val="22"/>
        </w:rPr>
        <w:t>O MILP conta casos por dia — proíbe C15+C17 no mesmo dia mesmo que sejam sequenciais. O CP-SAT verifica sobreposição real de tempo e coloca ambos na 3.ª feira em sequência: obj=155 vs. 157 na demo, directamente atribuível a esta diferença.</w:t>
      </w:r>
    </w:p>
    <w:p>
      <w:pPr>
        <w:spacing w:before="100" w:after="40"/>
        <w:ind w:left="283"/>
      </w:pPr>
      <w:r>
        <w:rPr>
          <w:rFonts w:ascii="Calibri" w:hAnsi="Calibri"/>
          <w:b/>
          <w:i w:val="0"/>
          <w:color w:val="1F497D"/>
          <w:sz w:val="22"/>
        </w:rPr>
        <w:t xml:space="preserve">3. </w:t>
      </w:r>
      <w:r>
        <w:rPr>
          <w:rFonts w:ascii="Calibri" w:hAnsi="Calibri"/>
          <w:b/>
          <w:i w:val="0"/>
          <w:sz w:val="22"/>
        </w:rPr>
        <w:t>A ausência de C11 no MILP é a razão estrutural mais importante.</w:t>
      </w:r>
    </w:p>
    <w:p>
      <w:pPr>
        <w:spacing w:before="0" w:after="120"/>
        <w:ind w:left="680"/>
        <w:jc w:val="both"/>
      </w:pPr>
      <w:r>
        <w:rPr>
          <w:rFonts w:ascii="Calibri" w:hAnsi="Calibri"/>
          <w:b w:val="0"/>
          <w:i w:val="0"/>
          <w:sz w:val="22"/>
        </w:rPr>
        <w:t>Camas UCI multi-dia exigem uma noção de 'dia de cirurgia' como valor contínuo — impossível num modelo de dia-baldes sem reformulação completa como intervalar. O CP-SAT modela estadias de recuperação exactas com AddCumulative.</w:t>
      </w:r>
    </w:p>
    <w:p>
      <w:pPr>
        <w:spacing w:before="100" w:after="40"/>
        <w:ind w:left="283"/>
      </w:pPr>
      <w:r>
        <w:rPr>
          <w:rFonts w:ascii="Calibri" w:hAnsi="Calibri"/>
          <w:b/>
          <w:i w:val="0"/>
          <w:color w:val="1F497D"/>
          <w:sz w:val="22"/>
        </w:rPr>
        <w:t xml:space="preserve">4. </w:t>
      </w:r>
      <w:r>
        <w:rPr>
          <w:rFonts w:ascii="Calibri" w:hAnsi="Calibri"/>
          <w:b/>
          <w:i w:val="0"/>
          <w:sz w:val="22"/>
        </w:rPr>
        <w:t>O gap mais amplo do CP-SAT não é uma fraqueza.</w:t>
      </w:r>
    </w:p>
    <w:p>
      <w:pPr>
        <w:spacing w:before="0" w:after="120"/>
        <w:ind w:left="680"/>
        <w:jc w:val="both"/>
      </w:pPr>
      <w:r>
        <w:rPr>
          <w:rFonts w:ascii="Calibri" w:hAnsi="Calibri"/>
          <w:b w:val="0"/>
          <w:i w:val="0"/>
          <w:sz w:val="22"/>
        </w:rPr>
        <w:t>6,62% de gap significa que há um plano melhor por encontrar — não que a pesquisa falhou. O MILP fecha facilmente o seu gap porque a sua região viável é mais pequena.</w:t>
      </w:r>
    </w:p>
    <w:p>
      <w:pPr>
        <w:spacing w:before="100" w:after="40"/>
        <w:ind w:left="283"/>
      </w:pPr>
      <w:r>
        <w:rPr>
          <w:rFonts w:ascii="Calibri" w:hAnsi="Calibri"/>
          <w:b/>
          <w:i w:val="0"/>
          <w:color w:val="1F497D"/>
          <w:sz w:val="22"/>
        </w:rPr>
        <w:t xml:space="preserve">5. </w:t>
      </w:r>
      <w:r>
        <w:rPr>
          <w:rFonts w:ascii="Calibri" w:hAnsi="Calibri"/>
          <w:b/>
          <w:i w:val="0"/>
          <w:sz w:val="22"/>
        </w:rPr>
        <w:t>As optimizações de desempenho têm impacto significativo.</w:t>
      </w:r>
    </w:p>
    <w:p>
      <w:pPr>
        <w:spacing w:before="0" w:after="120"/>
        <w:ind w:left="680"/>
        <w:jc w:val="both"/>
      </w:pPr>
      <w:r>
        <w:rPr>
          <w:rFonts w:ascii="Calibri" w:hAnsi="Calibri"/>
          <w:b w:val="0"/>
          <w:i w:val="0"/>
          <w:sz w:val="22"/>
        </w:rPr>
        <w:t>Domínios apertados + warm-start greedy + linearization_level=2 reduzem o objectivo 5,9% e o gap de 8,82% para 1,68% a 30 segundos, sem alterar a formulação.</w:t>
      </w:r>
    </w:p>
    <w:p>
      <w:pPr>
        <w:spacing w:before="100" w:after="40"/>
        <w:ind w:left="283"/>
      </w:pPr>
      <w:r>
        <w:rPr>
          <w:rFonts w:ascii="Calibri" w:hAnsi="Calibri"/>
          <w:b/>
          <w:i w:val="0"/>
          <w:color w:val="1F497D"/>
          <w:sz w:val="22"/>
        </w:rPr>
        <w:t xml:space="preserve">6. </w:t>
      </w:r>
      <w:r>
        <w:rPr>
          <w:rFonts w:ascii="Calibri" w:hAnsi="Calibri"/>
          <w:b/>
          <w:i w:val="0"/>
          <w:sz w:val="22"/>
        </w:rPr>
        <w:t>O modelo é completamente configurável por política hospitalar.</w:t>
      </w:r>
    </w:p>
    <w:p>
      <w:pPr>
        <w:spacing w:before="0" w:after="120"/>
        <w:ind w:left="680"/>
        <w:jc w:val="both"/>
      </w:pPr>
      <w:r>
        <w:rPr>
          <w:rFonts w:ascii="Calibri" w:hAnsi="Calibri"/>
          <w:b w:val="0"/>
          <w:i w:val="0"/>
          <w:sz w:val="22"/>
        </w:rPr>
        <w:t>Todos os parâmetros de política (tempos máximos de espera, multiplicadores, capacidade de equipamento, camas, penalização de overflow) são campos de PlanningInstance — substituídos sem tocar no código do solver.</w:t>
      </w:r>
    </w:p>
    <w:p>
      <w:pPr>
        <w:spacing w:before="100" w:after="40"/>
        <w:ind w:left="283"/>
      </w:pPr>
      <w:r>
        <w:rPr>
          <w:rFonts w:ascii="Calibri" w:hAnsi="Calibri"/>
          <w:b/>
          <w:i w:val="0"/>
          <w:color w:val="1F497D"/>
          <w:sz w:val="22"/>
        </w:rPr>
        <w:t xml:space="preserve">7. </w:t>
      </w:r>
      <w:r>
        <w:rPr>
          <w:rFonts w:ascii="Calibri" w:hAnsi="Calibri"/>
          <w:b/>
          <w:i w:val="0"/>
          <w:sz w:val="22"/>
        </w:rPr>
        <w:t>Os dados de instância sintéticos são substituíveis por dados reais.</w:t>
      </w:r>
    </w:p>
    <w:p>
      <w:pPr>
        <w:spacing w:before="0" w:after="120"/>
        <w:ind w:left="680"/>
        <w:jc w:val="both"/>
      </w:pPr>
      <w:r>
        <w:rPr>
          <w:rFonts w:ascii="Calibri" w:hAnsi="Calibri"/>
          <w:b w:val="0"/>
          <w:i w:val="0"/>
          <w:sz w:val="22"/>
        </w:rPr>
        <w:t>Akbarzadeh &amp; Maenhout (2023) disponibilizam dois datasets CC BY-4.0 de um hospital real (Ghent University Hospital) com o mesmo esquema de rosário semanal — o modelo recebe-os sem alterações de formulação, apenas com um loader.</w:t>
      </w:r>
    </w:p>
    <w:p>
      <w:pPr>
        <w:spacing w:before="320" w:after="80"/>
      </w:pPr>
      <w:r>
        <w:rPr>
          <w:rFonts w:ascii="Calibri" w:hAnsi="Calibri"/>
          <w:b/>
          <w:i w:val="0"/>
          <w:color w:val="1F497D"/>
          <w:sz w:val="32"/>
        </w:rPr>
        <w:t>8. Extensões Possíveis</w:t>
      </w:r>
    </w:p>
    <w:tbl>
      <w:tblPr>
        <w:tblStyle w:val="TableGrid"/>
        <w:tblW w:type="auto" w:w="0"/>
        <w:jc w:val="center"/>
        <w:tblLook w:firstColumn="1" w:firstRow="1" w:lastColumn="0" w:lastRow="0" w:noHBand="0" w:noVBand="1" w:val="04A0"/>
      </w:tblPr>
      <w:tblGrid>
        <w:gridCol w:w="4561"/>
        <w:gridCol w:w="4561"/>
      </w:tblGrid>
      <w:tr>
        <w:tc>
          <w:tcPr>
            <w:tcW w:type="dxa" w:w="3118"/>
            <w:shd w:val="clear" w:color="auto" w:fill="1F497D"/>
            <w:vAlign w:val="center"/>
          </w:tcPr>
          <w:p>
            <w:pPr>
              <w:jc w:val="center"/>
            </w:pPr>
            <w:r>
              <w:rPr>
                <w:rFonts w:ascii="Calibri" w:hAnsi="Calibri"/>
                <w:b/>
                <w:i w:val="0"/>
                <w:color w:val="FFFFFF"/>
                <w:sz w:val="18"/>
              </w:rPr>
              <w:t>Extensão</w:t>
            </w:r>
          </w:p>
        </w:tc>
        <w:tc>
          <w:tcPr>
            <w:tcW w:type="dxa" w:w="5669"/>
            <w:shd w:val="clear" w:color="auto" w:fill="1F497D"/>
            <w:vAlign w:val="center"/>
          </w:tcPr>
          <w:p>
            <w:pPr>
              <w:jc w:val="center"/>
            </w:pPr>
            <w:r>
              <w:rPr>
                <w:rFonts w:ascii="Calibri" w:hAnsi="Calibri"/>
                <w:b/>
                <w:i w:val="0"/>
                <w:color w:val="FFFFFF"/>
                <w:sz w:val="18"/>
              </w:rPr>
              <w:t>Abordagem sugerida</w:t>
            </w:r>
          </w:p>
        </w:tc>
      </w:tr>
      <w:tr>
        <w:tc>
          <w:tcPr>
            <w:tcW w:type="dxa" w:w="3118"/>
            <w:shd w:val="clear" w:color="auto" w:fill="EEF3FB"/>
            <w:vAlign w:val="center"/>
          </w:tcPr>
          <w:p>
            <w:pPr>
              <w:jc w:val="center"/>
            </w:pPr>
            <w:r>
              <w:rPr>
                <w:rFonts w:ascii="Calibri" w:hAnsi="Calibri"/>
                <w:b w:val="0"/>
                <w:i w:val="0"/>
                <w:sz w:val="18"/>
              </w:rPr>
              <w:t>Durações estocásticas</w:t>
            </w:r>
          </w:p>
        </w:tc>
        <w:tc>
          <w:tcPr>
            <w:tcW w:type="dxa" w:w="5669"/>
            <w:shd w:val="clear" w:color="auto" w:fill="EEF3FB"/>
            <w:vAlign w:val="center"/>
          </w:tcPr>
          <w:p>
            <w:pPr>
              <w:jc w:val="center"/>
            </w:pPr>
            <w:r>
              <w:rPr>
                <w:rFonts w:ascii="Calibri" w:hAnsi="Calibri"/>
                <w:b w:val="0"/>
                <w:i w:val="0"/>
                <w:sz w:val="18"/>
              </w:rPr>
              <w:t>Programa estocástico de dois estágios: 1.ª fase coloca casos, 2.ª fase absorve realizações de duração via custo de overtime ou caso substituído</w:t>
            </w:r>
          </w:p>
        </w:tc>
      </w:tr>
      <w:tr>
        <w:tc>
          <w:tcPr>
            <w:tcW w:type="dxa" w:w="3118"/>
            <w:vAlign w:val="center"/>
          </w:tcPr>
          <w:p>
            <w:pPr>
              <w:jc w:val="center"/>
            </w:pPr>
            <w:r>
              <w:rPr>
                <w:rFonts w:ascii="Calibri" w:hAnsi="Calibri"/>
                <w:b w:val="0"/>
                <w:i w:val="0"/>
                <w:sz w:val="18"/>
              </w:rPr>
              <w:t>Re-escalonamento intradiário</w:t>
            </w:r>
          </w:p>
        </w:tc>
        <w:tc>
          <w:tcPr>
            <w:tcW w:type="dxa" w:w="5669"/>
            <w:vAlign w:val="center"/>
          </w:tcPr>
          <w:p>
            <w:pPr>
              <w:jc w:val="center"/>
            </w:pPr>
            <w:r>
              <w:rPr>
                <w:rFonts w:ascii="Calibri" w:hAnsi="Calibri"/>
                <w:b w:val="0"/>
                <w:i w:val="0"/>
                <w:sz w:val="18"/>
              </w:rPr>
              <w:t>Large-neighbourhood search iniciada no plano corrente, re-optimizando apenas em torno da perturbação</w:t>
            </w:r>
          </w:p>
        </w:tc>
      </w:tr>
      <w:tr>
        <w:tc>
          <w:tcPr>
            <w:tcW w:type="dxa" w:w="3118"/>
            <w:shd w:val="clear" w:color="auto" w:fill="EEF3FB"/>
            <w:vAlign w:val="center"/>
          </w:tcPr>
          <w:p>
            <w:pPr>
              <w:jc w:val="center"/>
            </w:pPr>
            <w:r>
              <w:rPr>
                <w:rFonts w:ascii="Calibri" w:hAnsi="Calibri"/>
                <w:b w:val="0"/>
                <w:i w:val="0"/>
                <w:sz w:val="18"/>
              </w:rPr>
              <w:t>Reserva explícita para urgências</w:t>
            </w:r>
          </w:p>
        </w:tc>
        <w:tc>
          <w:tcPr>
            <w:tcW w:type="dxa" w:w="5669"/>
            <w:shd w:val="clear" w:color="auto" w:fill="EEF3FB"/>
            <w:vAlign w:val="center"/>
          </w:tcPr>
          <w:p>
            <w:pPr>
              <w:jc w:val="center"/>
            </w:pPr>
            <w:r>
              <w:rPr>
                <w:rFonts w:ascii="Calibri" w:hAnsi="Calibri"/>
                <w:b w:val="0"/>
                <w:i w:val="0"/>
                <w:sz w:val="18"/>
              </w:rPr>
              <w:t>Bloqueio de capacidade por dia (minutos de sala ou sala dedicada) que o modelo eletivo não pode tocar, dimensionado a partir da procura urgente observada</w:t>
            </w:r>
          </w:p>
        </w:tc>
      </w:tr>
      <w:tr>
        <w:tc>
          <w:tcPr>
            <w:tcW w:type="dxa" w:w="3118"/>
            <w:vAlign w:val="center"/>
          </w:tcPr>
          <w:p>
            <w:pPr>
              <w:jc w:val="center"/>
            </w:pPr>
            <w:r>
              <w:rPr>
                <w:rFonts w:ascii="Calibri" w:hAnsi="Calibri"/>
                <w:b w:val="0"/>
                <w:i w:val="0"/>
                <w:sz w:val="18"/>
              </w:rPr>
              <w:t>Rostering de enfermeiros/anestesistas</w:t>
            </w:r>
          </w:p>
        </w:tc>
        <w:tc>
          <w:tcPr>
            <w:tcW w:type="dxa" w:w="5669"/>
            <w:vAlign w:val="center"/>
          </w:tcPr>
          <w:p>
            <w:pPr>
              <w:jc w:val="center"/>
            </w:pPr>
            <w:r>
              <w:rPr>
                <w:rFonts w:ascii="Calibri" w:hAnsi="Calibri"/>
                <w:b w:val="0"/>
                <w:i w:val="0"/>
                <w:sz w:val="18"/>
              </w:rPr>
              <w:t>Estender H para cobrir pessoal de suporte com o mesmo padrão NoOverlap/soma já construído para cirurgiões</w:t>
            </w:r>
          </w:p>
        </w:tc>
      </w:tr>
      <w:tr>
        <w:tc>
          <w:tcPr>
            <w:tcW w:type="dxa" w:w="3118"/>
            <w:shd w:val="clear" w:color="auto" w:fill="EEF3FB"/>
            <w:vAlign w:val="center"/>
          </w:tcPr>
          <w:p>
            <w:pPr>
              <w:jc w:val="center"/>
            </w:pPr>
            <w:r>
              <w:rPr>
                <w:rFonts w:ascii="Calibri" w:hAnsi="Calibri"/>
                <w:b w:val="0"/>
                <w:i w:val="0"/>
                <w:sz w:val="18"/>
              </w:rPr>
              <w:t>Horizonte rolante multi-semana</w:t>
            </w:r>
          </w:p>
        </w:tc>
        <w:tc>
          <w:tcPr>
            <w:tcW w:type="dxa" w:w="5669"/>
            <w:shd w:val="clear" w:color="auto" w:fill="EEF3FB"/>
            <w:vAlign w:val="center"/>
          </w:tcPr>
          <w:p>
            <w:pPr>
              <w:jc w:val="center"/>
            </w:pPr>
            <w:r>
              <w:rPr>
                <w:rFonts w:ascii="Calibri" w:hAnsi="Calibri"/>
                <w:b w:val="0"/>
                <w:i w:val="0"/>
                <w:sz w:val="18"/>
              </w:rPr>
              <w:t>Resolver semanalmente, transportar casos não agendados com prioridade aumentada</w:t>
            </w:r>
          </w:p>
        </w:tc>
      </w:tr>
      <w:tr>
        <w:tc>
          <w:tcPr>
            <w:tcW w:type="dxa" w:w="3118"/>
            <w:vAlign w:val="center"/>
          </w:tcPr>
          <w:p>
            <w:pPr>
              <w:jc w:val="center"/>
            </w:pPr>
            <w:r>
              <w:rPr>
                <w:rFonts w:ascii="Calibri" w:hAnsi="Calibri"/>
                <w:b w:val="0"/>
                <w:i w:val="0"/>
                <w:sz w:val="18"/>
              </w:rPr>
              <w:t>Capacidade de camas variável por dia</w:t>
            </w:r>
          </w:p>
        </w:tc>
        <w:tc>
          <w:tcPr>
            <w:tcW w:type="dxa" w:w="5669"/>
            <w:vAlign w:val="center"/>
          </w:tcPr>
          <w:p>
            <w:pPr>
              <w:jc w:val="center"/>
            </w:pPr>
            <w:r>
              <w:rPr>
                <w:rFonts w:ascii="Calibri" w:hAnsi="Calibri"/>
                <w:b w:val="0"/>
                <w:i w:val="0"/>
                <w:sz w:val="18"/>
              </w:rPr>
              <w:t>Substituir β_ρ constante por β_ρ(d) — recurso cumulativo segmentado por dia</w:t>
            </w:r>
          </w:p>
        </w:tc>
      </w:tr>
      <w:tr>
        <w:tc>
          <w:tcPr>
            <w:tcW w:type="dxa" w:w="3118"/>
            <w:shd w:val="clear" w:color="auto" w:fill="EEF3FB"/>
            <w:vAlign w:val="center"/>
          </w:tcPr>
          <w:p>
            <w:pPr>
              <w:jc w:val="center"/>
            </w:pPr>
            <w:r>
              <w:rPr>
                <w:rFonts w:ascii="Calibri" w:hAnsi="Calibri"/>
                <w:b w:val="0"/>
                <w:i w:val="0"/>
                <w:sz w:val="18"/>
              </w:rPr>
              <w:t>Equidade por especialidade</w:t>
            </w:r>
          </w:p>
        </w:tc>
        <w:tc>
          <w:tcPr>
            <w:tcW w:type="dxa" w:w="5669"/>
            <w:shd w:val="clear" w:color="auto" w:fill="EEF3FB"/>
            <w:vAlign w:val="center"/>
          </w:tcPr>
          <w:p>
            <w:pPr>
              <w:jc w:val="center"/>
            </w:pPr>
            <w:r>
              <w:rPr>
                <w:rFonts w:ascii="Calibri" w:hAnsi="Calibri"/>
                <w:b w:val="0"/>
                <w:i w:val="0"/>
                <w:sz w:val="18"/>
              </w:rPr>
              <w:t>Objectivo secundário ou restrição a limitar a quota de incumprimento de cada serviço (ver §2.1.3 sobre o caveat de equidade)</w:t>
            </w:r>
          </w:p>
        </w:tc>
      </w:tr>
      <w:tr>
        <w:tc>
          <w:tcPr>
            <w:tcW w:type="dxa" w:w="3118"/>
            <w:vAlign w:val="center"/>
          </w:tcPr>
          <w:p>
            <w:pPr>
              <w:jc w:val="center"/>
            </w:pPr>
            <w:r>
              <w:rPr>
                <w:rFonts w:ascii="Calibri" w:hAnsi="Calibri"/>
                <w:b w:val="0"/>
                <w:i w:val="0"/>
                <w:sz w:val="18"/>
              </w:rPr>
              <w:t>Tempo de limpeza dependente da sequência (generalizado)</w:t>
            </w:r>
          </w:p>
        </w:tc>
        <w:tc>
          <w:tcPr>
            <w:tcW w:type="dxa" w:w="5669"/>
            <w:vAlign w:val="center"/>
          </w:tcPr>
          <w:p>
            <w:pPr>
              <w:jc w:val="center"/>
            </w:pPr>
            <w:r>
              <w:rPr>
                <w:rFonts w:ascii="Calibri" w:hAnsi="Calibri"/>
                <w:b w:val="0"/>
                <w:i w:val="0"/>
                <w:sz w:val="18"/>
              </w:rPr>
              <w:t>Generalizar a abordagem de Apêndice B (matriz de transição CP Optimizer) além da hipótese de um único serviço por sala por dia</w:t>
            </w:r>
          </w:p>
        </w:tc>
      </w:tr>
    </w:tbl>
    <w:p>
      <w:pPr>
        <w:spacing w:after="40"/>
      </w:pPr>
    </w:p>
    <w:p>
      <w:pPr>
        <w:spacing w:before="0" w:after="120"/>
        <w:ind w:left="283"/>
        <w:jc w:val="both"/>
      </w:pPr>
      <w:r>
        <w:rPr>
          <w:rFonts w:ascii="Calibri" w:hAnsi="Calibri"/>
          <w:b w:val="0"/>
          <w:i/>
          <w:color w:val="595959"/>
          <w:sz w:val="18"/>
        </w:rPr>
        <w:t>Nota: Tabela 16 — Extensões ao modelo actual e abordagem sugerida para cada uma.</w:t>
      </w:r>
    </w:p>
    <w:p>
      <w:pPr>
        <w:spacing w:before="320" w:after="80"/>
      </w:pPr>
      <w:r>
        <w:rPr>
          <w:rFonts w:ascii="Calibri" w:hAnsi="Calibri"/>
          <w:b/>
          <w:i w:val="0"/>
          <w:color w:val="1F497D"/>
          <w:sz w:val="32"/>
        </w:rPr>
        <w:t>9. Referências Bibliográficas</w:t>
      </w:r>
    </w:p>
    <w:p>
      <w:pPr>
        <w:spacing w:before="40" w:after="40"/>
        <w:ind w:left="567" w:hanging="567"/>
        <w:jc w:val="both"/>
      </w:pPr>
      <w:r>
        <w:rPr>
          <w:rFonts w:ascii="Calibri" w:hAnsi="Calibri"/>
          <w:b/>
          <w:i w:val="0"/>
          <w:sz w:val="20"/>
        </w:rPr>
        <w:t xml:space="preserve">1. Cardoen, B., Demeulemeester, E., &amp; Beliën, J. (2010). </w:t>
      </w:r>
      <w:r>
        <w:rPr>
          <w:rFonts w:ascii="Calibri" w:hAnsi="Calibri"/>
          <w:b w:val="0"/>
          <w:i w:val="0"/>
          <w:sz w:val="20"/>
        </w:rPr>
        <w:t>Operating room planning and scheduling: A literature review. European Journal of Operational Research, 201(3), 921–932.</w:t>
      </w:r>
    </w:p>
    <w:p>
      <w:pPr>
        <w:spacing w:before="40" w:after="40"/>
        <w:ind w:left="567" w:hanging="567"/>
        <w:jc w:val="both"/>
      </w:pPr>
      <w:r>
        <w:rPr>
          <w:rFonts w:ascii="Calibri" w:hAnsi="Calibri"/>
          <w:b/>
          <w:i w:val="0"/>
          <w:sz w:val="20"/>
        </w:rPr>
        <w:t xml:space="preserve">2. Marques, I., &amp; Captivo, M.E. (2015). </w:t>
      </w:r>
      <w:r>
        <w:rPr>
          <w:rFonts w:ascii="Calibri" w:hAnsi="Calibri"/>
          <w:b w:val="0"/>
          <w:i w:val="0"/>
          <w:sz w:val="20"/>
        </w:rPr>
        <w:t>Planeamento de cirurgias eletivas no Centro Hospitalar Lisboa Norte. Dissertação de Mestrado, Universidade de Lisboa.</w:t>
      </w:r>
    </w:p>
    <w:p>
      <w:pPr>
        <w:spacing w:before="40" w:after="40"/>
        <w:ind w:left="567" w:hanging="567"/>
        <w:jc w:val="both"/>
      </w:pPr>
      <w:r>
        <w:rPr>
          <w:rFonts w:ascii="Calibri" w:hAnsi="Calibri"/>
          <w:b/>
          <w:i w:val="0"/>
          <w:sz w:val="20"/>
        </w:rPr>
        <w:t xml:space="preserve">3. Denton, B.T., Miller, A.J., Balasubramanian, H.J., &amp; Huschka, T.R. (2010). </w:t>
      </w:r>
      <w:r>
        <w:rPr>
          <w:rFonts w:ascii="Calibri" w:hAnsi="Calibri"/>
          <w:b w:val="0"/>
          <w:i w:val="0"/>
          <w:sz w:val="20"/>
        </w:rPr>
        <w:t>Optimal allocation of surgery blocks to operating rooms under uncertainty. Operations Research, 58(4), 802–816.</w:t>
      </w:r>
    </w:p>
    <w:p>
      <w:pPr>
        <w:spacing w:before="40" w:after="40"/>
        <w:ind w:left="567" w:hanging="567"/>
        <w:jc w:val="both"/>
      </w:pPr>
      <w:r>
        <w:rPr>
          <w:rFonts w:ascii="Calibri" w:hAnsi="Calibri"/>
          <w:b/>
          <w:i w:val="0"/>
          <w:sz w:val="20"/>
        </w:rPr>
        <w:t xml:space="preserve">4. SIGIC (2008). </w:t>
      </w:r>
      <w:r>
        <w:rPr>
          <w:rFonts w:ascii="Calibri" w:hAnsi="Calibri"/>
          <w:b w:val="0"/>
          <w:i w:val="0"/>
          <w:sz w:val="20"/>
        </w:rPr>
        <w:t>Sistema Integrado de Gestão de Inscritos para Cirurgia. Portaria n.º 45/2008, Diário da República, 1.ª série, Portugal.</w:t>
      </w:r>
    </w:p>
    <w:p>
      <w:pPr>
        <w:spacing w:before="40" w:after="40"/>
        <w:ind w:left="567" w:hanging="567"/>
        <w:jc w:val="both"/>
      </w:pPr>
      <w:r>
        <w:rPr>
          <w:rFonts w:ascii="Calibri" w:hAnsi="Calibri"/>
          <w:b/>
          <w:i w:val="0"/>
          <w:sz w:val="20"/>
        </w:rPr>
        <w:t xml:space="preserve">5. Van Riet, C., &amp; Demeulemeester, E. (2015). </w:t>
      </w:r>
      <w:r>
        <w:rPr>
          <w:rFonts w:ascii="Calibri" w:hAnsi="Calibri"/>
          <w:b w:val="0"/>
          <w:i w:val="0"/>
          <w:sz w:val="20"/>
        </w:rPr>
        <w:t>Trade-offs in operating room planning for electives and emergencies. OR Spectrum, 37(1), 59–87.</w:t>
      </w:r>
    </w:p>
    <w:p>
      <w:pPr>
        <w:spacing w:before="40" w:after="40"/>
        <w:ind w:left="567" w:hanging="567"/>
        <w:jc w:val="both"/>
      </w:pPr>
      <w:r>
        <w:rPr>
          <w:rFonts w:ascii="Calibri" w:hAnsi="Calibri"/>
          <w:b/>
          <w:i w:val="0"/>
          <w:sz w:val="20"/>
        </w:rPr>
        <w:t xml:space="preserve">6. Macario, A. (2010). </w:t>
      </w:r>
      <w:r>
        <w:rPr>
          <w:rFonts w:ascii="Calibri" w:hAnsi="Calibri"/>
          <w:b w:val="0"/>
          <w:i w:val="0"/>
          <w:sz w:val="20"/>
        </w:rPr>
        <w:t>What does one minute of operating room time cost? Journal of Clinical Anesthesia, 22(4), 233–236.</w:t>
      </w:r>
    </w:p>
    <w:p>
      <w:pPr>
        <w:spacing w:before="40" w:after="40"/>
        <w:ind w:left="567" w:hanging="567"/>
        <w:jc w:val="both"/>
      </w:pPr>
      <w:r>
        <w:rPr>
          <w:rFonts w:ascii="Calibri" w:hAnsi="Calibri"/>
          <w:b/>
          <w:i w:val="0"/>
          <w:sz w:val="20"/>
        </w:rPr>
        <w:t xml:space="preserve">7. Baptiste, P., Le Pape, C., &amp; Nuijten, W. (2001). </w:t>
      </w:r>
      <w:r>
        <w:rPr>
          <w:rFonts w:ascii="Calibri" w:hAnsi="Calibri"/>
          <w:b w:val="0"/>
          <w:i w:val="0"/>
          <w:sz w:val="20"/>
        </w:rPr>
        <w:t>Constraint-Based Scheduling: Applying Constraint Programming to Scheduling Problems. Kluwer Academic Publishers.</w:t>
      </w:r>
    </w:p>
    <w:p>
      <w:pPr>
        <w:spacing w:before="40" w:after="40"/>
        <w:ind w:left="567" w:hanging="567"/>
        <w:jc w:val="both"/>
      </w:pPr>
      <w:r>
        <w:rPr>
          <w:rFonts w:ascii="Calibri" w:hAnsi="Calibri"/>
          <w:b/>
          <w:i w:val="0"/>
          <w:sz w:val="20"/>
        </w:rPr>
        <w:t xml:space="preserve">8. Vilím, P. (2004). </w:t>
      </w:r>
      <w:r>
        <w:rPr>
          <w:rFonts w:ascii="Calibri" w:hAnsi="Calibri"/>
          <w:b w:val="0"/>
          <w:i w:val="0"/>
          <w:sz w:val="20"/>
        </w:rPr>
        <w:t>O(n log n) filtering algorithms for unary resource constraints. Proceedings of CPAIOR 2004.</w:t>
      </w:r>
    </w:p>
    <w:p>
      <w:pPr>
        <w:spacing w:before="40" w:after="40"/>
        <w:ind w:left="567" w:hanging="567"/>
        <w:jc w:val="both"/>
      </w:pPr>
      <w:r>
        <w:rPr>
          <w:rFonts w:ascii="Calibri" w:hAnsi="Calibri"/>
          <w:b/>
          <w:i w:val="0"/>
          <w:sz w:val="20"/>
        </w:rPr>
        <w:t xml:space="preserve">9. Schutt, A., Feydy, T., Stuckey, P.J., &amp; Wallace, M.G. (2009). </w:t>
      </w:r>
      <w:r>
        <w:rPr>
          <w:rFonts w:ascii="Calibri" w:hAnsi="Calibri"/>
          <w:b w:val="0"/>
          <w:i w:val="0"/>
          <w:sz w:val="20"/>
        </w:rPr>
        <w:t>Why cumulative decomposition is not as bad as it sounds. Proceedings of CP 2009.</w:t>
      </w:r>
    </w:p>
    <w:p>
      <w:pPr>
        <w:spacing w:before="40" w:after="40"/>
        <w:ind w:left="567" w:hanging="567"/>
        <w:jc w:val="both"/>
      </w:pPr>
      <w:r>
        <w:rPr>
          <w:rFonts w:ascii="Calibri" w:hAnsi="Calibri"/>
          <w:b/>
          <w:i w:val="0"/>
          <w:sz w:val="20"/>
        </w:rPr>
        <w:t xml:space="preserve">10. Perron, L., &amp; Furnon, V. (s.d.). </w:t>
      </w:r>
      <w:r>
        <w:rPr>
          <w:rFonts w:ascii="Calibri" w:hAnsi="Calibri"/>
          <w:b w:val="0"/>
          <w:i w:val="0"/>
          <w:sz w:val="20"/>
        </w:rPr>
        <w:t>CP-SAT: a Constraint Programming Solver. Google OR-Tools Documentation. https://developers.google.com/optimization/cp</w:t>
      </w:r>
    </w:p>
    <w:p>
      <w:pPr>
        <w:spacing w:before="40" w:after="40"/>
        <w:ind w:left="567" w:hanging="567"/>
        <w:jc w:val="both"/>
      </w:pPr>
      <w:r>
        <w:rPr>
          <w:rFonts w:ascii="Calibri" w:hAnsi="Calibri"/>
          <w:b/>
          <w:i w:val="0"/>
          <w:sz w:val="20"/>
        </w:rPr>
        <w:t xml:space="preserve">11. Laborie, P. (2009). </w:t>
      </w:r>
      <w:r>
        <w:rPr>
          <w:rFonts w:ascii="Calibri" w:hAnsi="Calibri"/>
          <w:b w:val="0"/>
          <w:i w:val="0"/>
          <w:sz w:val="20"/>
        </w:rPr>
        <w:t>IBM ILOG CP Optimizer for detailed scheduling illustrated on three problems. Proceedings of CPAIOR 2009.</w:t>
      </w:r>
    </w:p>
    <w:p>
      <w:pPr>
        <w:spacing w:before="40" w:after="40"/>
        <w:ind w:left="567" w:hanging="567"/>
        <w:jc w:val="both"/>
      </w:pPr>
      <w:r>
        <w:rPr>
          <w:rFonts w:ascii="Calibri" w:hAnsi="Calibri"/>
          <w:b/>
          <w:i w:val="0"/>
          <w:sz w:val="20"/>
        </w:rPr>
        <w:t xml:space="preserve">12. Akbarzadeh, B., &amp; Maenhout, B. (2023a). </w:t>
      </w:r>
      <w:r>
        <w:rPr>
          <w:rFonts w:ascii="Calibri" w:hAnsi="Calibri"/>
          <w:b w:val="0"/>
          <w:i w:val="0"/>
          <w:sz w:val="20"/>
        </w:rPr>
        <w:t>Real life data for operating room scheduling problem. Mendeley Data, V2. https://doi.org/10.17632/n2v49z2vnp.2</w:t>
      </w:r>
    </w:p>
    <w:p>
      <w:pPr>
        <w:spacing w:before="40" w:after="40"/>
        <w:ind w:left="567" w:hanging="567"/>
        <w:jc w:val="both"/>
      </w:pPr>
      <w:r>
        <w:rPr>
          <w:rFonts w:ascii="Calibri" w:hAnsi="Calibri"/>
          <w:b/>
          <w:i w:val="0"/>
          <w:sz w:val="20"/>
        </w:rPr>
        <w:t xml:space="preserve">13. Akbarzadeh, B., &amp; Maenhout, B. (2023b). </w:t>
      </w:r>
      <w:r>
        <w:rPr>
          <w:rFonts w:ascii="Calibri" w:hAnsi="Calibri"/>
          <w:b w:val="0"/>
          <w:i w:val="0"/>
          <w:sz w:val="20"/>
        </w:rPr>
        <w:t>RealLife operating room scheduling dataset, 2021-Jan-May. Mendeley Data, V1. https://doi.org/10.17632/c8d342266x.1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