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71072" w14:textId="4BA61B07" w:rsidR="00EA2874" w:rsidRDefault="00EA2874" w:rsidP="00EA2874">
      <w:bookmarkStart w:id="0" w:name="_Hlk167015277"/>
      <w:bookmarkEnd w:id="0"/>
      <w:r>
        <w:rPr>
          <w:noProof/>
        </w:rPr>
        <w:drawing>
          <wp:anchor distT="0" distB="0" distL="114300" distR="114300" simplePos="0" relativeHeight="251661312" behindDoc="0" locked="0" layoutInCell="1" allowOverlap="1" wp14:anchorId="78E5A211" wp14:editId="5304D607">
            <wp:simplePos x="0" y="0"/>
            <wp:positionH relativeFrom="margin">
              <wp:posOffset>-215900</wp:posOffset>
            </wp:positionH>
            <wp:positionV relativeFrom="margin">
              <wp:posOffset>80010</wp:posOffset>
            </wp:positionV>
            <wp:extent cx="5400040" cy="544195"/>
            <wp:effectExtent l="0" t="0" r="0" b="0"/>
            <wp:wrapNone/>
            <wp:docPr id="344847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EBAE9" w14:textId="77777777" w:rsidR="00EA2874" w:rsidRPr="00454D06" w:rsidRDefault="00EA2874" w:rsidP="00EA2874">
      <w:pPr>
        <w:spacing w:after="200" w:line="276" w:lineRule="auto"/>
        <w:ind w:right="681"/>
        <w:rPr>
          <w:rFonts w:ascii="Arial" w:eastAsia="Calibri" w:hAnsi="Arial" w:cs="Arial"/>
          <w:color w:val="000066"/>
          <w:sz w:val="32"/>
          <w:szCs w:val="52"/>
        </w:rPr>
      </w:pPr>
    </w:p>
    <w:p w14:paraId="6BF539C9" w14:textId="65CBCD7D" w:rsidR="00EA2874" w:rsidRPr="00454D06" w:rsidRDefault="00B67251" w:rsidP="00EA2874">
      <w:pPr>
        <w:jc w:val="center"/>
        <w:rPr>
          <w:rFonts w:ascii="Arial" w:eastAsia="Calibri" w:hAnsi="Arial" w:cs="Arial"/>
          <w:color w:val="000066"/>
          <w:sz w:val="32"/>
          <w:szCs w:val="52"/>
        </w:rPr>
      </w:pPr>
      <w:r>
        <w:rPr>
          <w:rFonts w:ascii="Arial" w:eastAsia="Calibri" w:hAnsi="Arial" w:cs="Arial"/>
          <w:color w:val="000066"/>
          <w:sz w:val="32"/>
          <w:szCs w:val="52"/>
        </w:rPr>
        <w:t>Finanzas y Contabilidad</w:t>
      </w:r>
      <w:r w:rsidR="00EA2874" w:rsidRPr="00454D06">
        <w:rPr>
          <w:rFonts w:ascii="Arial" w:eastAsia="Calibri" w:hAnsi="Arial" w:cs="Arial"/>
          <w:color w:val="000066"/>
          <w:sz w:val="32"/>
          <w:szCs w:val="52"/>
        </w:rPr>
        <w:br/>
      </w:r>
      <w:r>
        <w:rPr>
          <w:rFonts w:ascii="Arial" w:eastAsia="Calibri" w:hAnsi="Arial" w:cs="Arial"/>
          <w:color w:val="000066"/>
          <w:sz w:val="32"/>
          <w:szCs w:val="52"/>
        </w:rPr>
        <w:t>2023-2024</w:t>
      </w:r>
    </w:p>
    <w:p w14:paraId="39B6B640" w14:textId="77777777" w:rsidR="00EA2874" w:rsidRPr="00454D06" w:rsidRDefault="00EA2874" w:rsidP="00EA2874">
      <w:pPr>
        <w:spacing w:after="200" w:line="276" w:lineRule="auto"/>
        <w:jc w:val="center"/>
        <w:rPr>
          <w:rFonts w:ascii="Arial" w:eastAsia="Calibri" w:hAnsi="Arial" w:cs="Arial"/>
          <w:i/>
          <w:color w:val="000066"/>
          <w:sz w:val="32"/>
          <w:szCs w:val="52"/>
        </w:rPr>
      </w:pPr>
    </w:p>
    <w:p w14:paraId="317A942F" w14:textId="77777777" w:rsidR="00EA2874" w:rsidRPr="00CD72DA" w:rsidRDefault="00EA2874" w:rsidP="00EA2874">
      <w:pPr>
        <w:jc w:val="center"/>
        <w:rPr>
          <w:rFonts w:ascii="Arial" w:hAnsi="Arial" w:cs="Arial"/>
          <w:i/>
          <w:color w:val="000066"/>
          <w:sz w:val="32"/>
          <w:szCs w:val="52"/>
        </w:rPr>
      </w:pPr>
      <w:r>
        <w:rPr>
          <w:rFonts w:ascii="Arial" w:hAnsi="Arial" w:cs="Arial"/>
          <w:i/>
          <w:color w:val="000066"/>
          <w:sz w:val="32"/>
          <w:szCs w:val="52"/>
        </w:rPr>
        <w:t>Trabajo Fin de Grado</w:t>
      </w:r>
    </w:p>
    <w:p w14:paraId="2A900180" w14:textId="5608EC9D" w:rsidR="00EA2874" w:rsidRPr="00021D41" w:rsidRDefault="00EA2874" w:rsidP="00021D41">
      <w:pPr>
        <w:jc w:val="center"/>
        <w:rPr>
          <w:b/>
          <w:bCs/>
          <w:color w:val="000779"/>
          <w:sz w:val="56"/>
          <w:szCs w:val="56"/>
        </w:rPr>
      </w:pPr>
      <w:r w:rsidRPr="00CD72DA">
        <w:rPr>
          <w:rFonts w:ascii="Arial" w:hAnsi="Arial" w:cs="Arial"/>
          <w:color w:val="000066"/>
          <w:sz w:val="52"/>
          <w:szCs w:val="52"/>
        </w:rPr>
        <w:t>“</w:t>
      </w:r>
      <w:r w:rsidR="00021D41">
        <w:rPr>
          <w:b/>
          <w:bCs/>
          <w:color w:val="000779"/>
          <w:sz w:val="56"/>
          <w:szCs w:val="56"/>
        </w:rPr>
        <w:t>¿</w:t>
      </w:r>
      <w:r w:rsidR="00367C86">
        <w:rPr>
          <w:b/>
          <w:bCs/>
          <w:color w:val="000779"/>
          <w:sz w:val="56"/>
          <w:szCs w:val="56"/>
        </w:rPr>
        <w:t>Supone</w:t>
      </w:r>
      <w:r w:rsidR="00021D41">
        <w:rPr>
          <w:b/>
          <w:bCs/>
          <w:color w:val="000779"/>
          <w:sz w:val="56"/>
          <w:szCs w:val="56"/>
        </w:rPr>
        <w:t xml:space="preserve"> la gestión pasiva </w:t>
      </w:r>
      <w:r w:rsidR="00367C86">
        <w:rPr>
          <w:b/>
          <w:bCs/>
          <w:color w:val="000779"/>
          <w:sz w:val="56"/>
          <w:szCs w:val="56"/>
        </w:rPr>
        <w:t xml:space="preserve">una amenaza para </w:t>
      </w:r>
      <w:r w:rsidR="00021D41">
        <w:rPr>
          <w:b/>
          <w:bCs/>
          <w:color w:val="000779"/>
          <w:sz w:val="56"/>
          <w:szCs w:val="56"/>
        </w:rPr>
        <w:t>la eficiencia de los mercados</w:t>
      </w:r>
      <w:r w:rsidR="00367C86">
        <w:rPr>
          <w:b/>
          <w:bCs/>
          <w:color w:val="000779"/>
          <w:sz w:val="56"/>
          <w:szCs w:val="56"/>
        </w:rPr>
        <w:t xml:space="preserve"> de renta variable</w:t>
      </w:r>
      <w:r w:rsidR="00021D41">
        <w:rPr>
          <w:b/>
          <w:bCs/>
          <w:color w:val="000779"/>
          <w:sz w:val="56"/>
          <w:szCs w:val="56"/>
        </w:rPr>
        <w:t>?</w:t>
      </w:r>
      <w:r w:rsidRPr="00CD72DA">
        <w:rPr>
          <w:rFonts w:ascii="Arial" w:hAnsi="Arial" w:cs="Arial"/>
          <w:color w:val="000066"/>
          <w:sz w:val="52"/>
          <w:szCs w:val="52"/>
        </w:rPr>
        <w:t>”</w:t>
      </w:r>
    </w:p>
    <w:p w14:paraId="71964CD6" w14:textId="77777777" w:rsidR="00EA2874" w:rsidRDefault="00EA2874" w:rsidP="00EA2874">
      <w:pPr>
        <w:jc w:val="center"/>
        <w:rPr>
          <w:rFonts w:ascii="Arial" w:hAnsi="Arial" w:cs="Arial"/>
          <w:color w:val="000066"/>
          <w:sz w:val="44"/>
          <w:szCs w:val="52"/>
        </w:rPr>
      </w:pPr>
      <w:r>
        <w:rPr>
          <w:rFonts w:ascii="Arial" w:hAnsi="Arial" w:cs="Arial"/>
          <w:noProof/>
          <w:color w:val="000066"/>
          <w:sz w:val="44"/>
          <w:szCs w:val="52"/>
          <w:lang w:val="en-US"/>
        </w:rPr>
        <w:pict w14:anchorId="1C8761CF">
          <v:shapetype id="_x0000_t32" coordsize="21600,21600" o:spt="32" o:oned="t" path="m,l21600,21600e" filled="f">
            <v:path arrowok="t" fillok="f" o:connecttype="none"/>
            <o:lock v:ext="edit" shapetype="t"/>
          </v:shapetype>
          <v:shape id="_x0000_s1027" type="#_x0000_t32" style="position:absolute;left:0;text-align:left;margin-left:81.95pt;margin-top:11.9pt;width:294pt;height:1pt;z-index:251662336;mso-wrap-edited:f" o:connectortype="straight"/>
        </w:pict>
      </w:r>
    </w:p>
    <w:p w14:paraId="2E0E9691" w14:textId="77777777" w:rsidR="00EA2874" w:rsidRDefault="00EA2874" w:rsidP="00EA2874">
      <w:pPr>
        <w:jc w:val="center"/>
        <w:rPr>
          <w:rFonts w:ascii="Arial" w:eastAsia="Calibri" w:hAnsi="Arial" w:cs="Arial"/>
          <w:color w:val="000066"/>
          <w:sz w:val="32"/>
          <w:szCs w:val="52"/>
        </w:rPr>
      </w:pPr>
      <w:r>
        <w:rPr>
          <w:rFonts w:ascii="Arial" w:eastAsia="Calibri" w:hAnsi="Arial" w:cs="Arial"/>
          <w:color w:val="000066"/>
          <w:sz w:val="32"/>
          <w:szCs w:val="52"/>
        </w:rPr>
        <w:t>Héctor Pérez Ledesma</w:t>
      </w:r>
    </w:p>
    <w:p w14:paraId="6A7306B8" w14:textId="0497403E" w:rsidR="00B67251" w:rsidRDefault="00B67251" w:rsidP="00EA2874">
      <w:pPr>
        <w:jc w:val="center"/>
        <w:rPr>
          <w:rFonts w:ascii="Arial" w:eastAsia="Calibri" w:hAnsi="Arial" w:cs="Arial"/>
          <w:color w:val="000066"/>
          <w:sz w:val="32"/>
          <w:szCs w:val="52"/>
        </w:rPr>
      </w:pPr>
      <w:r>
        <w:rPr>
          <w:rFonts w:ascii="Arial" w:eastAsia="Calibri" w:hAnsi="Arial" w:cs="Arial"/>
          <w:color w:val="000066"/>
          <w:sz w:val="32"/>
          <w:szCs w:val="52"/>
        </w:rPr>
        <w:t>Tutora:</w:t>
      </w:r>
    </w:p>
    <w:p w14:paraId="54165BF4" w14:textId="3B1E4F02" w:rsidR="00EA2874" w:rsidRPr="00454D06" w:rsidRDefault="00B67251" w:rsidP="00B67251">
      <w:pPr>
        <w:spacing w:after="200" w:line="276" w:lineRule="auto"/>
        <w:jc w:val="center"/>
        <w:rPr>
          <w:rFonts w:ascii="Arial" w:eastAsia="Calibri" w:hAnsi="Arial" w:cs="Arial"/>
          <w:color w:val="000066"/>
          <w:sz w:val="32"/>
          <w:szCs w:val="52"/>
        </w:rPr>
      </w:pPr>
      <w:r>
        <w:rPr>
          <w:rFonts w:ascii="Arial" w:eastAsia="Calibri" w:hAnsi="Arial" w:cs="Arial"/>
          <w:color w:val="000066"/>
          <w:sz w:val="32"/>
          <w:szCs w:val="52"/>
        </w:rPr>
        <w:t>Silvia Mayoral Blaya</w:t>
      </w:r>
    </w:p>
    <w:p w14:paraId="7475C836" w14:textId="77777777" w:rsidR="00EA2874" w:rsidRDefault="00EA2874" w:rsidP="00EA2874">
      <w:pPr>
        <w:jc w:val="both"/>
        <w:rPr>
          <w:rFonts w:ascii="Arial" w:eastAsia="Calibri" w:hAnsi="Arial" w:cs="Arial"/>
          <w:color w:val="000066"/>
          <w:sz w:val="32"/>
          <w:szCs w:val="52"/>
        </w:rPr>
      </w:pPr>
    </w:p>
    <w:p w14:paraId="7C387CD9" w14:textId="77777777" w:rsidR="00B67251" w:rsidRDefault="00B67251" w:rsidP="00EA2874">
      <w:pPr>
        <w:jc w:val="both"/>
        <w:rPr>
          <w:rFonts w:ascii="Arial" w:eastAsia="Calibri" w:hAnsi="Arial" w:cs="Arial"/>
          <w:color w:val="000066"/>
          <w:sz w:val="32"/>
          <w:szCs w:val="52"/>
        </w:rPr>
      </w:pPr>
    </w:p>
    <w:p w14:paraId="1DE32A67" w14:textId="77777777" w:rsidR="00B67251" w:rsidRDefault="00B67251" w:rsidP="00EA2874">
      <w:pPr>
        <w:jc w:val="both"/>
        <w:rPr>
          <w:b/>
          <w:color w:val="000066"/>
        </w:rPr>
      </w:pPr>
    </w:p>
    <w:p w14:paraId="658EB255" w14:textId="77777777" w:rsidR="00EA2874" w:rsidRPr="00BD1CEC" w:rsidRDefault="00EA2874" w:rsidP="00EA2874">
      <w:pPr>
        <w:rPr>
          <w:rFonts w:ascii="Arial" w:hAnsi="Arial" w:cs="Arial"/>
        </w:rPr>
      </w:pPr>
      <w:r>
        <w:fldChar w:fldCharType="begin"/>
      </w:r>
      <w:r>
        <w:instrText xml:space="preserve"> INCLUDEPICTURE "https://upload.wikimedia.org/wikipedia/commons/thumb/4/4f/Cc_by-nc-nd_euro_icon.svg/2000px-Cc_by-nc-nd_euro_icon.svg.png" \* MERGEFORMATINET </w:instrText>
      </w:r>
      <w:r>
        <w:fldChar w:fldCharType="separate"/>
      </w:r>
      <w:r>
        <w:rPr>
          <w:noProof/>
        </w:rPr>
        <w:pict w14:anchorId="10C01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0pt;height:39.75pt">
            <v:imagedata r:id="rId6" r:href="rId7"/>
          </v:shape>
        </w:pict>
      </w:r>
      <w:r>
        <w:fldChar w:fldCharType="end"/>
      </w:r>
      <w:r w:rsidRPr="00BD1CEC">
        <w:rPr>
          <w:rFonts w:ascii="Arial" w:hAnsi="Arial" w:cs="Arial"/>
        </w:rPr>
        <w:t xml:space="preserve"> </w:t>
      </w:r>
      <w:r>
        <w:rPr>
          <w:rFonts w:ascii="Arial" w:hAnsi="Arial" w:cs="Arial"/>
        </w:rPr>
        <w:br/>
      </w:r>
      <w:r w:rsidRPr="00BD1CEC">
        <w:rPr>
          <w:rFonts w:ascii="Arial" w:hAnsi="Arial" w:cs="Arial"/>
          <w:i/>
        </w:rPr>
        <w:t>[Incluir en el caso del interés de su publicación en el archivo abierto]</w:t>
      </w:r>
    </w:p>
    <w:p w14:paraId="3B600372" w14:textId="1E1A9B60" w:rsidR="00EA2874" w:rsidRDefault="00EA2874" w:rsidP="00EA2874">
      <w:pPr>
        <w:rPr>
          <w:sz w:val="30"/>
          <w:szCs w:val="30"/>
        </w:rPr>
      </w:pPr>
      <w:r w:rsidRPr="00BD1CEC">
        <w:rPr>
          <w:rFonts w:ascii="Arial" w:hAnsi="Arial" w:cs="Arial"/>
        </w:rPr>
        <w:t xml:space="preserve">Esta obra se encuentra sujeta a la licencia Creative </w:t>
      </w:r>
      <w:proofErr w:type="spellStart"/>
      <w:r w:rsidRPr="00BD1CEC">
        <w:rPr>
          <w:rFonts w:ascii="Arial" w:hAnsi="Arial" w:cs="Arial"/>
        </w:rPr>
        <w:t>Commons</w:t>
      </w:r>
      <w:proofErr w:type="spellEnd"/>
      <w:r>
        <w:rPr>
          <w:rFonts w:ascii="Arial" w:hAnsi="Arial" w:cs="Arial"/>
        </w:rPr>
        <w:t xml:space="preserve"> </w:t>
      </w:r>
      <w:r w:rsidRPr="00BD1CEC">
        <w:rPr>
          <w:rFonts w:ascii="Arial" w:hAnsi="Arial" w:cs="Arial"/>
          <w:b/>
        </w:rPr>
        <w:t>Reconocimiento – No Comercial – Sin Obra Deriva</w:t>
      </w:r>
    </w:p>
    <w:p w14:paraId="63920E8F" w14:textId="77777777" w:rsidR="00B11A2B" w:rsidRDefault="00B11A2B" w:rsidP="00EA2874">
      <w:pPr>
        <w:jc w:val="center"/>
        <w:rPr>
          <w:rFonts w:ascii="Times New Roman" w:hAnsi="Times New Roman" w:cs="Times New Roman"/>
          <w:b/>
          <w:bCs/>
          <w:sz w:val="28"/>
          <w:szCs w:val="28"/>
          <w:lang w:eastAsia="es-ES"/>
        </w:rPr>
      </w:pPr>
    </w:p>
    <w:p w14:paraId="02FD8B1C" w14:textId="77777777" w:rsidR="00B11A2B" w:rsidRDefault="00B11A2B" w:rsidP="00EA2874">
      <w:pPr>
        <w:jc w:val="center"/>
        <w:rPr>
          <w:rFonts w:ascii="Times New Roman" w:hAnsi="Times New Roman" w:cs="Times New Roman"/>
          <w:b/>
          <w:bCs/>
          <w:sz w:val="28"/>
          <w:szCs w:val="28"/>
          <w:lang w:eastAsia="es-ES"/>
        </w:rPr>
      </w:pPr>
    </w:p>
    <w:p w14:paraId="08E27C6D" w14:textId="77777777" w:rsidR="005B494C" w:rsidRDefault="005B494C" w:rsidP="00EA2874">
      <w:pPr>
        <w:jc w:val="center"/>
        <w:rPr>
          <w:rFonts w:ascii="Times New Roman" w:hAnsi="Times New Roman" w:cs="Times New Roman"/>
          <w:b/>
          <w:bCs/>
          <w:sz w:val="28"/>
          <w:szCs w:val="28"/>
          <w:lang w:eastAsia="es-ES"/>
        </w:rPr>
      </w:pPr>
    </w:p>
    <w:p w14:paraId="788A9D79" w14:textId="77777777" w:rsidR="005B494C" w:rsidRDefault="005B494C" w:rsidP="00EA2874">
      <w:pPr>
        <w:jc w:val="center"/>
        <w:rPr>
          <w:rFonts w:ascii="Times New Roman" w:hAnsi="Times New Roman" w:cs="Times New Roman"/>
          <w:b/>
          <w:bCs/>
          <w:sz w:val="28"/>
          <w:szCs w:val="28"/>
          <w:lang w:eastAsia="es-ES"/>
        </w:rPr>
      </w:pPr>
    </w:p>
    <w:p w14:paraId="33CA8305" w14:textId="77777777" w:rsidR="005B494C" w:rsidRDefault="005B494C" w:rsidP="00EA2874">
      <w:pPr>
        <w:jc w:val="center"/>
        <w:rPr>
          <w:rFonts w:ascii="Times New Roman" w:hAnsi="Times New Roman" w:cs="Times New Roman"/>
          <w:b/>
          <w:bCs/>
          <w:sz w:val="28"/>
          <w:szCs w:val="28"/>
          <w:lang w:eastAsia="es-ES"/>
        </w:rPr>
      </w:pPr>
    </w:p>
    <w:p w14:paraId="1AD445EB" w14:textId="78C835F2" w:rsidR="003C3947" w:rsidRPr="00EA2874" w:rsidRDefault="003C3947" w:rsidP="00EA2874">
      <w:pPr>
        <w:jc w:val="center"/>
        <w:rPr>
          <w:sz w:val="30"/>
          <w:szCs w:val="30"/>
        </w:rPr>
      </w:pPr>
      <w:r w:rsidRPr="003C3947">
        <w:rPr>
          <w:rFonts w:ascii="Times New Roman" w:hAnsi="Times New Roman" w:cs="Times New Roman"/>
          <w:b/>
          <w:bCs/>
          <w:sz w:val="28"/>
          <w:szCs w:val="28"/>
          <w:lang w:eastAsia="es-ES"/>
        </w:rPr>
        <w:lastRenderedPageBreak/>
        <w:t>Análisis Cuantitativo</w:t>
      </w:r>
    </w:p>
    <w:p w14:paraId="6305D2A0" w14:textId="77777777" w:rsidR="003C3947" w:rsidRPr="003C3947" w:rsidRDefault="003C3947" w:rsidP="003C3947">
      <w:pPr>
        <w:spacing w:line="360" w:lineRule="auto"/>
        <w:jc w:val="center"/>
        <w:rPr>
          <w:rFonts w:ascii="Times New Roman" w:hAnsi="Times New Roman" w:cs="Times New Roman"/>
          <w:b/>
          <w:bCs/>
          <w:sz w:val="28"/>
          <w:szCs w:val="28"/>
          <w:lang w:eastAsia="es-ES"/>
        </w:rPr>
      </w:pPr>
    </w:p>
    <w:p w14:paraId="041F735D" w14:textId="68EE58DF" w:rsidR="003C3947" w:rsidRPr="003C3947" w:rsidRDefault="003C3947" w:rsidP="003C3947">
      <w:pPr>
        <w:spacing w:line="360" w:lineRule="auto"/>
        <w:jc w:val="both"/>
        <w:rPr>
          <w:rFonts w:ascii="Times New Roman" w:hAnsi="Times New Roman" w:cs="Times New Roman"/>
          <w:sz w:val="24"/>
          <w:szCs w:val="24"/>
          <w:u w:val="single"/>
          <w:lang w:eastAsia="es-ES"/>
        </w:rPr>
      </w:pPr>
      <w:r w:rsidRPr="003C3947">
        <w:rPr>
          <w:rFonts w:ascii="Times New Roman" w:hAnsi="Times New Roman" w:cs="Times New Roman"/>
          <w:sz w:val="24"/>
          <w:szCs w:val="24"/>
          <w:u w:val="single"/>
          <w:lang w:eastAsia="es-ES"/>
        </w:rPr>
        <w:t>Introducción</w:t>
      </w:r>
    </w:p>
    <w:p w14:paraId="3AEF9B7B" w14:textId="17D4F0CC" w:rsidR="00FC0835" w:rsidRDefault="003C3947" w:rsidP="003C3947">
      <w:pPr>
        <w:spacing w:line="360"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 xml:space="preserve">Las posibilidades de análisis son infinitas a la hora de valorar el impacto que tiene el fenómeno de la gestión pasiva en los mercados financieros. Existen muchas derivadas como pueden ser el impacto en la volatilidad, el impacto en el gobierno corporativo de las empresas o incrementos en los costes de negociación de acciones. Sin embargo, este estudio se va a centrar en responder una pregunta tan sencilla y trascendental como: </w:t>
      </w:r>
      <w:r w:rsidR="00EF14DF" w:rsidRPr="00EF14DF">
        <w:rPr>
          <w:rFonts w:ascii="Times New Roman" w:hAnsi="Times New Roman" w:cs="Times New Roman"/>
          <w:sz w:val="24"/>
          <w:szCs w:val="24"/>
          <w:lang w:eastAsia="es-ES"/>
        </w:rPr>
        <w:t>¿Supone la gestión pasiva una amenaza para la eficiencia de los mercados de renta variable?</w:t>
      </w:r>
      <w:r w:rsidR="00EF14DF">
        <w:rPr>
          <w:rFonts w:ascii="Times New Roman" w:hAnsi="Times New Roman" w:cs="Times New Roman"/>
          <w:sz w:val="24"/>
          <w:szCs w:val="24"/>
          <w:lang w:eastAsia="es-ES"/>
        </w:rPr>
        <w:t xml:space="preserve"> </w:t>
      </w:r>
      <w:r w:rsidR="00FC0835">
        <w:rPr>
          <w:rFonts w:ascii="Times New Roman" w:hAnsi="Times New Roman" w:cs="Times New Roman"/>
          <w:sz w:val="24"/>
          <w:szCs w:val="24"/>
          <w:lang w:eastAsia="es-ES"/>
        </w:rPr>
        <w:t>Durante los últimos años hemos escuchado en repetidas ocasiones a gestores legendarios como</w:t>
      </w:r>
      <w:r w:rsidR="007472E5">
        <w:rPr>
          <w:rFonts w:ascii="Times New Roman" w:hAnsi="Times New Roman" w:cs="Times New Roman"/>
          <w:sz w:val="24"/>
          <w:szCs w:val="24"/>
          <w:lang w:eastAsia="es-ES"/>
        </w:rPr>
        <w:t xml:space="preserve"> es</w:t>
      </w:r>
      <w:r w:rsidR="00FC0835">
        <w:rPr>
          <w:rFonts w:ascii="Times New Roman" w:hAnsi="Times New Roman" w:cs="Times New Roman"/>
          <w:sz w:val="24"/>
          <w:szCs w:val="24"/>
          <w:lang w:eastAsia="es-ES"/>
        </w:rPr>
        <w:t xml:space="preserve"> el caso de Warren Buffet</w:t>
      </w:r>
      <w:r w:rsidR="007472E5">
        <w:rPr>
          <w:rFonts w:ascii="Times New Roman" w:hAnsi="Times New Roman" w:cs="Times New Roman"/>
          <w:sz w:val="24"/>
          <w:szCs w:val="24"/>
          <w:lang w:eastAsia="es-ES"/>
        </w:rPr>
        <w:t>,</w:t>
      </w:r>
      <w:r w:rsidR="00FC0835">
        <w:rPr>
          <w:rFonts w:ascii="Times New Roman" w:hAnsi="Times New Roman" w:cs="Times New Roman"/>
          <w:sz w:val="24"/>
          <w:szCs w:val="24"/>
          <w:lang w:eastAsia="es-ES"/>
        </w:rPr>
        <w:t xml:space="preserve"> quejarse de las dificultades que se están encontrando a la hora de generar valor para sus inversores empleando estrategias tradicionales basadas en el análisis fundamental de empresas. </w:t>
      </w:r>
    </w:p>
    <w:p w14:paraId="61154D07" w14:textId="238A9D28" w:rsidR="00500924" w:rsidRDefault="00FC0835" w:rsidP="007F71B2">
      <w:pPr>
        <w:spacing w:line="360" w:lineRule="auto"/>
        <w:jc w:val="both"/>
        <w:rPr>
          <w:rFonts w:ascii="Times New Roman" w:hAnsi="Times New Roman" w:cs="Times New Roman"/>
          <w:color w:val="000000" w:themeColor="text1"/>
          <w:sz w:val="24"/>
          <w:szCs w:val="24"/>
        </w:rPr>
      </w:pPr>
      <w:r w:rsidRPr="007F71B2">
        <w:rPr>
          <w:rFonts w:ascii="Times New Roman" w:hAnsi="Times New Roman" w:cs="Times New Roman"/>
          <w:color w:val="000000" w:themeColor="text1"/>
          <w:sz w:val="24"/>
          <w:szCs w:val="24"/>
          <w:lang w:eastAsia="es-ES"/>
        </w:rPr>
        <w:t>Recientemente</w:t>
      </w:r>
      <w:r w:rsidR="007F71B2">
        <w:rPr>
          <w:rFonts w:ascii="Times New Roman" w:hAnsi="Times New Roman" w:cs="Times New Roman"/>
          <w:color w:val="000000" w:themeColor="text1"/>
          <w:sz w:val="24"/>
          <w:szCs w:val="24"/>
          <w:lang w:eastAsia="es-ES"/>
        </w:rPr>
        <w:t>,</w:t>
      </w:r>
      <w:r w:rsidRPr="007F71B2">
        <w:rPr>
          <w:rFonts w:ascii="Times New Roman" w:hAnsi="Times New Roman" w:cs="Times New Roman"/>
          <w:color w:val="000000" w:themeColor="text1"/>
          <w:sz w:val="24"/>
          <w:szCs w:val="24"/>
          <w:lang w:eastAsia="es-ES"/>
        </w:rPr>
        <w:t xml:space="preserve"> se han hecho muy virales las palabras pronunciadas por David </w:t>
      </w:r>
      <w:proofErr w:type="spellStart"/>
      <w:r w:rsidRPr="007F71B2">
        <w:rPr>
          <w:rFonts w:ascii="Times New Roman" w:hAnsi="Times New Roman" w:cs="Times New Roman"/>
          <w:color w:val="000000" w:themeColor="text1"/>
          <w:sz w:val="24"/>
          <w:szCs w:val="24"/>
          <w:lang w:eastAsia="es-ES"/>
        </w:rPr>
        <w:t>Einhorn</w:t>
      </w:r>
      <w:proofErr w:type="spellEnd"/>
      <w:r w:rsidRPr="007F71B2">
        <w:rPr>
          <w:rFonts w:ascii="Times New Roman" w:hAnsi="Times New Roman" w:cs="Times New Roman"/>
          <w:color w:val="000000" w:themeColor="text1"/>
          <w:sz w:val="24"/>
          <w:szCs w:val="24"/>
          <w:lang w:eastAsia="es-ES"/>
        </w:rPr>
        <w:t xml:space="preserve">, gestor de </w:t>
      </w:r>
      <w:proofErr w:type="spellStart"/>
      <w:r w:rsidRPr="007F71B2">
        <w:rPr>
          <w:rFonts w:ascii="Times New Roman" w:hAnsi="Times New Roman" w:cs="Times New Roman"/>
          <w:color w:val="000000" w:themeColor="text1"/>
          <w:sz w:val="24"/>
          <w:szCs w:val="24"/>
          <w:lang w:eastAsia="es-ES"/>
        </w:rPr>
        <w:t>Greenlight</w:t>
      </w:r>
      <w:proofErr w:type="spellEnd"/>
      <w:r w:rsidRPr="007F71B2">
        <w:rPr>
          <w:rFonts w:ascii="Times New Roman" w:hAnsi="Times New Roman" w:cs="Times New Roman"/>
          <w:color w:val="000000" w:themeColor="text1"/>
          <w:sz w:val="24"/>
          <w:szCs w:val="24"/>
          <w:lang w:eastAsia="es-ES"/>
        </w:rPr>
        <w:t xml:space="preserve"> Capital, en el podcast “</w:t>
      </w:r>
      <w:proofErr w:type="gramStart"/>
      <w:r w:rsidRPr="007F71B2">
        <w:rPr>
          <w:rFonts w:ascii="Times New Roman" w:hAnsi="Times New Roman" w:cs="Times New Roman"/>
          <w:color w:val="000000" w:themeColor="text1"/>
          <w:sz w:val="24"/>
          <w:szCs w:val="24"/>
          <w:lang w:eastAsia="es-ES"/>
        </w:rPr>
        <w:t>Masters</w:t>
      </w:r>
      <w:proofErr w:type="gramEnd"/>
      <w:r w:rsidRPr="007F71B2">
        <w:rPr>
          <w:rFonts w:ascii="Times New Roman" w:hAnsi="Times New Roman" w:cs="Times New Roman"/>
          <w:color w:val="000000" w:themeColor="text1"/>
          <w:sz w:val="24"/>
          <w:szCs w:val="24"/>
          <w:lang w:eastAsia="es-ES"/>
        </w:rPr>
        <w:t xml:space="preserve"> in Business”, donde lanzó la </w:t>
      </w:r>
      <w:r w:rsidRPr="007F71B2">
        <w:rPr>
          <w:rFonts w:ascii="Times New Roman" w:hAnsi="Times New Roman" w:cs="Times New Roman"/>
          <w:color w:val="000000" w:themeColor="text1"/>
          <w:sz w:val="24"/>
          <w:szCs w:val="24"/>
        </w:rPr>
        <w:t>siguiente</w:t>
      </w:r>
      <w:r w:rsidR="007F71B2" w:rsidRPr="007F71B2">
        <w:rPr>
          <w:rFonts w:ascii="Times New Roman" w:hAnsi="Times New Roman" w:cs="Times New Roman"/>
          <w:color w:val="000000" w:themeColor="text1"/>
          <w:sz w:val="24"/>
          <w:szCs w:val="24"/>
        </w:rPr>
        <w:t xml:space="preserve"> </w:t>
      </w:r>
      <w:r w:rsidRPr="007F71B2">
        <w:rPr>
          <w:rFonts w:ascii="Times New Roman" w:hAnsi="Times New Roman" w:cs="Times New Roman"/>
          <w:color w:val="000000" w:themeColor="text1"/>
          <w:sz w:val="24"/>
          <w:szCs w:val="24"/>
        </w:rPr>
        <w:t>afirmación</w:t>
      </w:r>
      <w:r w:rsidR="007F71B2">
        <w:rPr>
          <w:rFonts w:ascii="Times New Roman" w:hAnsi="Times New Roman" w:cs="Times New Roman"/>
          <w:color w:val="000000" w:themeColor="text1"/>
          <w:sz w:val="24"/>
          <w:szCs w:val="24"/>
        </w:rPr>
        <w:t>:</w:t>
      </w:r>
      <w:r w:rsidRPr="007F71B2">
        <w:rPr>
          <w:rFonts w:ascii="Times New Roman" w:hAnsi="Times New Roman" w:cs="Times New Roman"/>
          <w:color w:val="000000" w:themeColor="text1"/>
          <w:sz w:val="24"/>
          <w:szCs w:val="24"/>
        </w:rPr>
        <w:t xml:space="preserve"> “</w:t>
      </w:r>
      <w:r w:rsidR="007F71B2" w:rsidRPr="007F71B2">
        <w:rPr>
          <w:rFonts w:ascii="Times New Roman" w:hAnsi="Times New Roman" w:cs="Times New Roman"/>
          <w:color w:val="000000" w:themeColor="text1"/>
          <w:sz w:val="24"/>
          <w:szCs w:val="24"/>
        </w:rPr>
        <w:t>Veo los mercados fundamentalmente rotos... Los inversores pasivos no tienen una opinión sobre el valor. Ellos van a asumir que todos los demás han hecho el trabajo</w:t>
      </w:r>
      <w:r w:rsidR="00500924">
        <w:rPr>
          <w:rFonts w:ascii="Times New Roman" w:hAnsi="Times New Roman" w:cs="Times New Roman"/>
          <w:color w:val="000000" w:themeColor="text1"/>
          <w:sz w:val="24"/>
          <w:szCs w:val="24"/>
        </w:rPr>
        <w:t>.</w:t>
      </w:r>
      <w:r w:rsidRPr="007F71B2">
        <w:rPr>
          <w:rFonts w:ascii="Times New Roman" w:hAnsi="Times New Roman" w:cs="Times New Roman"/>
          <w:color w:val="000000" w:themeColor="text1"/>
          <w:sz w:val="24"/>
          <w:szCs w:val="24"/>
        </w:rPr>
        <w:t>”</w:t>
      </w:r>
      <w:r w:rsidR="00500924">
        <w:rPr>
          <w:rFonts w:ascii="Times New Roman" w:hAnsi="Times New Roman" w:cs="Times New Roman"/>
          <w:color w:val="000000" w:themeColor="text1"/>
          <w:sz w:val="24"/>
          <w:szCs w:val="24"/>
        </w:rPr>
        <w:t xml:space="preserve"> , </w:t>
      </w:r>
      <w:r w:rsidR="00E100F9">
        <w:rPr>
          <w:rFonts w:ascii="Times New Roman" w:hAnsi="Times New Roman" w:cs="Times New Roman"/>
          <w:color w:val="000000" w:themeColor="text1"/>
          <w:sz w:val="24"/>
          <w:szCs w:val="24"/>
        </w:rPr>
        <w:t xml:space="preserve"> con está afirmación, el reputado gestor, hace referencia a la entrada de agentes insensibles a los precios como los </w:t>
      </w:r>
      <w:proofErr w:type="spellStart"/>
      <w:r w:rsidR="00E100F9">
        <w:rPr>
          <w:rFonts w:ascii="Times New Roman" w:hAnsi="Times New Roman" w:cs="Times New Roman"/>
          <w:color w:val="000000" w:themeColor="text1"/>
          <w:sz w:val="24"/>
          <w:szCs w:val="24"/>
        </w:rPr>
        <w:t>HFTs</w:t>
      </w:r>
      <w:proofErr w:type="spellEnd"/>
      <w:r w:rsidR="00E100F9">
        <w:rPr>
          <w:rFonts w:ascii="Times New Roman" w:hAnsi="Times New Roman" w:cs="Times New Roman"/>
          <w:color w:val="000000" w:themeColor="text1"/>
          <w:sz w:val="24"/>
          <w:szCs w:val="24"/>
        </w:rPr>
        <w:t xml:space="preserve"> o los gestores pasivos, los cuales no realizan </w:t>
      </w:r>
      <w:r w:rsidR="006A1E63">
        <w:rPr>
          <w:rFonts w:ascii="Times New Roman" w:hAnsi="Times New Roman" w:cs="Times New Roman"/>
          <w:color w:val="000000" w:themeColor="text1"/>
          <w:sz w:val="24"/>
          <w:szCs w:val="24"/>
        </w:rPr>
        <w:t>un análisis fundamental</w:t>
      </w:r>
      <w:r w:rsidR="00E100F9">
        <w:rPr>
          <w:rFonts w:ascii="Times New Roman" w:hAnsi="Times New Roman" w:cs="Times New Roman"/>
          <w:color w:val="000000" w:themeColor="text1"/>
          <w:sz w:val="24"/>
          <w:szCs w:val="24"/>
        </w:rPr>
        <w:t xml:space="preserve"> a la ahora de operar.</w:t>
      </w:r>
    </w:p>
    <w:p w14:paraId="38847D83" w14:textId="54B5B3A1" w:rsidR="007F71B2" w:rsidRDefault="007F71B2" w:rsidP="007F71B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 cierto</w:t>
      </w:r>
      <w:r w:rsidR="0050092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es que tras las palabras</w:t>
      </w:r>
      <w:r w:rsidR="00500924">
        <w:rPr>
          <w:rFonts w:ascii="Times New Roman" w:hAnsi="Times New Roman" w:cs="Times New Roman"/>
          <w:color w:val="000000" w:themeColor="text1"/>
          <w:sz w:val="24"/>
          <w:szCs w:val="24"/>
        </w:rPr>
        <w:t xml:space="preserve"> de David </w:t>
      </w:r>
      <w:proofErr w:type="spellStart"/>
      <w:r w:rsidR="00500924">
        <w:rPr>
          <w:rFonts w:ascii="Times New Roman" w:hAnsi="Times New Roman" w:cs="Times New Roman"/>
          <w:color w:val="000000" w:themeColor="text1"/>
          <w:sz w:val="24"/>
          <w:szCs w:val="24"/>
        </w:rPr>
        <w:t>Einhorn</w:t>
      </w:r>
      <w:proofErr w:type="spellEnd"/>
      <w:r>
        <w:rPr>
          <w:rFonts w:ascii="Times New Roman" w:hAnsi="Times New Roman" w:cs="Times New Roman"/>
          <w:color w:val="000000" w:themeColor="text1"/>
          <w:sz w:val="24"/>
          <w:szCs w:val="24"/>
        </w:rPr>
        <w:t xml:space="preserve"> se esconde una realidad evidente, </w:t>
      </w:r>
      <w:r w:rsidR="00591E76">
        <w:rPr>
          <w:rFonts w:ascii="Times New Roman" w:hAnsi="Times New Roman" w:cs="Times New Roman"/>
          <w:color w:val="000000" w:themeColor="text1"/>
          <w:sz w:val="24"/>
          <w:szCs w:val="24"/>
        </w:rPr>
        <w:t>los activos gestionados de forma pasiva han pasado de representar 1 billón de dólares en el año 2010, a superar a los activos gestionados de forma activa por primera vez en la historia durante el año 2023, alcanzando la cifra de 13,29 billones de dólares. Esto, evidentemente</w:t>
      </w:r>
      <w:r w:rsidR="00500924">
        <w:rPr>
          <w:rFonts w:ascii="Times New Roman" w:hAnsi="Times New Roman" w:cs="Times New Roman"/>
          <w:color w:val="000000" w:themeColor="text1"/>
          <w:sz w:val="24"/>
          <w:szCs w:val="24"/>
        </w:rPr>
        <w:t>, tiene un impacto en el funcionamiento de los mercados financieros, debido a que la gestión pasiva es insensible a los precios, por lo que no contribuye al fenómeno tradicionalmente denominado</w:t>
      </w:r>
      <w:r w:rsidR="00B66386">
        <w:rPr>
          <w:rFonts w:ascii="Times New Roman" w:hAnsi="Times New Roman" w:cs="Times New Roman"/>
          <w:color w:val="000000" w:themeColor="text1"/>
          <w:sz w:val="24"/>
          <w:szCs w:val="24"/>
        </w:rPr>
        <w:t xml:space="preserve"> como</w:t>
      </w:r>
      <w:r w:rsidR="00500924">
        <w:rPr>
          <w:rFonts w:ascii="Times New Roman" w:hAnsi="Times New Roman" w:cs="Times New Roman"/>
          <w:color w:val="000000" w:themeColor="text1"/>
          <w:sz w:val="24"/>
          <w:szCs w:val="24"/>
        </w:rPr>
        <w:t xml:space="preserve"> “descubrimiento de precios”. Mediante este mecanismo, miles de inversores activos realizan valoraciones de compañías para comprar aquellas que a su juicio están infravaloradas y vender las sobrevaloradas. </w:t>
      </w:r>
    </w:p>
    <w:p w14:paraId="73A2966A" w14:textId="0B5EFA3C" w:rsidR="006A1E63" w:rsidRDefault="006A1E63" w:rsidP="003C3947">
      <w:pPr>
        <w:spacing w:line="360" w:lineRule="auto"/>
        <w:jc w:val="both"/>
        <w:rPr>
          <w:rFonts w:ascii="Times New Roman" w:hAnsi="Times New Roman" w:cs="Times New Roman"/>
          <w:sz w:val="24"/>
          <w:szCs w:val="24"/>
          <w:lang w:eastAsia="es-ES"/>
        </w:rPr>
      </w:pPr>
      <w:r>
        <w:rPr>
          <w:rFonts w:ascii="Times New Roman" w:hAnsi="Times New Roman" w:cs="Times New Roman"/>
          <w:color w:val="000000" w:themeColor="text1"/>
          <w:sz w:val="24"/>
          <w:szCs w:val="24"/>
        </w:rPr>
        <w:t xml:space="preserve">Por tanto, este estudio </w:t>
      </w:r>
      <w:r w:rsidR="003C3947" w:rsidRPr="003C3947">
        <w:rPr>
          <w:rFonts w:ascii="Times New Roman" w:hAnsi="Times New Roman" w:cs="Times New Roman"/>
          <w:sz w:val="24"/>
          <w:szCs w:val="24"/>
          <w:lang w:eastAsia="es-ES"/>
        </w:rPr>
        <w:t xml:space="preserve">se centra en analizar cuantitativamente el impacto de la gestión pasiva en los mercados de renta variable, con un enfoque específico en el índice S&amp;P </w:t>
      </w:r>
      <w:r w:rsidR="003C3947" w:rsidRPr="003C3947">
        <w:rPr>
          <w:rFonts w:ascii="Times New Roman" w:hAnsi="Times New Roman" w:cs="Times New Roman"/>
          <w:sz w:val="24"/>
          <w:szCs w:val="24"/>
          <w:lang w:eastAsia="es-ES"/>
        </w:rPr>
        <w:lastRenderedPageBreak/>
        <w:t>500. La hipótesis principal es que el creciente predominio de la gestión pasiva está alterando las dinámicas tradicionales de valoración de los activos, lo que podría llevar a una ruptura en el proceso de descubrimiento de precios</w:t>
      </w:r>
      <w:r w:rsidR="007472E5">
        <w:rPr>
          <w:rFonts w:ascii="Times New Roman" w:hAnsi="Times New Roman" w:cs="Times New Roman"/>
          <w:sz w:val="24"/>
          <w:szCs w:val="24"/>
          <w:lang w:eastAsia="es-ES"/>
        </w:rPr>
        <w:t xml:space="preserve"> y por tanto poner en jaque la eficiencia de los mercados</w:t>
      </w:r>
      <w:r w:rsidR="003C3947" w:rsidRPr="003C3947">
        <w:rPr>
          <w:rFonts w:ascii="Times New Roman" w:hAnsi="Times New Roman" w:cs="Times New Roman"/>
          <w:sz w:val="24"/>
          <w:szCs w:val="24"/>
          <w:lang w:eastAsia="es-ES"/>
        </w:rPr>
        <w:t>.</w:t>
      </w:r>
    </w:p>
    <w:p w14:paraId="141E715E" w14:textId="77777777" w:rsidR="00124079" w:rsidRPr="006A1E63" w:rsidRDefault="00124079" w:rsidP="003C3947">
      <w:pPr>
        <w:spacing w:line="360" w:lineRule="auto"/>
        <w:jc w:val="both"/>
        <w:rPr>
          <w:rFonts w:ascii="Times New Roman" w:hAnsi="Times New Roman" w:cs="Times New Roman"/>
          <w:color w:val="000000" w:themeColor="text1"/>
          <w:sz w:val="24"/>
          <w:szCs w:val="24"/>
        </w:rPr>
      </w:pPr>
    </w:p>
    <w:p w14:paraId="272739B0" w14:textId="12A589C2" w:rsidR="003C3947" w:rsidRPr="003C3947" w:rsidRDefault="003C3947" w:rsidP="003C3947">
      <w:pPr>
        <w:spacing w:line="360" w:lineRule="auto"/>
        <w:jc w:val="both"/>
        <w:rPr>
          <w:rFonts w:ascii="Times New Roman" w:hAnsi="Times New Roman" w:cs="Times New Roman"/>
          <w:sz w:val="24"/>
          <w:szCs w:val="24"/>
          <w:u w:val="single"/>
          <w:lang w:eastAsia="es-ES"/>
        </w:rPr>
      </w:pPr>
      <w:r w:rsidRPr="003C3947">
        <w:rPr>
          <w:rFonts w:ascii="Times New Roman" w:hAnsi="Times New Roman" w:cs="Times New Roman"/>
          <w:sz w:val="24"/>
          <w:szCs w:val="24"/>
          <w:u w:val="single"/>
          <w:lang w:eastAsia="es-ES"/>
        </w:rPr>
        <w:t>Alcance del Estudio</w:t>
      </w:r>
    </w:p>
    <w:p w14:paraId="26DCEDE1" w14:textId="4419DE39" w:rsidR="003C3947" w:rsidRDefault="003C3947" w:rsidP="003C3947">
      <w:pPr>
        <w:spacing w:line="360" w:lineRule="auto"/>
        <w:jc w:val="both"/>
        <w:rPr>
          <w:rFonts w:ascii="Times New Roman" w:hAnsi="Times New Roman" w:cs="Times New Roman"/>
          <w:sz w:val="24"/>
          <w:szCs w:val="24"/>
          <w:lang w:eastAsia="es-ES"/>
        </w:rPr>
      </w:pPr>
      <w:r w:rsidRPr="003C3947">
        <w:rPr>
          <w:rFonts w:ascii="Times New Roman" w:hAnsi="Times New Roman" w:cs="Times New Roman"/>
          <w:sz w:val="24"/>
          <w:szCs w:val="24"/>
          <w:lang w:eastAsia="es-ES"/>
        </w:rPr>
        <w:t xml:space="preserve">El estudio se divide en </w:t>
      </w:r>
      <w:r w:rsidR="00F87934">
        <w:rPr>
          <w:rFonts w:ascii="Times New Roman" w:hAnsi="Times New Roman" w:cs="Times New Roman"/>
          <w:sz w:val="24"/>
          <w:szCs w:val="24"/>
          <w:lang w:eastAsia="es-ES"/>
        </w:rPr>
        <w:t>dos</w:t>
      </w:r>
      <w:r w:rsidRPr="003C3947">
        <w:rPr>
          <w:rFonts w:ascii="Times New Roman" w:hAnsi="Times New Roman" w:cs="Times New Roman"/>
          <w:sz w:val="24"/>
          <w:szCs w:val="24"/>
          <w:lang w:eastAsia="es-ES"/>
        </w:rPr>
        <w:t xml:space="preserve"> partes principales, cada una con un objetivo específico:</w:t>
      </w:r>
    </w:p>
    <w:p w14:paraId="69C948C0" w14:textId="77777777" w:rsidR="00EF7F5E" w:rsidRPr="003C3947" w:rsidRDefault="00EF7F5E" w:rsidP="003C3947">
      <w:pPr>
        <w:spacing w:line="360" w:lineRule="auto"/>
        <w:jc w:val="both"/>
        <w:rPr>
          <w:rFonts w:ascii="Times New Roman" w:hAnsi="Times New Roman" w:cs="Times New Roman"/>
          <w:sz w:val="24"/>
          <w:szCs w:val="24"/>
          <w:lang w:eastAsia="es-ES"/>
        </w:rPr>
      </w:pPr>
    </w:p>
    <w:p w14:paraId="049E9B85" w14:textId="03F7D37C" w:rsidR="003C3947" w:rsidRPr="00FA190B" w:rsidRDefault="003C3947" w:rsidP="003C3947">
      <w:pPr>
        <w:pStyle w:val="Prrafodelista"/>
        <w:numPr>
          <w:ilvl w:val="0"/>
          <w:numId w:val="3"/>
        </w:numPr>
        <w:spacing w:line="360" w:lineRule="auto"/>
        <w:jc w:val="both"/>
        <w:rPr>
          <w:rFonts w:ascii="Times New Roman" w:hAnsi="Times New Roman" w:cs="Times New Roman"/>
          <w:b/>
          <w:bCs/>
          <w:sz w:val="24"/>
          <w:szCs w:val="24"/>
          <w:lang w:eastAsia="es-ES"/>
        </w:rPr>
      </w:pPr>
      <w:r w:rsidRPr="00FA190B">
        <w:rPr>
          <w:rFonts w:ascii="Times New Roman" w:hAnsi="Times New Roman" w:cs="Times New Roman"/>
          <w:b/>
          <w:bCs/>
          <w:sz w:val="24"/>
          <w:szCs w:val="24"/>
          <w:lang w:eastAsia="es-ES"/>
        </w:rPr>
        <w:t>Análisis de la</w:t>
      </w:r>
      <w:r w:rsidR="00353D69">
        <w:rPr>
          <w:rFonts w:ascii="Times New Roman" w:hAnsi="Times New Roman" w:cs="Times New Roman"/>
          <w:b/>
          <w:bCs/>
          <w:sz w:val="24"/>
          <w:szCs w:val="24"/>
          <w:lang w:eastAsia="es-ES"/>
        </w:rPr>
        <w:t xml:space="preserve"> evolución de la</w:t>
      </w:r>
      <w:r w:rsidRPr="00FA190B">
        <w:rPr>
          <w:rFonts w:ascii="Times New Roman" w:hAnsi="Times New Roman" w:cs="Times New Roman"/>
          <w:b/>
          <w:bCs/>
          <w:sz w:val="24"/>
          <w:szCs w:val="24"/>
          <w:lang w:eastAsia="es-ES"/>
        </w:rPr>
        <w:t xml:space="preserve"> Sincronicidad de las Acciones:</w:t>
      </w:r>
    </w:p>
    <w:p w14:paraId="0BFA235E" w14:textId="77777777" w:rsidR="003C3947" w:rsidRPr="003C3947" w:rsidRDefault="003C3947" w:rsidP="003C3947">
      <w:pPr>
        <w:pStyle w:val="Prrafodelista"/>
        <w:spacing w:line="360" w:lineRule="auto"/>
        <w:jc w:val="both"/>
        <w:rPr>
          <w:rFonts w:ascii="Times New Roman" w:hAnsi="Times New Roman" w:cs="Times New Roman"/>
          <w:sz w:val="24"/>
          <w:szCs w:val="24"/>
          <w:lang w:eastAsia="es-ES"/>
        </w:rPr>
      </w:pPr>
    </w:p>
    <w:p w14:paraId="53C0FB6E" w14:textId="606F221F" w:rsidR="003C3947" w:rsidRPr="003C3947" w:rsidRDefault="003C3947" w:rsidP="003C3947">
      <w:pPr>
        <w:pStyle w:val="Prrafodelista"/>
        <w:numPr>
          <w:ilvl w:val="0"/>
          <w:numId w:val="4"/>
        </w:numPr>
        <w:spacing w:line="360" w:lineRule="auto"/>
        <w:jc w:val="both"/>
        <w:rPr>
          <w:rFonts w:ascii="Times New Roman" w:hAnsi="Times New Roman" w:cs="Times New Roman"/>
          <w:sz w:val="24"/>
          <w:szCs w:val="24"/>
          <w:lang w:eastAsia="es-ES"/>
        </w:rPr>
      </w:pPr>
      <w:r w:rsidRPr="003C3947">
        <w:rPr>
          <w:rFonts w:ascii="Times New Roman" w:hAnsi="Times New Roman" w:cs="Times New Roman"/>
          <w:sz w:val="24"/>
          <w:szCs w:val="24"/>
          <w:lang w:eastAsia="es-ES"/>
        </w:rPr>
        <w:t>Objetivo: Evaluar cómo ha cambiado la sincronicidad de las acciones del S&amp;P 500 con respecto al índice</w:t>
      </w:r>
      <w:r w:rsidR="007472E5">
        <w:rPr>
          <w:rFonts w:ascii="Times New Roman" w:hAnsi="Times New Roman" w:cs="Times New Roman"/>
          <w:sz w:val="24"/>
          <w:szCs w:val="24"/>
          <w:lang w:eastAsia="es-ES"/>
        </w:rPr>
        <w:t xml:space="preserve"> a lo largo de las últimas décadas</w:t>
      </w:r>
      <w:r w:rsidRPr="003C3947">
        <w:rPr>
          <w:rFonts w:ascii="Times New Roman" w:hAnsi="Times New Roman" w:cs="Times New Roman"/>
          <w:sz w:val="24"/>
          <w:szCs w:val="24"/>
          <w:lang w:eastAsia="es-ES"/>
        </w:rPr>
        <w:t>.</w:t>
      </w:r>
    </w:p>
    <w:p w14:paraId="29F50FA5" w14:textId="3AE3D8F0" w:rsidR="003C3947" w:rsidRDefault="003C3947" w:rsidP="003C3947">
      <w:pPr>
        <w:pStyle w:val="Prrafodelista"/>
        <w:numPr>
          <w:ilvl w:val="0"/>
          <w:numId w:val="4"/>
        </w:numPr>
        <w:spacing w:line="360" w:lineRule="auto"/>
        <w:jc w:val="both"/>
        <w:rPr>
          <w:rFonts w:ascii="Times New Roman" w:hAnsi="Times New Roman" w:cs="Times New Roman"/>
          <w:sz w:val="24"/>
          <w:szCs w:val="24"/>
          <w:lang w:eastAsia="es-ES"/>
        </w:rPr>
      </w:pPr>
      <w:r w:rsidRPr="003C3947">
        <w:rPr>
          <w:rFonts w:ascii="Times New Roman" w:hAnsi="Times New Roman" w:cs="Times New Roman"/>
          <w:sz w:val="24"/>
          <w:szCs w:val="24"/>
          <w:lang w:eastAsia="es-ES"/>
        </w:rPr>
        <w:t>Hipótesis</w:t>
      </w:r>
      <w:r>
        <w:rPr>
          <w:rFonts w:ascii="Times New Roman" w:hAnsi="Times New Roman" w:cs="Times New Roman"/>
          <w:sz w:val="24"/>
          <w:szCs w:val="24"/>
          <w:lang w:eastAsia="es-ES"/>
        </w:rPr>
        <w:t xml:space="preserve"> 1</w:t>
      </w:r>
      <w:r w:rsidRPr="003C3947">
        <w:rPr>
          <w:rFonts w:ascii="Times New Roman" w:hAnsi="Times New Roman" w:cs="Times New Roman"/>
          <w:sz w:val="24"/>
          <w:szCs w:val="24"/>
          <w:lang w:eastAsia="es-ES"/>
        </w:rPr>
        <w:t>: La sincronicidad de las acciones ha aumentado, lo que indica que las acciones se están moviendo más en línea con el índice, potencialmente subestimando el riesgo idiosincrático</w:t>
      </w:r>
      <w:r w:rsidR="006A1E63">
        <w:rPr>
          <w:rFonts w:ascii="Times New Roman" w:hAnsi="Times New Roman" w:cs="Times New Roman"/>
          <w:sz w:val="24"/>
          <w:szCs w:val="24"/>
          <w:lang w:eastAsia="es-ES"/>
        </w:rPr>
        <w:t>, lo cual atenta contra el mecanismo de descubrimiento de precios.</w:t>
      </w:r>
    </w:p>
    <w:p w14:paraId="52A24120" w14:textId="77777777" w:rsidR="00EF7F5E" w:rsidRDefault="00EF7F5E" w:rsidP="00EF7F5E">
      <w:pPr>
        <w:pStyle w:val="Prrafodelista"/>
        <w:spacing w:line="360" w:lineRule="auto"/>
        <w:ind w:left="1080"/>
        <w:jc w:val="both"/>
        <w:rPr>
          <w:rFonts w:ascii="Times New Roman" w:hAnsi="Times New Roman" w:cs="Times New Roman"/>
          <w:sz w:val="24"/>
          <w:szCs w:val="24"/>
          <w:lang w:eastAsia="es-ES"/>
        </w:rPr>
      </w:pPr>
    </w:p>
    <w:p w14:paraId="19789A39" w14:textId="77777777" w:rsidR="003C3947" w:rsidRPr="003C3947" w:rsidRDefault="003C3947" w:rsidP="003C3947">
      <w:pPr>
        <w:pStyle w:val="Prrafodelista"/>
        <w:spacing w:line="360" w:lineRule="auto"/>
        <w:ind w:left="1080"/>
        <w:jc w:val="both"/>
        <w:rPr>
          <w:rFonts w:ascii="Times New Roman" w:hAnsi="Times New Roman" w:cs="Times New Roman"/>
          <w:sz w:val="24"/>
          <w:szCs w:val="24"/>
          <w:lang w:eastAsia="es-ES"/>
        </w:rPr>
      </w:pPr>
    </w:p>
    <w:p w14:paraId="539B37BC" w14:textId="3A23B6E6" w:rsidR="003C3947" w:rsidRPr="00EF7F5E" w:rsidRDefault="006A1E63" w:rsidP="00EF7F5E">
      <w:pPr>
        <w:pStyle w:val="Prrafodelista"/>
        <w:numPr>
          <w:ilvl w:val="0"/>
          <w:numId w:val="3"/>
        </w:numPr>
        <w:spacing w:line="360" w:lineRule="auto"/>
        <w:jc w:val="both"/>
        <w:rPr>
          <w:rFonts w:ascii="Times New Roman" w:hAnsi="Times New Roman" w:cs="Times New Roman"/>
          <w:b/>
          <w:bCs/>
          <w:sz w:val="24"/>
          <w:szCs w:val="24"/>
          <w:lang w:eastAsia="es-ES"/>
        </w:rPr>
      </w:pPr>
      <w:r w:rsidRPr="00EF7F5E">
        <w:rPr>
          <w:rFonts w:ascii="Times New Roman" w:hAnsi="Times New Roman" w:cs="Times New Roman"/>
          <w:b/>
          <w:bCs/>
          <w:sz w:val="24"/>
          <w:szCs w:val="24"/>
          <w:lang w:eastAsia="es-ES"/>
        </w:rPr>
        <w:t>Análisis del impacto de los flujos monetarios hacia ETFs de gestión pasiva en las valoraciones de acciones</w:t>
      </w:r>
      <w:r w:rsidR="003C3947" w:rsidRPr="00EF7F5E">
        <w:rPr>
          <w:rFonts w:ascii="Times New Roman" w:hAnsi="Times New Roman" w:cs="Times New Roman"/>
          <w:b/>
          <w:bCs/>
          <w:sz w:val="24"/>
          <w:szCs w:val="24"/>
          <w:lang w:eastAsia="es-ES"/>
        </w:rPr>
        <w:t>:</w:t>
      </w:r>
    </w:p>
    <w:p w14:paraId="243F874F" w14:textId="77777777" w:rsidR="003C3947" w:rsidRPr="003C3947" w:rsidRDefault="003C3947" w:rsidP="003C3947">
      <w:pPr>
        <w:pStyle w:val="Prrafodelista"/>
        <w:spacing w:line="360" w:lineRule="auto"/>
        <w:jc w:val="both"/>
        <w:rPr>
          <w:rFonts w:ascii="Times New Roman" w:hAnsi="Times New Roman" w:cs="Times New Roman"/>
          <w:sz w:val="24"/>
          <w:szCs w:val="24"/>
          <w:lang w:eastAsia="es-ES"/>
        </w:rPr>
      </w:pPr>
    </w:p>
    <w:p w14:paraId="04B6045D" w14:textId="575D9505" w:rsidR="003C3947" w:rsidRPr="003C3947" w:rsidRDefault="003C3947" w:rsidP="003C3947">
      <w:pPr>
        <w:pStyle w:val="Prrafodelista"/>
        <w:numPr>
          <w:ilvl w:val="0"/>
          <w:numId w:val="5"/>
        </w:numPr>
        <w:spacing w:line="360" w:lineRule="auto"/>
        <w:jc w:val="both"/>
        <w:rPr>
          <w:rFonts w:ascii="Times New Roman" w:hAnsi="Times New Roman" w:cs="Times New Roman"/>
          <w:sz w:val="24"/>
          <w:szCs w:val="24"/>
          <w:lang w:eastAsia="es-ES"/>
        </w:rPr>
      </w:pPr>
      <w:r w:rsidRPr="003C3947">
        <w:rPr>
          <w:rFonts w:ascii="Times New Roman" w:hAnsi="Times New Roman" w:cs="Times New Roman"/>
          <w:sz w:val="24"/>
          <w:szCs w:val="24"/>
          <w:lang w:eastAsia="es-ES"/>
        </w:rPr>
        <w:t>Objetivo: Determinar si los flujos de capital hacia los ETFs de gestión pasiva tienen un impacto</w:t>
      </w:r>
      <w:r w:rsidR="00E0767D">
        <w:rPr>
          <w:rFonts w:ascii="Times New Roman" w:hAnsi="Times New Roman" w:cs="Times New Roman"/>
          <w:sz w:val="24"/>
          <w:szCs w:val="24"/>
          <w:lang w:eastAsia="es-ES"/>
        </w:rPr>
        <w:t xml:space="preserve"> directo</w:t>
      </w:r>
      <w:r w:rsidRPr="003C3947">
        <w:rPr>
          <w:rFonts w:ascii="Times New Roman" w:hAnsi="Times New Roman" w:cs="Times New Roman"/>
          <w:sz w:val="24"/>
          <w:szCs w:val="24"/>
          <w:lang w:eastAsia="es-ES"/>
        </w:rPr>
        <w:t xml:space="preserve"> significativo en los rendimientos de las acciones del S&amp;P 500.</w:t>
      </w:r>
    </w:p>
    <w:p w14:paraId="55D207D3" w14:textId="12CC80EF" w:rsidR="003C3947" w:rsidRDefault="003C3947" w:rsidP="003C3947">
      <w:pPr>
        <w:pStyle w:val="Prrafodelista"/>
        <w:numPr>
          <w:ilvl w:val="0"/>
          <w:numId w:val="5"/>
        </w:numPr>
        <w:spacing w:line="360" w:lineRule="auto"/>
        <w:jc w:val="both"/>
        <w:rPr>
          <w:rFonts w:ascii="Times New Roman" w:hAnsi="Times New Roman" w:cs="Times New Roman"/>
          <w:sz w:val="24"/>
          <w:szCs w:val="24"/>
          <w:lang w:eastAsia="es-ES"/>
        </w:rPr>
      </w:pPr>
      <w:r w:rsidRPr="003C3947">
        <w:rPr>
          <w:rFonts w:ascii="Times New Roman" w:hAnsi="Times New Roman" w:cs="Times New Roman"/>
          <w:sz w:val="24"/>
          <w:szCs w:val="24"/>
          <w:lang w:eastAsia="es-ES"/>
        </w:rPr>
        <w:t>Hipótesis</w:t>
      </w:r>
      <w:r w:rsidR="006A1E63">
        <w:rPr>
          <w:rFonts w:ascii="Times New Roman" w:hAnsi="Times New Roman" w:cs="Times New Roman"/>
          <w:sz w:val="24"/>
          <w:szCs w:val="24"/>
          <w:lang w:eastAsia="es-ES"/>
        </w:rPr>
        <w:t xml:space="preserve"> 1</w:t>
      </w:r>
      <w:r w:rsidRPr="003C3947">
        <w:rPr>
          <w:rFonts w:ascii="Times New Roman" w:hAnsi="Times New Roman" w:cs="Times New Roman"/>
          <w:sz w:val="24"/>
          <w:szCs w:val="24"/>
          <w:lang w:eastAsia="es-ES"/>
        </w:rPr>
        <w:t xml:space="preserve">: Los flujos de fondos hacia los ETFs son un factor significativo en los rendimientos de las acciones, indicando que la gestión pasiva está influyendo en las valoraciones de </w:t>
      </w:r>
      <w:r w:rsidR="006A1E63">
        <w:rPr>
          <w:rFonts w:ascii="Times New Roman" w:hAnsi="Times New Roman" w:cs="Times New Roman"/>
          <w:sz w:val="24"/>
          <w:szCs w:val="24"/>
          <w:lang w:eastAsia="es-ES"/>
        </w:rPr>
        <w:t>determinadas</w:t>
      </w:r>
      <w:r w:rsidRPr="003C3947">
        <w:rPr>
          <w:rFonts w:ascii="Times New Roman" w:hAnsi="Times New Roman" w:cs="Times New Roman"/>
          <w:sz w:val="24"/>
          <w:szCs w:val="24"/>
          <w:lang w:eastAsia="es-ES"/>
        </w:rPr>
        <w:t xml:space="preserve"> acciones.</w:t>
      </w:r>
    </w:p>
    <w:p w14:paraId="324CB43D" w14:textId="77777777" w:rsidR="003C3947" w:rsidRPr="003C3947" w:rsidRDefault="003C3947" w:rsidP="003C3947">
      <w:pPr>
        <w:pStyle w:val="Prrafodelista"/>
        <w:spacing w:line="360" w:lineRule="auto"/>
        <w:ind w:left="1080"/>
        <w:jc w:val="both"/>
        <w:rPr>
          <w:rFonts w:ascii="Times New Roman" w:hAnsi="Times New Roman" w:cs="Times New Roman"/>
          <w:sz w:val="24"/>
          <w:szCs w:val="24"/>
          <w:lang w:eastAsia="es-ES"/>
        </w:rPr>
      </w:pPr>
    </w:p>
    <w:p w14:paraId="05E37352" w14:textId="77777777" w:rsidR="002D5C58" w:rsidRDefault="002D5C58" w:rsidP="00F87934">
      <w:pPr>
        <w:spacing w:line="360" w:lineRule="auto"/>
        <w:jc w:val="both"/>
        <w:rPr>
          <w:rFonts w:ascii="Times New Roman" w:hAnsi="Times New Roman" w:cs="Times New Roman"/>
          <w:sz w:val="24"/>
          <w:szCs w:val="24"/>
          <w:u w:val="single"/>
          <w:lang w:eastAsia="es-ES"/>
        </w:rPr>
      </w:pPr>
    </w:p>
    <w:p w14:paraId="4169D9E8" w14:textId="77777777" w:rsidR="00EF7F5E" w:rsidRDefault="00EF7F5E" w:rsidP="00F87934">
      <w:pPr>
        <w:spacing w:line="360" w:lineRule="auto"/>
        <w:jc w:val="both"/>
        <w:rPr>
          <w:rFonts w:ascii="Times New Roman" w:hAnsi="Times New Roman" w:cs="Times New Roman"/>
          <w:sz w:val="24"/>
          <w:szCs w:val="24"/>
          <w:u w:val="single"/>
          <w:lang w:eastAsia="es-ES"/>
        </w:rPr>
      </w:pPr>
    </w:p>
    <w:p w14:paraId="0D2425A2" w14:textId="77777777" w:rsidR="003B3576" w:rsidRDefault="003B3576" w:rsidP="00F87934">
      <w:pPr>
        <w:spacing w:line="360" w:lineRule="auto"/>
        <w:jc w:val="both"/>
        <w:rPr>
          <w:rFonts w:ascii="Times New Roman" w:hAnsi="Times New Roman" w:cs="Times New Roman"/>
          <w:sz w:val="24"/>
          <w:szCs w:val="24"/>
          <w:u w:val="single"/>
          <w:lang w:eastAsia="es-ES"/>
        </w:rPr>
      </w:pPr>
    </w:p>
    <w:p w14:paraId="74EC3387" w14:textId="2998E794" w:rsidR="003B3576" w:rsidRDefault="00F87934" w:rsidP="00F87934">
      <w:pPr>
        <w:spacing w:line="360" w:lineRule="auto"/>
        <w:jc w:val="both"/>
        <w:rPr>
          <w:rFonts w:ascii="Times New Roman" w:hAnsi="Times New Roman" w:cs="Times New Roman"/>
          <w:sz w:val="24"/>
          <w:szCs w:val="24"/>
          <w:u w:val="single"/>
          <w:lang w:eastAsia="es-ES"/>
        </w:rPr>
      </w:pPr>
      <w:r w:rsidRPr="00F87934">
        <w:rPr>
          <w:rFonts w:ascii="Times New Roman" w:hAnsi="Times New Roman" w:cs="Times New Roman"/>
          <w:sz w:val="24"/>
          <w:szCs w:val="24"/>
          <w:u w:val="single"/>
          <w:lang w:eastAsia="es-ES"/>
        </w:rPr>
        <w:lastRenderedPageBreak/>
        <w:t>Análisis de la</w:t>
      </w:r>
      <w:r w:rsidR="00353D69">
        <w:rPr>
          <w:rFonts w:ascii="Times New Roman" w:hAnsi="Times New Roman" w:cs="Times New Roman"/>
          <w:sz w:val="24"/>
          <w:szCs w:val="24"/>
          <w:u w:val="single"/>
          <w:lang w:eastAsia="es-ES"/>
        </w:rPr>
        <w:t xml:space="preserve"> evolución de la</w:t>
      </w:r>
      <w:r w:rsidRPr="00F87934">
        <w:rPr>
          <w:rFonts w:ascii="Times New Roman" w:hAnsi="Times New Roman" w:cs="Times New Roman"/>
          <w:sz w:val="24"/>
          <w:szCs w:val="24"/>
          <w:u w:val="single"/>
          <w:lang w:eastAsia="es-ES"/>
        </w:rPr>
        <w:t xml:space="preserve"> Sincronicidad de las Acciones</w:t>
      </w:r>
    </w:p>
    <w:p w14:paraId="10422819" w14:textId="77777777" w:rsidR="003B3576" w:rsidRDefault="003B3576" w:rsidP="00124079">
      <w:pPr>
        <w:spacing w:line="360" w:lineRule="auto"/>
        <w:jc w:val="both"/>
        <w:rPr>
          <w:rFonts w:ascii="Times New Roman" w:hAnsi="Times New Roman" w:cs="Times New Roman"/>
          <w:sz w:val="24"/>
          <w:szCs w:val="24"/>
          <w:lang w:eastAsia="es-ES"/>
        </w:rPr>
      </w:pPr>
    </w:p>
    <w:p w14:paraId="68269177" w14:textId="12E7D830" w:rsidR="008D4C6A" w:rsidRDefault="00124079" w:rsidP="00124079">
      <w:pPr>
        <w:spacing w:line="360" w:lineRule="auto"/>
        <w:jc w:val="both"/>
        <w:rPr>
          <w:rFonts w:ascii="Times New Roman" w:hAnsi="Times New Roman" w:cs="Times New Roman"/>
          <w:sz w:val="24"/>
          <w:szCs w:val="24"/>
          <w:lang w:eastAsia="es-ES"/>
        </w:rPr>
      </w:pPr>
      <w:r w:rsidRPr="00124079">
        <w:rPr>
          <w:rFonts w:ascii="Times New Roman" w:hAnsi="Times New Roman" w:cs="Times New Roman"/>
          <w:sz w:val="24"/>
          <w:szCs w:val="24"/>
          <w:lang w:eastAsia="es-ES"/>
        </w:rPr>
        <w:t xml:space="preserve">El objetivo de este análisis es evaluar cómo ha cambiado la sincronicidad de las acciones del S&amp;P 500 con respecto al índice </w:t>
      </w:r>
      <w:r w:rsidR="006910D6" w:rsidRPr="006910D6">
        <w:rPr>
          <w:rFonts w:ascii="Times New Roman" w:hAnsi="Times New Roman" w:cs="Times New Roman"/>
          <w:sz w:val="24"/>
          <w:szCs w:val="24"/>
          <w:lang w:eastAsia="es-ES"/>
        </w:rPr>
        <w:t>durante el periodo comprendido entre el 1998 y el 2023</w:t>
      </w:r>
      <w:r w:rsidRPr="00124079">
        <w:rPr>
          <w:rFonts w:ascii="Times New Roman" w:hAnsi="Times New Roman" w:cs="Times New Roman"/>
          <w:sz w:val="24"/>
          <w:szCs w:val="24"/>
          <w:lang w:eastAsia="es-ES"/>
        </w:rPr>
        <w:t>. La sincronicidad se refiere a la medida en que los movimientos de los precios de las acciones individuales están alineados con los movimientos de</w:t>
      </w:r>
      <w:r w:rsidR="00E0767D">
        <w:rPr>
          <w:rFonts w:ascii="Times New Roman" w:hAnsi="Times New Roman" w:cs="Times New Roman"/>
          <w:sz w:val="24"/>
          <w:szCs w:val="24"/>
          <w:lang w:eastAsia="es-ES"/>
        </w:rPr>
        <w:t xml:space="preserve"> su</w:t>
      </w:r>
      <w:r w:rsidRPr="00124079">
        <w:rPr>
          <w:rFonts w:ascii="Times New Roman" w:hAnsi="Times New Roman" w:cs="Times New Roman"/>
          <w:sz w:val="24"/>
          <w:szCs w:val="24"/>
          <w:lang w:eastAsia="es-ES"/>
        </w:rPr>
        <w:t xml:space="preserve"> índice. Un aumento en la sincronicidad puede indicar que el mercado está infraestimando el riesgo idiosincrático de cada acción, lo que podría ser una consecuencia de la creciente influencia de la gestión pasiva.</w:t>
      </w:r>
    </w:p>
    <w:p w14:paraId="629BA627" w14:textId="2AA76583" w:rsidR="008D4C6A" w:rsidRDefault="00124079" w:rsidP="00124079">
      <w:pPr>
        <w:spacing w:line="360" w:lineRule="auto"/>
        <w:jc w:val="both"/>
        <w:rPr>
          <w:rFonts w:ascii="Times New Roman" w:hAnsi="Times New Roman" w:cs="Times New Roman"/>
          <w:sz w:val="24"/>
          <w:szCs w:val="24"/>
          <w:lang w:eastAsia="es-ES"/>
        </w:rPr>
      </w:pPr>
      <w:r w:rsidRPr="00124079">
        <w:rPr>
          <w:rFonts w:ascii="Times New Roman" w:hAnsi="Times New Roman" w:cs="Times New Roman"/>
          <w:sz w:val="24"/>
          <w:szCs w:val="24"/>
          <w:lang w:eastAsia="es-ES"/>
        </w:rPr>
        <w:t>Para medir la sincronicidad, se utiliza un modelo de regresión lineal simple donde la variable dependiente es el rendimiento logarítmico de una acción individual y la variable independiente es el rendimiento logarítmico del índice S&amp;P 500. El coeficiente de determinación (R²) del modelo se emplea como medida de sincronicidad: un R² más alto sugiere una mayor sincronicidad, implicando que las acciones se mueven con una mayor correlación hacia su índice.</w:t>
      </w:r>
    </w:p>
    <w:p w14:paraId="17A0732B" w14:textId="5908A8EC" w:rsidR="00226301" w:rsidRDefault="006C54DA" w:rsidP="00C925A9">
      <w:pPr>
        <w:spacing w:line="360" w:lineRule="auto"/>
        <w:jc w:val="both"/>
        <w:rPr>
          <w:rFonts w:ascii="Times New Roman" w:hAnsi="Times New Roman" w:cs="Times New Roman"/>
          <w:sz w:val="24"/>
          <w:szCs w:val="24"/>
          <w:lang w:eastAsia="es-ES"/>
        </w:rPr>
      </w:pPr>
      <w:proofErr w:type="gramStart"/>
      <w:r>
        <w:rPr>
          <w:rFonts w:ascii="Times New Roman" w:hAnsi="Times New Roman" w:cs="Times New Roman"/>
          <w:sz w:val="24"/>
          <w:szCs w:val="24"/>
          <w:lang w:eastAsia="es-ES"/>
        </w:rPr>
        <w:t>Este análisis está inspirado en el estudio “</w:t>
      </w:r>
      <w:proofErr w:type="spellStart"/>
      <w:r>
        <w:rPr>
          <w:rFonts w:ascii="Times New Roman" w:hAnsi="Times New Roman" w:cs="Times New Roman"/>
          <w:sz w:val="24"/>
          <w:szCs w:val="24"/>
          <w:lang w:eastAsia="es-ES"/>
        </w:rPr>
        <w:t>Is</w:t>
      </w:r>
      <w:proofErr w:type="spellEnd"/>
      <w:r>
        <w:rPr>
          <w:rFonts w:ascii="Times New Roman" w:hAnsi="Times New Roman" w:cs="Times New Roman"/>
          <w:sz w:val="24"/>
          <w:szCs w:val="24"/>
          <w:lang w:eastAsia="es-ES"/>
        </w:rPr>
        <w:t xml:space="preserve"> </w:t>
      </w:r>
      <w:proofErr w:type="spellStart"/>
      <w:r>
        <w:rPr>
          <w:rFonts w:ascii="Times New Roman" w:hAnsi="Times New Roman" w:cs="Times New Roman"/>
          <w:sz w:val="24"/>
          <w:szCs w:val="24"/>
          <w:lang w:eastAsia="es-ES"/>
        </w:rPr>
        <w:t>there</w:t>
      </w:r>
      <w:proofErr w:type="spellEnd"/>
      <w:r>
        <w:rPr>
          <w:rFonts w:ascii="Times New Roman" w:hAnsi="Times New Roman" w:cs="Times New Roman"/>
          <w:sz w:val="24"/>
          <w:szCs w:val="24"/>
          <w:lang w:eastAsia="es-ES"/>
        </w:rPr>
        <w:t xml:space="preserve"> a </w:t>
      </w:r>
      <w:proofErr w:type="spellStart"/>
      <w:r>
        <w:rPr>
          <w:rFonts w:ascii="Times New Roman" w:hAnsi="Times New Roman" w:cs="Times New Roman"/>
          <w:sz w:val="24"/>
          <w:szCs w:val="24"/>
          <w:lang w:eastAsia="es-ES"/>
        </w:rPr>
        <w:t>Dark</w:t>
      </w:r>
      <w:proofErr w:type="spellEnd"/>
      <w:r>
        <w:rPr>
          <w:rFonts w:ascii="Times New Roman" w:hAnsi="Times New Roman" w:cs="Times New Roman"/>
          <w:sz w:val="24"/>
          <w:szCs w:val="24"/>
          <w:lang w:eastAsia="es-ES"/>
        </w:rPr>
        <w:t xml:space="preserve"> </w:t>
      </w:r>
      <w:proofErr w:type="spellStart"/>
      <w:r>
        <w:rPr>
          <w:rFonts w:ascii="Times New Roman" w:hAnsi="Times New Roman" w:cs="Times New Roman"/>
          <w:sz w:val="24"/>
          <w:szCs w:val="24"/>
          <w:lang w:eastAsia="es-ES"/>
        </w:rPr>
        <w:t>Side</w:t>
      </w:r>
      <w:proofErr w:type="spellEnd"/>
      <w:r>
        <w:rPr>
          <w:rFonts w:ascii="Times New Roman" w:hAnsi="Times New Roman" w:cs="Times New Roman"/>
          <w:sz w:val="24"/>
          <w:szCs w:val="24"/>
          <w:lang w:eastAsia="es-ES"/>
        </w:rPr>
        <w:t xml:space="preserve"> to Exchange </w:t>
      </w:r>
      <w:proofErr w:type="spellStart"/>
      <w:r>
        <w:rPr>
          <w:rFonts w:ascii="Times New Roman" w:hAnsi="Times New Roman" w:cs="Times New Roman"/>
          <w:sz w:val="24"/>
          <w:szCs w:val="24"/>
          <w:lang w:eastAsia="es-ES"/>
        </w:rPr>
        <w:t>Traded</w:t>
      </w:r>
      <w:proofErr w:type="spellEnd"/>
      <w:r>
        <w:rPr>
          <w:rFonts w:ascii="Times New Roman" w:hAnsi="Times New Roman" w:cs="Times New Roman"/>
          <w:sz w:val="24"/>
          <w:szCs w:val="24"/>
          <w:lang w:eastAsia="es-ES"/>
        </w:rPr>
        <w:t xml:space="preserve"> </w:t>
      </w:r>
      <w:proofErr w:type="spellStart"/>
      <w:r>
        <w:rPr>
          <w:rFonts w:ascii="Times New Roman" w:hAnsi="Times New Roman" w:cs="Times New Roman"/>
          <w:sz w:val="24"/>
          <w:szCs w:val="24"/>
          <w:lang w:eastAsia="es-ES"/>
        </w:rPr>
        <w:t>Funds</w:t>
      </w:r>
      <w:proofErr w:type="spellEnd"/>
      <w:r>
        <w:rPr>
          <w:rFonts w:ascii="Times New Roman" w:hAnsi="Times New Roman" w:cs="Times New Roman"/>
          <w:sz w:val="24"/>
          <w:szCs w:val="24"/>
          <w:lang w:eastAsia="es-ES"/>
        </w:rPr>
        <w:t>?</w:t>
      </w:r>
      <w:proofErr w:type="gramEnd"/>
      <w:r>
        <w:rPr>
          <w:rFonts w:ascii="Times New Roman" w:hAnsi="Times New Roman" w:cs="Times New Roman"/>
          <w:sz w:val="24"/>
          <w:szCs w:val="24"/>
          <w:lang w:eastAsia="es-ES"/>
        </w:rPr>
        <w:t xml:space="preserve"> </w:t>
      </w:r>
      <w:proofErr w:type="spellStart"/>
      <w:r>
        <w:rPr>
          <w:rFonts w:ascii="Times New Roman" w:hAnsi="Times New Roman" w:cs="Times New Roman"/>
          <w:sz w:val="24"/>
          <w:szCs w:val="24"/>
          <w:lang w:eastAsia="es-ES"/>
        </w:rPr>
        <w:t>An</w:t>
      </w:r>
      <w:proofErr w:type="spellEnd"/>
      <w:r>
        <w:rPr>
          <w:rFonts w:ascii="Times New Roman" w:hAnsi="Times New Roman" w:cs="Times New Roman"/>
          <w:sz w:val="24"/>
          <w:szCs w:val="24"/>
          <w:lang w:eastAsia="es-ES"/>
        </w:rPr>
        <w:t xml:space="preserve"> </w:t>
      </w:r>
      <w:proofErr w:type="spellStart"/>
      <w:r>
        <w:rPr>
          <w:rFonts w:ascii="Times New Roman" w:hAnsi="Times New Roman" w:cs="Times New Roman"/>
          <w:sz w:val="24"/>
          <w:szCs w:val="24"/>
          <w:lang w:eastAsia="es-ES"/>
        </w:rPr>
        <w:t>information</w:t>
      </w:r>
      <w:proofErr w:type="spellEnd"/>
      <w:r>
        <w:rPr>
          <w:rFonts w:ascii="Times New Roman" w:hAnsi="Times New Roman" w:cs="Times New Roman"/>
          <w:sz w:val="24"/>
          <w:szCs w:val="24"/>
          <w:lang w:eastAsia="es-ES"/>
        </w:rPr>
        <w:t xml:space="preserve"> </w:t>
      </w:r>
      <w:proofErr w:type="spellStart"/>
      <w:r>
        <w:rPr>
          <w:rFonts w:ascii="Times New Roman" w:hAnsi="Times New Roman" w:cs="Times New Roman"/>
          <w:sz w:val="24"/>
          <w:szCs w:val="24"/>
          <w:lang w:eastAsia="es-ES"/>
        </w:rPr>
        <w:t>Perspective</w:t>
      </w:r>
      <w:proofErr w:type="spellEnd"/>
      <w:r>
        <w:rPr>
          <w:rFonts w:ascii="Times New Roman" w:hAnsi="Times New Roman" w:cs="Times New Roman"/>
          <w:sz w:val="24"/>
          <w:szCs w:val="24"/>
          <w:lang w:eastAsia="es-ES"/>
        </w:rPr>
        <w:t xml:space="preserve">” publicado en 2017 por Doron </w:t>
      </w:r>
      <w:proofErr w:type="spellStart"/>
      <w:r>
        <w:rPr>
          <w:rFonts w:ascii="Times New Roman" w:hAnsi="Times New Roman" w:cs="Times New Roman"/>
          <w:sz w:val="24"/>
          <w:szCs w:val="24"/>
          <w:lang w:eastAsia="es-ES"/>
        </w:rPr>
        <w:t>Israeli</w:t>
      </w:r>
      <w:proofErr w:type="spellEnd"/>
      <w:r>
        <w:rPr>
          <w:rFonts w:ascii="Times New Roman" w:hAnsi="Times New Roman" w:cs="Times New Roman"/>
          <w:sz w:val="24"/>
          <w:szCs w:val="24"/>
          <w:lang w:eastAsia="es-ES"/>
        </w:rPr>
        <w:t xml:space="preserve">, Charles M. C. Lee y A. </w:t>
      </w:r>
      <w:proofErr w:type="spellStart"/>
      <w:r>
        <w:rPr>
          <w:rFonts w:ascii="Times New Roman" w:hAnsi="Times New Roman" w:cs="Times New Roman"/>
          <w:sz w:val="24"/>
          <w:szCs w:val="24"/>
          <w:lang w:eastAsia="es-ES"/>
        </w:rPr>
        <w:t>Sridharan</w:t>
      </w:r>
      <w:proofErr w:type="spellEnd"/>
      <w:r>
        <w:rPr>
          <w:rFonts w:ascii="Times New Roman" w:hAnsi="Times New Roman" w:cs="Times New Roman"/>
          <w:sz w:val="24"/>
          <w:szCs w:val="24"/>
          <w:lang w:eastAsia="es-ES"/>
        </w:rPr>
        <w:t xml:space="preserve">. En esta investigación, los autores proponen la sincronicidad de las acciones como uno de los factores clave a la hora de entender el impacto de </w:t>
      </w:r>
      <w:r w:rsidR="00C925A9">
        <w:rPr>
          <w:rFonts w:ascii="Times New Roman" w:hAnsi="Times New Roman" w:cs="Times New Roman"/>
          <w:sz w:val="24"/>
          <w:szCs w:val="24"/>
          <w:lang w:eastAsia="es-ES"/>
        </w:rPr>
        <w:t>la gestión pasiva</w:t>
      </w:r>
      <w:r>
        <w:rPr>
          <w:rFonts w:ascii="Times New Roman" w:hAnsi="Times New Roman" w:cs="Times New Roman"/>
          <w:sz w:val="24"/>
          <w:szCs w:val="24"/>
          <w:lang w:eastAsia="es-ES"/>
        </w:rPr>
        <w:t xml:space="preserve"> en los mercados financier</w:t>
      </w:r>
      <w:r w:rsidR="00E0767D">
        <w:rPr>
          <w:rFonts w:ascii="Times New Roman" w:hAnsi="Times New Roman" w:cs="Times New Roman"/>
          <w:sz w:val="24"/>
          <w:szCs w:val="24"/>
          <w:lang w:eastAsia="es-ES"/>
        </w:rPr>
        <w:t>os.</w:t>
      </w:r>
    </w:p>
    <w:p w14:paraId="1913795C" w14:textId="77777777" w:rsidR="00226301" w:rsidRDefault="00226301" w:rsidP="00C925A9">
      <w:pPr>
        <w:spacing w:line="360" w:lineRule="auto"/>
        <w:jc w:val="both"/>
        <w:rPr>
          <w:rFonts w:ascii="Times New Roman" w:hAnsi="Times New Roman" w:cs="Times New Roman"/>
          <w:b/>
          <w:bCs/>
          <w:sz w:val="24"/>
          <w:szCs w:val="24"/>
          <w:lang w:eastAsia="es-ES"/>
        </w:rPr>
      </w:pPr>
    </w:p>
    <w:p w14:paraId="391D6A01" w14:textId="77777777" w:rsidR="00226301" w:rsidRDefault="00226301" w:rsidP="00C925A9">
      <w:pPr>
        <w:spacing w:line="360" w:lineRule="auto"/>
        <w:jc w:val="both"/>
        <w:rPr>
          <w:rFonts w:ascii="Times New Roman" w:hAnsi="Times New Roman" w:cs="Times New Roman"/>
          <w:b/>
          <w:bCs/>
          <w:sz w:val="24"/>
          <w:szCs w:val="24"/>
          <w:lang w:eastAsia="es-ES"/>
        </w:rPr>
      </w:pPr>
    </w:p>
    <w:p w14:paraId="77820293" w14:textId="1B236D1B" w:rsidR="003B3576" w:rsidRPr="003B3576" w:rsidRDefault="003B3576" w:rsidP="00C925A9">
      <w:pPr>
        <w:spacing w:line="360" w:lineRule="auto"/>
        <w:jc w:val="both"/>
        <w:rPr>
          <w:rFonts w:ascii="Times New Roman" w:hAnsi="Times New Roman" w:cs="Times New Roman"/>
          <w:b/>
          <w:bCs/>
          <w:sz w:val="24"/>
          <w:szCs w:val="24"/>
          <w:lang w:eastAsia="es-ES"/>
        </w:rPr>
      </w:pPr>
      <w:r w:rsidRPr="003B3576">
        <w:rPr>
          <w:rFonts w:ascii="Times New Roman" w:hAnsi="Times New Roman" w:cs="Times New Roman"/>
          <w:b/>
          <w:bCs/>
          <w:sz w:val="24"/>
          <w:szCs w:val="24"/>
          <w:lang w:eastAsia="es-ES"/>
        </w:rPr>
        <w:t>Introducción del modelo</w:t>
      </w:r>
    </w:p>
    <w:p w14:paraId="0EC81257" w14:textId="519C62AA" w:rsidR="00C925A9" w:rsidRDefault="00C925A9" w:rsidP="00C925A9">
      <w:pPr>
        <w:spacing w:line="360"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El modelo propuesto para determinar la sincronicidad de una acción con respecto a su índice es el siguiente:</w:t>
      </w:r>
    </w:p>
    <w:p w14:paraId="09EC64A4" w14:textId="77777777" w:rsidR="00C925A9" w:rsidRDefault="00C925A9" w:rsidP="00C925A9">
      <w:pPr>
        <w:spacing w:line="360" w:lineRule="auto"/>
        <w:jc w:val="both"/>
        <w:rPr>
          <w:rFonts w:ascii="Times New Roman" w:hAnsi="Times New Roman" w:cs="Times New Roman"/>
          <w:sz w:val="24"/>
          <w:szCs w:val="24"/>
          <w:lang w:eastAsia="es-ES"/>
        </w:rPr>
      </w:pPr>
    </w:p>
    <w:p w14:paraId="5F2ACCA8" w14:textId="77777777" w:rsidR="00C925A9" w:rsidRPr="003E5604" w:rsidRDefault="00000000" w:rsidP="00C925A9">
      <w:pPr>
        <w:spacing w:line="360" w:lineRule="auto"/>
        <w:jc w:val="both"/>
        <w:rPr>
          <w:rFonts w:ascii="Times New Roman" w:hAnsi="Times New Roman" w:cs="Times New Roman"/>
          <w:color w:val="0D0D0D"/>
          <w:sz w:val="28"/>
          <w:szCs w:val="28"/>
          <w14:ligatures w14:val="none"/>
        </w:rPr>
      </w:pPr>
      <m:oMathPara>
        <m:oMathParaPr>
          <m:jc m:val="center"/>
        </m:oMathParaPr>
        <m:oMath>
          <m:func>
            <m:funcPr>
              <m:ctrlPr>
                <w:rPr>
                  <w:rStyle w:val="mord"/>
                  <w:rFonts w:ascii="Cambria Math" w:hAnsi="Cambria Math" w:cs="Times New Roman"/>
                  <w:color w:val="0D0D0D"/>
                  <w:sz w:val="28"/>
                  <w:szCs w:val="28"/>
                  <w:shd w:val="clear" w:color="auto" w:fill="FFFFFF"/>
                </w:rPr>
              </m:ctrlPr>
            </m:funcPr>
            <m:fName>
              <m:r>
                <m:rPr>
                  <m:sty m:val="p"/>
                </m:rPr>
                <w:rPr>
                  <w:rStyle w:val="mord"/>
                  <w:rFonts w:ascii="Cambria Math" w:hAnsi="Cambria Math" w:cs="Times New Roman"/>
                  <w:color w:val="0D0D0D"/>
                  <w:sz w:val="28"/>
                  <w:szCs w:val="28"/>
                  <w:shd w:val="clear" w:color="auto" w:fill="FFFFFF"/>
                </w:rPr>
                <m:t>log</m:t>
              </m:r>
            </m:fName>
            <m:e>
              <m:d>
                <m:dPr>
                  <m:ctrlPr>
                    <w:rPr>
                      <w:rStyle w:val="mopen"/>
                      <w:rFonts w:ascii="Cambria Math" w:hAnsi="Cambria Math" w:cs="Times New Roman"/>
                      <w:i/>
                      <w:iCs/>
                      <w:color w:val="0D0D0D"/>
                      <w:sz w:val="28"/>
                      <w:szCs w:val="28"/>
                      <w:shd w:val="clear" w:color="auto" w:fill="FFFFFF"/>
                    </w:rPr>
                  </m:ctrlPr>
                </m:dPr>
                <m:e>
                  <m:r>
                    <m:rPr>
                      <m:sty m:val="p"/>
                    </m:rPr>
                    <w:rPr>
                      <w:rStyle w:val="mord"/>
                      <w:rFonts w:ascii="Cambria Math" w:hAnsi="Cambria Math" w:cs="Times New Roman"/>
                      <w:color w:val="0D0D0D"/>
                      <w:sz w:val="28"/>
                      <w:szCs w:val="28"/>
                      <w:shd w:val="clear" w:color="auto" w:fill="FFFFFF"/>
                    </w:rPr>
                    <m:t>Rentabilidad</m:t>
                  </m:r>
                  <m:r>
                    <w:rPr>
                      <w:rStyle w:val="mord"/>
                      <w:rFonts w:ascii="Cambria Math" w:hAnsi="Cambria Math" w:cs="Times New Roman"/>
                      <w:color w:val="0D0D0D"/>
                      <w:sz w:val="28"/>
                      <w:szCs w:val="28"/>
                      <w:shd w:val="clear" w:color="auto" w:fill="FFFFFF"/>
                    </w:rPr>
                    <m:t>i</m:t>
                  </m:r>
                  <m:r>
                    <m:rPr>
                      <m:sty m:val="p"/>
                    </m:rPr>
                    <w:rPr>
                      <w:rStyle w:val="vlist-s"/>
                      <w:rFonts w:ascii="Cambria Math" w:hAnsi="Cambria Math" w:cs="Times New Roman"/>
                      <w:color w:val="0D0D0D"/>
                      <w:sz w:val="28"/>
                      <w:szCs w:val="28"/>
                      <w:shd w:val="clear" w:color="auto" w:fill="FFFFFF"/>
                    </w:rPr>
                    <m:t>​</m:t>
                  </m:r>
                  <m:ctrlPr>
                    <w:rPr>
                      <w:rStyle w:val="mclose"/>
                      <w:rFonts w:ascii="Cambria Math" w:hAnsi="Cambria Math" w:cs="Times New Roman"/>
                      <w:color w:val="0D0D0D"/>
                      <w:sz w:val="28"/>
                      <w:szCs w:val="28"/>
                      <w:shd w:val="clear" w:color="auto" w:fill="FFFFFF"/>
                    </w:rPr>
                  </m:ctrlPr>
                </m:e>
              </m:d>
            </m:e>
          </m:func>
          <m:r>
            <m:rPr>
              <m:sty m:val="p"/>
            </m:rPr>
            <w:rPr>
              <w:rStyle w:val="mrel"/>
              <w:rFonts w:ascii="Cambria Math" w:hAnsi="Cambria Math" w:cs="Times New Roman"/>
              <w:color w:val="0D0D0D"/>
              <w:sz w:val="28"/>
              <w:szCs w:val="28"/>
              <w:shd w:val="clear" w:color="auto" w:fill="FFFFFF"/>
            </w:rPr>
            <m:t>=</m:t>
          </m:r>
          <m:r>
            <w:rPr>
              <w:rStyle w:val="mord"/>
              <w:rFonts w:ascii="Cambria Math" w:hAnsi="Cambria Math" w:cs="Times New Roman"/>
              <w:color w:val="0D0D0D"/>
              <w:sz w:val="28"/>
              <w:szCs w:val="28"/>
              <w:shd w:val="clear" w:color="auto" w:fill="FFFFFF"/>
            </w:rPr>
            <m:t>α</m:t>
          </m:r>
          <m:r>
            <m:rPr>
              <m:sty m:val="p"/>
            </m:rPr>
            <w:rPr>
              <w:rStyle w:val="mbin"/>
              <w:rFonts w:ascii="Cambria Math" w:hAnsi="Cambria Math" w:cs="Times New Roman"/>
              <w:color w:val="0D0D0D"/>
              <w:sz w:val="28"/>
              <w:szCs w:val="28"/>
              <w:shd w:val="clear" w:color="auto" w:fill="FFFFFF"/>
            </w:rPr>
            <m:t>+</m:t>
          </m:r>
          <m:r>
            <w:rPr>
              <w:rStyle w:val="mord"/>
              <w:rFonts w:ascii="Cambria Math" w:hAnsi="Cambria Math" w:cs="Times New Roman"/>
              <w:color w:val="0D0D0D"/>
              <w:sz w:val="28"/>
              <w:szCs w:val="28"/>
              <w:shd w:val="clear" w:color="auto" w:fill="FFFFFF"/>
            </w:rPr>
            <m:t>β</m:t>
          </m:r>
          <m:r>
            <m:rPr>
              <m:sty m:val="p"/>
            </m:rPr>
            <w:rPr>
              <w:rStyle w:val="mbin"/>
              <w:rFonts w:ascii="Cambria Math" w:hAnsi="Cambria Math" w:cs="Times New Roman"/>
              <w:color w:val="0D0D0D"/>
              <w:sz w:val="28"/>
              <w:szCs w:val="28"/>
              <w:shd w:val="clear" w:color="auto" w:fill="FFFFFF"/>
            </w:rPr>
            <m:t>⋅</m:t>
          </m:r>
          <m:func>
            <m:funcPr>
              <m:ctrlPr>
                <w:rPr>
                  <w:rStyle w:val="mord"/>
                  <w:rFonts w:ascii="Cambria Math" w:hAnsi="Cambria Math" w:cs="Times New Roman"/>
                  <w:color w:val="0D0D0D"/>
                  <w:sz w:val="28"/>
                  <w:szCs w:val="28"/>
                  <w:shd w:val="clear" w:color="auto" w:fill="FFFFFF"/>
                </w:rPr>
              </m:ctrlPr>
            </m:funcPr>
            <m:fName>
              <m:r>
                <m:rPr>
                  <m:sty m:val="p"/>
                </m:rPr>
                <w:rPr>
                  <w:rStyle w:val="mord"/>
                  <w:rFonts w:ascii="Cambria Math" w:hAnsi="Cambria Math" w:cs="Times New Roman"/>
                  <w:color w:val="0D0D0D"/>
                  <w:sz w:val="28"/>
                  <w:szCs w:val="28"/>
                  <w:shd w:val="clear" w:color="auto" w:fill="FFFFFF"/>
                </w:rPr>
                <m:t>log</m:t>
              </m:r>
              <m:ctrlPr>
                <w:rPr>
                  <w:rStyle w:val="mbin"/>
                  <w:rFonts w:ascii="Cambria Math" w:hAnsi="Cambria Math" w:cs="Times New Roman"/>
                  <w:color w:val="0D0D0D"/>
                  <w:sz w:val="28"/>
                  <w:szCs w:val="28"/>
                  <w:shd w:val="clear" w:color="auto" w:fill="FFFFFF"/>
                </w:rPr>
              </m:ctrlPr>
            </m:fName>
            <m:e>
              <m:d>
                <m:dPr>
                  <m:ctrlPr>
                    <w:rPr>
                      <w:rStyle w:val="mopen"/>
                      <w:rFonts w:ascii="Cambria Math" w:hAnsi="Cambria Math" w:cs="Times New Roman"/>
                      <w:i/>
                      <w:iCs/>
                      <w:color w:val="0D0D0D"/>
                      <w:sz w:val="28"/>
                      <w:szCs w:val="28"/>
                      <w:shd w:val="clear" w:color="auto" w:fill="FFFFFF"/>
                    </w:rPr>
                  </m:ctrlPr>
                </m:dPr>
                <m:e>
                  <m:r>
                    <m:rPr>
                      <m:sty m:val="p"/>
                    </m:rPr>
                    <w:rPr>
                      <w:rStyle w:val="mord"/>
                      <w:rFonts w:ascii="Cambria Math" w:hAnsi="Cambria Math" w:cs="Times New Roman"/>
                      <w:color w:val="0D0D0D"/>
                      <w:sz w:val="28"/>
                      <w:szCs w:val="28"/>
                      <w:shd w:val="clear" w:color="auto" w:fill="FFFFFF"/>
                    </w:rPr>
                    <m:t>Rentabilidadindice</m:t>
                  </m:r>
                  <m:r>
                    <m:rPr>
                      <m:sty m:val="p"/>
                    </m:rPr>
                    <w:rPr>
                      <w:rStyle w:val="vlist-s"/>
                      <w:rFonts w:ascii="Cambria Math" w:hAnsi="Cambria Math" w:cs="Times New Roman"/>
                      <w:color w:val="0D0D0D"/>
                      <w:sz w:val="28"/>
                      <w:szCs w:val="28"/>
                      <w:shd w:val="clear" w:color="auto" w:fill="FFFFFF"/>
                    </w:rPr>
                    <m:t>​</m:t>
                  </m:r>
                  <m:ctrlPr>
                    <w:rPr>
                      <w:rStyle w:val="mclose"/>
                      <w:rFonts w:ascii="Cambria Math" w:hAnsi="Cambria Math" w:cs="Times New Roman"/>
                      <w:color w:val="0D0D0D"/>
                      <w:sz w:val="28"/>
                      <w:szCs w:val="28"/>
                      <w:shd w:val="clear" w:color="auto" w:fill="FFFFFF"/>
                    </w:rPr>
                  </m:ctrlPr>
                </m:e>
              </m:d>
            </m:e>
          </m:func>
          <m:r>
            <m:rPr>
              <m:sty m:val="p"/>
            </m:rPr>
            <w:rPr>
              <w:rStyle w:val="mbin"/>
              <w:rFonts w:ascii="Cambria Math" w:hAnsi="Cambria Math" w:cs="Times New Roman"/>
              <w:color w:val="0D0D0D"/>
              <w:sz w:val="28"/>
              <w:szCs w:val="28"/>
              <w:shd w:val="clear" w:color="auto" w:fill="FFFFFF"/>
            </w:rPr>
            <m:t>+</m:t>
          </m:r>
          <m:r>
            <w:rPr>
              <w:rStyle w:val="mord"/>
              <w:rFonts w:ascii="Cambria Math" w:hAnsi="Cambria Math" w:cs="Times New Roman"/>
              <w:color w:val="0D0D0D"/>
              <w:sz w:val="28"/>
              <w:szCs w:val="28"/>
              <w:shd w:val="clear" w:color="auto" w:fill="FFFFFF"/>
            </w:rPr>
            <m:t>ϵ</m:t>
          </m:r>
          <m:r>
            <m:rPr>
              <m:sty m:val="p"/>
            </m:rPr>
            <w:rPr>
              <w:rStyle w:val="mord"/>
              <w:rFonts w:ascii="Cambria Math" w:hAnsi="Cambria Math" w:cs="Times New Roman"/>
              <w:color w:val="0D0D0D"/>
              <w:sz w:val="28"/>
              <w:szCs w:val="28"/>
              <w:shd w:val="clear" w:color="auto" w:fill="FFFFFF"/>
            </w:rPr>
            <w:br/>
          </m:r>
        </m:oMath>
      </m:oMathPara>
    </w:p>
    <w:p w14:paraId="5203D75C" w14:textId="77777777" w:rsidR="00226301" w:rsidRDefault="00226301" w:rsidP="00C925A9">
      <w:pPr>
        <w:spacing w:line="360" w:lineRule="auto"/>
        <w:jc w:val="both"/>
        <w:rPr>
          <w:rFonts w:ascii="Times New Roman" w:hAnsi="Times New Roman" w:cs="Times New Roman"/>
          <w:color w:val="0D0D0D"/>
          <w:sz w:val="28"/>
          <w:szCs w:val="28"/>
          <w14:ligatures w14:val="none"/>
        </w:rPr>
      </w:pPr>
    </w:p>
    <w:p w14:paraId="0BDD2034" w14:textId="77777777" w:rsidR="00226301" w:rsidRDefault="00226301" w:rsidP="00C925A9">
      <w:pPr>
        <w:spacing w:line="360" w:lineRule="auto"/>
        <w:jc w:val="both"/>
        <w:rPr>
          <w:rFonts w:ascii="Times New Roman" w:hAnsi="Times New Roman" w:cs="Times New Roman"/>
          <w:color w:val="0D0D0D"/>
          <w:sz w:val="28"/>
          <w:szCs w:val="28"/>
          <w14:ligatures w14:val="none"/>
        </w:rPr>
      </w:pPr>
    </w:p>
    <w:p w14:paraId="13FC4BE7" w14:textId="7869BF4F" w:rsidR="00C925A9" w:rsidRPr="003E5604" w:rsidRDefault="00C925A9" w:rsidP="00C925A9">
      <w:pPr>
        <w:spacing w:line="360" w:lineRule="auto"/>
        <w:jc w:val="both"/>
        <w:rPr>
          <w:rFonts w:ascii="Times New Roman" w:hAnsi="Times New Roman" w:cs="Times New Roman"/>
          <w:color w:val="0D0D0D"/>
          <w:sz w:val="28"/>
          <w:szCs w:val="28"/>
          <w14:ligatures w14:val="none"/>
        </w:rPr>
      </w:pPr>
      <w:r w:rsidRPr="003E5604">
        <w:rPr>
          <w:rFonts w:ascii="Times New Roman" w:hAnsi="Times New Roman" w:cs="Times New Roman"/>
          <w:color w:val="0D0D0D"/>
          <w:sz w:val="28"/>
          <w:szCs w:val="28"/>
          <w14:ligatures w14:val="none"/>
        </w:rPr>
        <w:t xml:space="preserve">donde: </w:t>
      </w:r>
    </w:p>
    <w:p w14:paraId="4B44329C" w14:textId="55F4A48E" w:rsidR="00C925A9" w:rsidRPr="003E5604" w:rsidRDefault="00C925A9" w:rsidP="00C925A9">
      <w:pPr>
        <w:pStyle w:val="Prrafodelista"/>
        <w:numPr>
          <w:ilvl w:val="0"/>
          <w:numId w:val="10"/>
        </w:numPr>
        <w:spacing w:line="360" w:lineRule="auto"/>
        <w:jc w:val="both"/>
        <w:rPr>
          <w:rFonts w:ascii="Times New Roman" w:eastAsiaTheme="minorEastAsia" w:hAnsi="Times New Roman" w:cs="Times New Roman"/>
          <w:iCs/>
          <w:color w:val="0D0D0D"/>
          <w:sz w:val="28"/>
          <w:szCs w:val="28"/>
          <w:shd w:val="clear" w:color="auto" w:fill="FFFFFF"/>
        </w:rPr>
      </w:pPr>
      <w:r w:rsidRPr="003E5604">
        <w:rPr>
          <w:rFonts w:ascii="Times New Roman" w:eastAsia="Times New Roman" w:hAnsi="Times New Roman" w:cs="Times New Roman"/>
          <w:b/>
          <w:bCs/>
          <w:color w:val="0D0D0D"/>
          <w:kern w:val="0"/>
          <w:sz w:val="28"/>
          <w:szCs w:val="28"/>
          <w:bdr w:val="single" w:sz="2" w:space="0" w:color="E3E3E3" w:frame="1"/>
          <w:lang w:eastAsia="es-ES"/>
          <w14:ligatures w14:val="none"/>
        </w:rPr>
        <w:t>log(</w:t>
      </w:r>
      <w:proofErr w:type="spellStart"/>
      <w:r w:rsidRPr="003E5604">
        <w:rPr>
          <w:rFonts w:ascii="Times New Roman" w:eastAsia="Times New Roman" w:hAnsi="Times New Roman" w:cs="Times New Roman"/>
          <w:b/>
          <w:bCs/>
          <w:color w:val="0D0D0D"/>
          <w:kern w:val="0"/>
          <w:sz w:val="28"/>
          <w:szCs w:val="28"/>
          <w:bdr w:val="single" w:sz="2" w:space="0" w:color="E3E3E3" w:frame="1"/>
          <w:lang w:eastAsia="es-ES"/>
          <w14:ligatures w14:val="none"/>
        </w:rPr>
        <w:t>Rentabilidad</w:t>
      </w:r>
      <w:r w:rsidRPr="003E5604">
        <w:rPr>
          <w:rFonts w:ascii="Times New Roman" w:eastAsia="Times New Roman" w:hAnsi="Times New Roman" w:cs="Times New Roman"/>
          <w:b/>
          <w:bCs/>
          <w:i/>
          <w:iCs/>
          <w:color w:val="0D0D0D"/>
          <w:kern w:val="0"/>
          <w:sz w:val="28"/>
          <w:szCs w:val="28"/>
          <w:bdr w:val="single" w:sz="2" w:space="0" w:color="E3E3E3" w:frame="1"/>
          <w:lang w:eastAsia="es-ES"/>
          <w14:ligatures w14:val="none"/>
        </w:rPr>
        <w:t>i</w:t>
      </w:r>
      <w:proofErr w:type="spellEnd"/>
      <w:r w:rsidRPr="003E5604">
        <w:rPr>
          <w:rFonts w:ascii="Times New Roman" w:eastAsia="Times New Roman" w:hAnsi="Times New Roman" w:cs="Times New Roman"/>
          <w:b/>
          <w:bCs/>
          <w:color w:val="0D0D0D"/>
          <w:kern w:val="0"/>
          <w:sz w:val="28"/>
          <w:szCs w:val="28"/>
          <w:bdr w:val="single" w:sz="2" w:space="0" w:color="E3E3E3" w:frame="1"/>
          <w:lang w:eastAsia="es-ES"/>
          <w14:ligatures w14:val="none"/>
        </w:rPr>
        <w:t>​)</w:t>
      </w:r>
      <w:r w:rsidRPr="003E5604">
        <w:rPr>
          <w:rFonts w:ascii="Times New Roman" w:eastAsia="Times New Roman" w:hAnsi="Times New Roman" w:cs="Times New Roman"/>
          <w:color w:val="0D0D0D"/>
          <w:kern w:val="0"/>
          <w:sz w:val="28"/>
          <w:szCs w:val="28"/>
          <w:lang w:eastAsia="es-ES"/>
          <w14:ligatures w14:val="none"/>
        </w:rPr>
        <w:t xml:space="preserve"> es la rentabilidad logarítmica de la acción </w:t>
      </w:r>
      <w:r w:rsidRPr="003E5604">
        <w:rPr>
          <w:rFonts w:ascii="Cambria Math" w:eastAsia="Times New Roman" w:hAnsi="Cambria Math" w:cs="Cambria Math"/>
          <w:color w:val="0D0D0D"/>
          <w:kern w:val="0"/>
          <w:sz w:val="28"/>
          <w:szCs w:val="28"/>
          <w:bdr w:val="none" w:sz="0" w:space="0" w:color="auto" w:frame="1"/>
          <w:lang w:eastAsia="es-ES"/>
          <w14:ligatures w14:val="none"/>
        </w:rPr>
        <w:t>𝑖</w:t>
      </w:r>
      <w:r w:rsidRPr="003E5604">
        <w:rPr>
          <w:rFonts w:ascii="Times New Roman" w:eastAsia="Times New Roman" w:hAnsi="Times New Roman" w:cs="Times New Roman"/>
          <w:i/>
          <w:iCs/>
          <w:color w:val="0D0D0D"/>
          <w:kern w:val="0"/>
          <w:sz w:val="28"/>
          <w:szCs w:val="28"/>
          <w:bdr w:val="single" w:sz="2" w:space="0" w:color="E3E3E3" w:frame="1"/>
          <w:lang w:eastAsia="es-ES"/>
          <w14:ligatures w14:val="none"/>
        </w:rPr>
        <w:t>i</w:t>
      </w:r>
      <w:r w:rsidRPr="003E5604">
        <w:rPr>
          <w:rFonts w:ascii="Times New Roman" w:eastAsia="Times New Roman" w:hAnsi="Times New Roman" w:cs="Times New Roman"/>
          <w:color w:val="0D0D0D"/>
          <w:kern w:val="0"/>
          <w:sz w:val="28"/>
          <w:szCs w:val="28"/>
          <w:lang w:eastAsia="es-ES"/>
          <w14:ligatures w14:val="none"/>
        </w:rPr>
        <w:t xml:space="preserve">. </w:t>
      </w:r>
    </w:p>
    <w:p w14:paraId="18BC575B" w14:textId="2559C982" w:rsidR="00C925A9" w:rsidRPr="003E5604" w:rsidRDefault="00C925A9" w:rsidP="00C925A9">
      <w:pPr>
        <w:pStyle w:val="Prrafodelista"/>
        <w:numPr>
          <w:ilvl w:val="0"/>
          <w:numId w:val="10"/>
        </w:numPr>
        <w:spacing w:line="360" w:lineRule="auto"/>
        <w:jc w:val="both"/>
        <w:rPr>
          <w:rFonts w:ascii="Times New Roman" w:eastAsiaTheme="minorEastAsia" w:hAnsi="Times New Roman" w:cs="Times New Roman"/>
          <w:iCs/>
          <w:color w:val="0D0D0D"/>
          <w:sz w:val="28"/>
          <w:szCs w:val="28"/>
          <w:shd w:val="clear" w:color="auto" w:fill="FFFFFF"/>
        </w:rPr>
      </w:pPr>
      <w:r w:rsidRPr="003E5604">
        <w:rPr>
          <w:rFonts w:ascii="Times New Roman" w:eastAsia="Times New Roman" w:hAnsi="Times New Roman" w:cs="Times New Roman"/>
          <w:b/>
          <w:bCs/>
          <w:color w:val="0D0D0D"/>
          <w:kern w:val="0"/>
          <w:sz w:val="28"/>
          <w:szCs w:val="28"/>
          <w:bdr w:val="single" w:sz="2" w:space="0" w:color="E3E3E3" w:frame="1"/>
          <w:lang w:eastAsia="es-ES"/>
          <w14:ligatures w14:val="none"/>
        </w:rPr>
        <w:t>log(</w:t>
      </w:r>
      <w:proofErr w:type="spellStart"/>
      <w:r w:rsidRPr="003E5604">
        <w:rPr>
          <w:rFonts w:ascii="Times New Roman" w:eastAsia="Times New Roman" w:hAnsi="Times New Roman" w:cs="Times New Roman"/>
          <w:b/>
          <w:bCs/>
          <w:color w:val="0D0D0D"/>
          <w:kern w:val="0"/>
          <w:sz w:val="28"/>
          <w:szCs w:val="28"/>
          <w:bdr w:val="single" w:sz="2" w:space="0" w:color="E3E3E3" w:frame="1"/>
          <w:lang w:eastAsia="es-ES"/>
          <w14:ligatures w14:val="none"/>
        </w:rPr>
        <w:t>Rentabilidadindice</w:t>
      </w:r>
      <w:proofErr w:type="spellEnd"/>
      <w:r w:rsidRPr="003E5604">
        <w:rPr>
          <w:rFonts w:ascii="Times New Roman" w:eastAsia="Times New Roman" w:hAnsi="Times New Roman" w:cs="Times New Roman"/>
          <w:b/>
          <w:bCs/>
          <w:color w:val="0D0D0D"/>
          <w:kern w:val="0"/>
          <w:sz w:val="28"/>
          <w:szCs w:val="28"/>
          <w:bdr w:val="single" w:sz="2" w:space="0" w:color="E3E3E3" w:frame="1"/>
          <w:lang w:eastAsia="es-ES"/>
          <w14:ligatures w14:val="none"/>
        </w:rPr>
        <w:t>​)</w:t>
      </w:r>
      <w:r w:rsidRPr="003E5604">
        <w:rPr>
          <w:rFonts w:ascii="Times New Roman" w:eastAsia="Times New Roman" w:hAnsi="Times New Roman" w:cs="Times New Roman"/>
          <w:color w:val="0D0D0D"/>
          <w:kern w:val="0"/>
          <w:sz w:val="28"/>
          <w:szCs w:val="28"/>
          <w:lang w:eastAsia="es-ES"/>
          <w14:ligatures w14:val="none"/>
        </w:rPr>
        <w:t xml:space="preserve"> es la rentabilidad logarítmica del índice S&amp;P 500. </w:t>
      </w:r>
    </w:p>
    <w:p w14:paraId="42071319" w14:textId="1C80CE0E" w:rsidR="00C925A9" w:rsidRPr="003E5604" w:rsidRDefault="00C925A9" w:rsidP="00C925A9">
      <w:pPr>
        <w:pStyle w:val="Prrafodelista"/>
        <w:numPr>
          <w:ilvl w:val="0"/>
          <w:numId w:val="10"/>
        </w:numPr>
        <w:spacing w:line="360" w:lineRule="auto"/>
        <w:jc w:val="both"/>
        <w:rPr>
          <w:rFonts w:ascii="Times New Roman" w:eastAsiaTheme="minorEastAsia" w:hAnsi="Times New Roman" w:cs="Times New Roman"/>
          <w:iCs/>
          <w:color w:val="0D0D0D"/>
          <w:sz w:val="28"/>
          <w:szCs w:val="28"/>
          <w:shd w:val="clear" w:color="auto" w:fill="FFFFFF"/>
        </w:rPr>
      </w:pPr>
      <w:r w:rsidRPr="003E5604">
        <w:rPr>
          <w:rFonts w:ascii="Cambria Math" w:eastAsia="Times New Roman" w:hAnsi="Cambria Math" w:cs="Cambria Math"/>
          <w:b/>
          <w:bCs/>
          <w:color w:val="0D0D0D"/>
          <w:kern w:val="0"/>
          <w:sz w:val="28"/>
          <w:szCs w:val="28"/>
          <w:bdr w:val="none" w:sz="0" w:space="0" w:color="auto" w:frame="1"/>
          <w:lang w:eastAsia="es-ES"/>
          <w14:ligatures w14:val="none"/>
        </w:rPr>
        <w:t>𝛼</w:t>
      </w:r>
      <w:r w:rsidRPr="003E5604">
        <w:rPr>
          <w:rFonts w:ascii="Times New Roman" w:eastAsia="Times New Roman" w:hAnsi="Times New Roman" w:cs="Times New Roman"/>
          <w:color w:val="0D0D0D"/>
          <w:kern w:val="0"/>
          <w:sz w:val="28"/>
          <w:szCs w:val="28"/>
          <w:lang w:eastAsia="es-ES"/>
          <w14:ligatures w14:val="none"/>
        </w:rPr>
        <w:t xml:space="preserve"> es la constante del modelo. </w:t>
      </w:r>
    </w:p>
    <w:p w14:paraId="59D01F40" w14:textId="77777777" w:rsidR="00C925A9" w:rsidRPr="003E5604" w:rsidRDefault="00C925A9" w:rsidP="00C925A9">
      <w:pPr>
        <w:pStyle w:val="Prrafodelista"/>
        <w:numPr>
          <w:ilvl w:val="0"/>
          <w:numId w:val="10"/>
        </w:numPr>
        <w:spacing w:line="360" w:lineRule="auto"/>
        <w:jc w:val="both"/>
        <w:rPr>
          <w:rFonts w:ascii="Times New Roman" w:eastAsiaTheme="minorEastAsia" w:hAnsi="Times New Roman" w:cs="Times New Roman"/>
          <w:iCs/>
          <w:color w:val="0D0D0D"/>
          <w:sz w:val="28"/>
          <w:szCs w:val="28"/>
          <w:shd w:val="clear" w:color="auto" w:fill="FFFFFF"/>
        </w:rPr>
      </w:pPr>
      <w:r w:rsidRPr="003E5604">
        <w:rPr>
          <w:rFonts w:ascii="Cambria Math" w:eastAsia="Times New Roman" w:hAnsi="Cambria Math" w:cs="Cambria Math"/>
          <w:b/>
          <w:bCs/>
          <w:color w:val="0D0D0D"/>
          <w:kern w:val="0"/>
          <w:sz w:val="28"/>
          <w:szCs w:val="28"/>
          <w:bdr w:val="none" w:sz="0" w:space="0" w:color="auto" w:frame="1"/>
          <w:lang w:eastAsia="es-ES"/>
          <w14:ligatures w14:val="none"/>
        </w:rPr>
        <w:t>𝛽</w:t>
      </w:r>
      <w:r w:rsidRPr="003E5604">
        <w:rPr>
          <w:rFonts w:ascii="Times New Roman" w:eastAsia="Times New Roman" w:hAnsi="Times New Roman" w:cs="Times New Roman"/>
          <w:color w:val="0D0D0D"/>
          <w:kern w:val="0"/>
          <w:sz w:val="28"/>
          <w:szCs w:val="28"/>
          <w:lang w:eastAsia="es-ES"/>
          <w14:ligatures w14:val="none"/>
        </w:rPr>
        <w:t xml:space="preserve"> es el coeficiente que mide la sensibilidad de la acción a la rentabilidad del índice.</w:t>
      </w:r>
    </w:p>
    <w:p w14:paraId="01EF108F" w14:textId="05C78469" w:rsidR="0069607B" w:rsidRPr="003E5604" w:rsidRDefault="00C925A9" w:rsidP="0069607B">
      <w:pPr>
        <w:pStyle w:val="Prrafodelista"/>
        <w:numPr>
          <w:ilvl w:val="0"/>
          <w:numId w:val="10"/>
        </w:numPr>
        <w:spacing w:line="360" w:lineRule="auto"/>
        <w:jc w:val="both"/>
        <w:rPr>
          <w:rFonts w:ascii="Times New Roman" w:eastAsiaTheme="minorEastAsia" w:hAnsi="Times New Roman" w:cs="Times New Roman"/>
          <w:iCs/>
          <w:color w:val="0D0D0D"/>
          <w:sz w:val="28"/>
          <w:szCs w:val="28"/>
          <w:shd w:val="clear" w:color="auto" w:fill="FFFFFF"/>
        </w:rPr>
      </w:pPr>
      <w:r w:rsidRPr="003E5604">
        <w:rPr>
          <w:rFonts w:ascii="Times New Roman" w:eastAsia="Times New Roman" w:hAnsi="Times New Roman" w:cs="Times New Roman"/>
          <w:color w:val="0D0D0D"/>
          <w:kern w:val="0"/>
          <w:sz w:val="28"/>
          <w:szCs w:val="28"/>
          <w:lang w:eastAsia="es-ES"/>
          <w14:ligatures w14:val="none"/>
        </w:rPr>
        <w:t xml:space="preserve"> </w:t>
      </w:r>
      <w:r w:rsidRPr="003E5604">
        <w:rPr>
          <w:rFonts w:ascii="Cambria Math" w:eastAsia="Times New Roman" w:hAnsi="Cambria Math" w:cs="Cambria Math"/>
          <w:b/>
          <w:bCs/>
          <w:color w:val="0D0D0D"/>
          <w:kern w:val="0"/>
          <w:sz w:val="28"/>
          <w:szCs w:val="28"/>
          <w:bdr w:val="none" w:sz="0" w:space="0" w:color="auto" w:frame="1"/>
          <w:lang w:eastAsia="es-ES"/>
          <w14:ligatures w14:val="none"/>
        </w:rPr>
        <w:t>𝜖</w:t>
      </w:r>
      <w:r w:rsidRPr="003E5604">
        <w:rPr>
          <w:rFonts w:ascii="Times New Roman" w:eastAsia="Times New Roman" w:hAnsi="Times New Roman" w:cs="Times New Roman"/>
          <w:color w:val="0D0D0D"/>
          <w:kern w:val="0"/>
          <w:sz w:val="28"/>
          <w:szCs w:val="28"/>
          <w:lang w:eastAsia="es-ES"/>
          <w14:ligatures w14:val="none"/>
        </w:rPr>
        <w:t xml:space="preserve"> es el término de error. </w:t>
      </w:r>
    </w:p>
    <w:p w14:paraId="7FF39215" w14:textId="77777777" w:rsidR="008D4C6A" w:rsidRDefault="008D4C6A" w:rsidP="008D4C6A">
      <w:pPr>
        <w:pStyle w:val="Prrafodelista"/>
        <w:spacing w:line="360" w:lineRule="auto"/>
        <w:jc w:val="both"/>
        <w:rPr>
          <w:rStyle w:val="mord"/>
          <w:rFonts w:ascii="Times New Roman" w:eastAsiaTheme="minorEastAsia" w:hAnsi="Times New Roman" w:cs="Times New Roman"/>
          <w:iCs/>
          <w:color w:val="0D0D0D"/>
          <w:sz w:val="24"/>
          <w:szCs w:val="24"/>
          <w:shd w:val="clear" w:color="auto" w:fill="FFFFFF"/>
        </w:rPr>
      </w:pPr>
    </w:p>
    <w:p w14:paraId="55612E6E" w14:textId="77777777" w:rsidR="003A7A67" w:rsidRDefault="003A7A67" w:rsidP="008D4C6A">
      <w:pPr>
        <w:pStyle w:val="Prrafodelista"/>
        <w:spacing w:line="360" w:lineRule="auto"/>
        <w:jc w:val="both"/>
        <w:rPr>
          <w:rStyle w:val="mord"/>
          <w:rFonts w:ascii="Times New Roman" w:eastAsiaTheme="minorEastAsia" w:hAnsi="Times New Roman" w:cs="Times New Roman"/>
          <w:iCs/>
          <w:color w:val="0D0D0D"/>
          <w:sz w:val="24"/>
          <w:szCs w:val="24"/>
          <w:shd w:val="clear" w:color="auto" w:fill="FFFFFF"/>
        </w:rPr>
      </w:pPr>
    </w:p>
    <w:p w14:paraId="491BF5CC" w14:textId="77777777" w:rsidR="00226301" w:rsidRPr="008D4C6A" w:rsidRDefault="00226301" w:rsidP="008D4C6A">
      <w:pPr>
        <w:pStyle w:val="Prrafodelista"/>
        <w:spacing w:line="360" w:lineRule="auto"/>
        <w:jc w:val="both"/>
        <w:rPr>
          <w:rStyle w:val="mord"/>
          <w:rFonts w:ascii="Times New Roman" w:eastAsiaTheme="minorEastAsia" w:hAnsi="Times New Roman" w:cs="Times New Roman"/>
          <w:iCs/>
          <w:color w:val="0D0D0D"/>
          <w:sz w:val="24"/>
          <w:szCs w:val="24"/>
          <w:shd w:val="clear" w:color="auto" w:fill="FFFFFF"/>
        </w:rPr>
      </w:pPr>
    </w:p>
    <w:p w14:paraId="22C84F56" w14:textId="02E15217" w:rsidR="008D4C6A" w:rsidRDefault="00E0767D"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Para estimar el modelo, p</w:t>
      </w:r>
      <w:r w:rsidR="006910D6" w:rsidRPr="006910D6">
        <w:rPr>
          <w:rStyle w:val="mord"/>
          <w:rFonts w:ascii="Times New Roman" w:eastAsiaTheme="minorEastAsia" w:hAnsi="Times New Roman" w:cs="Times New Roman"/>
          <w:iCs/>
          <w:color w:val="0D0D0D"/>
          <w:sz w:val="24"/>
          <w:szCs w:val="24"/>
          <w:shd w:val="clear" w:color="auto" w:fill="FFFFFF"/>
        </w:rPr>
        <w:t xml:space="preserve">rimero se han recopilado datos de rentabilidad tanto del índice como de cada uno de los componentes del S&amp;P 500 a lo largo del periodo de tiempo comprendido entre 1998 y 2023. Se ha calculado la rentabilidad logarítmica para cada acción y para el índice en cada año. </w:t>
      </w:r>
      <w:r w:rsidR="002D5C58">
        <w:rPr>
          <w:rStyle w:val="mord"/>
          <w:rFonts w:ascii="Times New Roman" w:eastAsiaTheme="minorEastAsia" w:hAnsi="Times New Roman" w:cs="Times New Roman"/>
          <w:iCs/>
          <w:color w:val="0D0D0D"/>
          <w:sz w:val="24"/>
          <w:szCs w:val="24"/>
          <w:shd w:val="clear" w:color="auto" w:fill="FFFFFF"/>
        </w:rPr>
        <w:t>A continuación</w:t>
      </w:r>
      <w:r w:rsidR="006910D6" w:rsidRPr="006910D6">
        <w:rPr>
          <w:rStyle w:val="mord"/>
          <w:rFonts w:ascii="Times New Roman" w:eastAsiaTheme="minorEastAsia" w:hAnsi="Times New Roman" w:cs="Times New Roman"/>
          <w:iCs/>
          <w:color w:val="0D0D0D"/>
          <w:sz w:val="24"/>
          <w:szCs w:val="24"/>
          <w:shd w:val="clear" w:color="auto" w:fill="FFFFFF"/>
        </w:rPr>
        <w:t>, se ha estimado el modelo para cada una de las 500 acciones del índice en todos los años de la muestra. En total, se han estimado más de 1</w:t>
      </w:r>
      <w:r w:rsidR="006910D6">
        <w:rPr>
          <w:rStyle w:val="mord"/>
          <w:rFonts w:ascii="Times New Roman" w:eastAsiaTheme="minorEastAsia" w:hAnsi="Times New Roman" w:cs="Times New Roman"/>
          <w:iCs/>
          <w:color w:val="0D0D0D"/>
          <w:sz w:val="24"/>
          <w:szCs w:val="24"/>
          <w:shd w:val="clear" w:color="auto" w:fill="FFFFFF"/>
        </w:rPr>
        <w:t xml:space="preserve">0.000 </w:t>
      </w:r>
      <w:r w:rsidR="006910D6" w:rsidRPr="006910D6">
        <w:rPr>
          <w:rStyle w:val="mord"/>
          <w:rFonts w:ascii="Times New Roman" w:eastAsiaTheme="minorEastAsia" w:hAnsi="Times New Roman" w:cs="Times New Roman"/>
          <w:iCs/>
          <w:color w:val="0D0D0D"/>
          <w:sz w:val="24"/>
          <w:szCs w:val="24"/>
          <w:shd w:val="clear" w:color="auto" w:fill="FFFFFF"/>
        </w:rPr>
        <w:t>modelos</w:t>
      </w:r>
      <w:r w:rsidR="006910D6">
        <w:rPr>
          <w:rStyle w:val="mord"/>
          <w:rFonts w:ascii="Times New Roman" w:eastAsiaTheme="minorEastAsia" w:hAnsi="Times New Roman" w:cs="Times New Roman"/>
          <w:iCs/>
          <w:color w:val="0D0D0D"/>
          <w:sz w:val="24"/>
          <w:szCs w:val="24"/>
          <w:shd w:val="clear" w:color="auto" w:fill="FFFFFF"/>
        </w:rPr>
        <w:t>.</w:t>
      </w:r>
    </w:p>
    <w:p w14:paraId="6CEAA428" w14:textId="77777777" w:rsidR="003A7A67" w:rsidRPr="006910D6" w:rsidRDefault="003A7A67"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4D9DCD32" w14:textId="4CF5DB8A" w:rsidR="00070092" w:rsidRPr="003E5604" w:rsidRDefault="006910D6"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6910D6">
        <w:rPr>
          <w:rStyle w:val="mord"/>
          <w:rFonts w:ascii="Times New Roman" w:eastAsiaTheme="minorEastAsia" w:hAnsi="Times New Roman" w:cs="Times New Roman"/>
          <w:iCs/>
          <w:color w:val="0D0D0D"/>
          <w:sz w:val="24"/>
          <w:szCs w:val="24"/>
          <w:shd w:val="clear" w:color="auto" w:fill="FFFFFF"/>
        </w:rPr>
        <w:t xml:space="preserve">Para cada modelo estimado, se ha calculado el coeficiente de determinación </w:t>
      </w:r>
      <w:r w:rsidR="002D5C58">
        <w:rPr>
          <w:rStyle w:val="mord"/>
          <w:rFonts w:ascii="Times New Roman" w:eastAsiaTheme="minorEastAsia" w:hAnsi="Times New Roman" w:cs="Times New Roman"/>
          <w:iCs/>
          <w:color w:val="0D0D0D"/>
          <w:sz w:val="24"/>
          <w:szCs w:val="24"/>
          <w:shd w:val="clear" w:color="auto" w:fill="FFFFFF"/>
        </w:rPr>
        <w:t>R²</w:t>
      </w:r>
      <w:r>
        <w:rPr>
          <w:rStyle w:val="mord"/>
          <w:rFonts w:ascii="Times New Roman" w:eastAsiaTheme="minorEastAsia" w:hAnsi="Times New Roman" w:cs="Times New Roman"/>
          <w:iCs/>
          <w:color w:val="0D0D0D"/>
          <w:sz w:val="24"/>
          <w:szCs w:val="24"/>
          <w:shd w:val="clear" w:color="auto" w:fill="FFFFFF"/>
        </w:rPr>
        <w:t xml:space="preserve">. </w:t>
      </w:r>
      <w:r w:rsidRPr="006910D6">
        <w:rPr>
          <w:rStyle w:val="mord"/>
          <w:rFonts w:ascii="Times New Roman" w:eastAsiaTheme="minorEastAsia" w:hAnsi="Times New Roman" w:cs="Times New Roman"/>
          <w:iCs/>
          <w:color w:val="0D0D0D"/>
          <w:sz w:val="24"/>
          <w:szCs w:val="24"/>
          <w:shd w:val="clear" w:color="auto" w:fill="FFFFFF"/>
        </w:rPr>
        <w:t xml:space="preserve">Este valor mide la proporción </w:t>
      </w:r>
      <w:r w:rsidR="008D4C6A">
        <w:rPr>
          <w:rStyle w:val="mord"/>
          <w:rFonts w:ascii="Times New Roman" w:eastAsiaTheme="minorEastAsia" w:hAnsi="Times New Roman" w:cs="Times New Roman"/>
          <w:iCs/>
          <w:color w:val="0D0D0D"/>
          <w:sz w:val="24"/>
          <w:szCs w:val="24"/>
          <w:shd w:val="clear" w:color="auto" w:fill="FFFFFF"/>
        </w:rPr>
        <w:t>de la rentabilidad de una acción determinada</w:t>
      </w:r>
      <w:r w:rsidRPr="006910D6">
        <w:rPr>
          <w:rStyle w:val="mord"/>
          <w:rFonts w:ascii="Times New Roman" w:eastAsiaTheme="minorEastAsia" w:hAnsi="Times New Roman" w:cs="Times New Roman"/>
          <w:iCs/>
          <w:color w:val="0D0D0D"/>
          <w:sz w:val="24"/>
          <w:szCs w:val="24"/>
          <w:shd w:val="clear" w:color="auto" w:fill="FFFFFF"/>
        </w:rPr>
        <w:t xml:space="preserve"> que puede ser explicada por la rentabilidad del índice</w:t>
      </w:r>
      <w:r w:rsidR="008D4C6A">
        <w:rPr>
          <w:rStyle w:val="mord"/>
          <w:rFonts w:ascii="Times New Roman" w:eastAsiaTheme="minorEastAsia" w:hAnsi="Times New Roman" w:cs="Times New Roman"/>
          <w:iCs/>
          <w:color w:val="0D0D0D"/>
          <w:sz w:val="24"/>
          <w:szCs w:val="24"/>
          <w:shd w:val="clear" w:color="auto" w:fill="FFFFFF"/>
        </w:rPr>
        <w:t xml:space="preserve"> al que pertenece, en este caso el S&amp;P500</w:t>
      </w:r>
      <w:r w:rsidRPr="006910D6">
        <w:rPr>
          <w:rStyle w:val="mord"/>
          <w:rFonts w:ascii="Times New Roman" w:eastAsiaTheme="minorEastAsia" w:hAnsi="Times New Roman" w:cs="Times New Roman"/>
          <w:iCs/>
          <w:color w:val="0D0D0D"/>
          <w:sz w:val="24"/>
          <w:szCs w:val="24"/>
          <w:shd w:val="clear" w:color="auto" w:fill="FFFFFF"/>
        </w:rPr>
        <w:t xml:space="preserve">. Un </w:t>
      </w:r>
      <w:r w:rsidR="008D4C6A">
        <w:rPr>
          <w:rStyle w:val="mord"/>
          <w:rFonts w:ascii="Times New Roman" w:eastAsiaTheme="minorEastAsia" w:hAnsi="Times New Roman" w:cs="Times New Roman"/>
          <w:iCs/>
          <w:color w:val="0D0D0D"/>
          <w:sz w:val="24"/>
          <w:szCs w:val="24"/>
          <w:shd w:val="clear" w:color="auto" w:fill="FFFFFF"/>
        </w:rPr>
        <w:t>R²</w:t>
      </w:r>
      <w:r>
        <w:rPr>
          <w:rStyle w:val="mord"/>
          <w:rFonts w:ascii="Times New Roman" w:eastAsiaTheme="minorEastAsia" w:hAnsi="Times New Roman" w:cs="Times New Roman"/>
          <w:iCs/>
          <w:color w:val="0D0D0D"/>
          <w:sz w:val="24"/>
          <w:szCs w:val="24"/>
          <w:shd w:val="clear" w:color="auto" w:fill="FFFFFF"/>
        </w:rPr>
        <w:t xml:space="preserve"> </w:t>
      </w:r>
      <w:r w:rsidRPr="006910D6">
        <w:rPr>
          <w:rStyle w:val="mord"/>
          <w:rFonts w:ascii="Times New Roman" w:eastAsiaTheme="minorEastAsia" w:hAnsi="Times New Roman" w:cs="Times New Roman"/>
          <w:iCs/>
          <w:color w:val="0D0D0D"/>
          <w:sz w:val="24"/>
          <w:szCs w:val="24"/>
          <w:shd w:val="clear" w:color="auto" w:fill="FFFFFF"/>
        </w:rPr>
        <w:t xml:space="preserve">más alto indica una mayor sincronicidad, es decir, </w:t>
      </w:r>
      <w:r w:rsidR="008D4C6A">
        <w:rPr>
          <w:rStyle w:val="mord"/>
          <w:rFonts w:ascii="Times New Roman" w:eastAsiaTheme="minorEastAsia" w:hAnsi="Times New Roman" w:cs="Times New Roman"/>
          <w:iCs/>
          <w:color w:val="0D0D0D"/>
          <w:sz w:val="24"/>
          <w:szCs w:val="24"/>
          <w:shd w:val="clear" w:color="auto" w:fill="FFFFFF"/>
        </w:rPr>
        <w:t xml:space="preserve">un mayor alineamiento </w:t>
      </w:r>
      <w:r w:rsidRPr="006910D6">
        <w:rPr>
          <w:rStyle w:val="mord"/>
          <w:rFonts w:ascii="Times New Roman" w:eastAsiaTheme="minorEastAsia" w:hAnsi="Times New Roman" w:cs="Times New Roman"/>
          <w:iCs/>
          <w:color w:val="0D0D0D"/>
          <w:sz w:val="24"/>
          <w:szCs w:val="24"/>
          <w:shd w:val="clear" w:color="auto" w:fill="FFFFFF"/>
        </w:rPr>
        <w:t xml:space="preserve">de los movimientos de la acción con los movimientos del índice. </w:t>
      </w:r>
      <w:r w:rsidR="008D4C6A">
        <w:rPr>
          <w:rStyle w:val="mord"/>
          <w:rFonts w:ascii="Times New Roman" w:eastAsiaTheme="minorEastAsia" w:hAnsi="Times New Roman" w:cs="Times New Roman"/>
          <w:iCs/>
          <w:color w:val="0D0D0D"/>
          <w:sz w:val="24"/>
          <w:szCs w:val="24"/>
          <w:shd w:val="clear" w:color="auto" w:fill="FFFFFF"/>
        </w:rPr>
        <w:t xml:space="preserve">Se ha calculado el promedio de los R² en cada año con el objetico de </w:t>
      </w:r>
      <w:r w:rsidRPr="006910D6">
        <w:rPr>
          <w:rStyle w:val="mord"/>
          <w:rFonts w:ascii="Times New Roman" w:eastAsiaTheme="minorEastAsia" w:hAnsi="Times New Roman" w:cs="Times New Roman"/>
          <w:iCs/>
          <w:color w:val="0D0D0D"/>
          <w:sz w:val="24"/>
          <w:szCs w:val="24"/>
          <w:shd w:val="clear" w:color="auto" w:fill="FFFFFF"/>
        </w:rPr>
        <w:t xml:space="preserve">obtener una medida de la sincronicidad promedio anual. </w:t>
      </w:r>
      <w:r w:rsidR="008D4C6A">
        <w:rPr>
          <w:rStyle w:val="mord"/>
          <w:rFonts w:ascii="Times New Roman" w:eastAsiaTheme="minorEastAsia" w:hAnsi="Times New Roman" w:cs="Times New Roman"/>
          <w:iCs/>
          <w:color w:val="0D0D0D"/>
          <w:sz w:val="24"/>
          <w:szCs w:val="24"/>
          <w:shd w:val="clear" w:color="auto" w:fill="FFFFFF"/>
        </w:rPr>
        <w:t>Los resultados se presentan en el Gráfico 1.</w:t>
      </w:r>
    </w:p>
    <w:p w14:paraId="6F3902A8" w14:textId="77777777" w:rsidR="00226301" w:rsidRDefault="00226301" w:rsidP="006910D6">
      <w:pPr>
        <w:spacing w:line="360" w:lineRule="auto"/>
        <w:jc w:val="both"/>
        <w:rPr>
          <w:rStyle w:val="mord"/>
          <w:rFonts w:ascii="Times New Roman" w:eastAsiaTheme="minorEastAsia" w:hAnsi="Times New Roman" w:cs="Times New Roman"/>
          <w:b/>
          <w:bCs/>
          <w:iCs/>
          <w:color w:val="0D0D0D"/>
          <w:sz w:val="24"/>
          <w:szCs w:val="24"/>
          <w:shd w:val="clear" w:color="auto" w:fill="FFFFFF"/>
        </w:rPr>
      </w:pPr>
    </w:p>
    <w:p w14:paraId="4C80339F" w14:textId="77777777" w:rsidR="00226301" w:rsidRDefault="00226301" w:rsidP="006910D6">
      <w:pPr>
        <w:spacing w:line="360" w:lineRule="auto"/>
        <w:jc w:val="both"/>
        <w:rPr>
          <w:rStyle w:val="mord"/>
          <w:rFonts w:ascii="Times New Roman" w:eastAsiaTheme="minorEastAsia" w:hAnsi="Times New Roman" w:cs="Times New Roman"/>
          <w:b/>
          <w:bCs/>
          <w:iCs/>
          <w:color w:val="0D0D0D"/>
          <w:sz w:val="24"/>
          <w:szCs w:val="24"/>
          <w:shd w:val="clear" w:color="auto" w:fill="FFFFFF"/>
        </w:rPr>
      </w:pPr>
    </w:p>
    <w:p w14:paraId="7047ADBF" w14:textId="77777777" w:rsidR="00226301" w:rsidRDefault="00226301" w:rsidP="006910D6">
      <w:pPr>
        <w:spacing w:line="360" w:lineRule="auto"/>
        <w:jc w:val="both"/>
        <w:rPr>
          <w:rStyle w:val="mord"/>
          <w:rFonts w:ascii="Times New Roman" w:eastAsiaTheme="minorEastAsia" w:hAnsi="Times New Roman" w:cs="Times New Roman"/>
          <w:b/>
          <w:bCs/>
          <w:iCs/>
          <w:color w:val="0D0D0D"/>
          <w:sz w:val="24"/>
          <w:szCs w:val="24"/>
          <w:shd w:val="clear" w:color="auto" w:fill="FFFFFF"/>
        </w:rPr>
      </w:pPr>
    </w:p>
    <w:p w14:paraId="78C0C1C5" w14:textId="3D2930F3" w:rsidR="008D4C6A" w:rsidRPr="008D4C6A" w:rsidRDefault="008D4C6A" w:rsidP="006910D6">
      <w:pPr>
        <w:spacing w:line="360" w:lineRule="auto"/>
        <w:jc w:val="both"/>
        <w:rPr>
          <w:rStyle w:val="mord"/>
          <w:rFonts w:ascii="Times New Roman" w:eastAsiaTheme="minorEastAsia" w:hAnsi="Times New Roman" w:cs="Times New Roman"/>
          <w:b/>
          <w:bCs/>
          <w:iCs/>
          <w:color w:val="0D0D0D"/>
          <w:sz w:val="24"/>
          <w:szCs w:val="24"/>
          <w:shd w:val="clear" w:color="auto" w:fill="FFFFFF"/>
        </w:rPr>
      </w:pPr>
      <w:r w:rsidRPr="008D4C6A">
        <w:rPr>
          <w:rStyle w:val="mord"/>
          <w:rFonts w:ascii="Times New Roman" w:eastAsiaTheme="minorEastAsia" w:hAnsi="Times New Roman" w:cs="Times New Roman"/>
          <w:b/>
          <w:bCs/>
          <w:iCs/>
          <w:color w:val="0D0D0D"/>
          <w:sz w:val="24"/>
          <w:szCs w:val="24"/>
          <w:shd w:val="clear" w:color="auto" w:fill="FFFFFF"/>
        </w:rPr>
        <w:lastRenderedPageBreak/>
        <w:t>Gráfico 1:</w:t>
      </w:r>
    </w:p>
    <w:p w14:paraId="5A1682BE" w14:textId="3B726588" w:rsidR="006910D6" w:rsidRDefault="00E770D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E770DC">
        <w:rPr>
          <w:rStyle w:val="mord"/>
          <w:rFonts w:ascii="Times New Roman" w:eastAsiaTheme="minorEastAsia" w:hAnsi="Times New Roman" w:cs="Times New Roman"/>
          <w:iCs/>
          <w:noProof/>
          <w:color w:val="0D0D0D"/>
          <w:sz w:val="24"/>
          <w:szCs w:val="24"/>
          <w:shd w:val="clear" w:color="auto" w:fill="FFFFFF"/>
        </w:rPr>
        <w:drawing>
          <wp:inline distT="0" distB="0" distL="0" distR="0" wp14:anchorId="2EADF217" wp14:editId="6EDE11C5">
            <wp:extent cx="5400040" cy="3564255"/>
            <wp:effectExtent l="0" t="0" r="0" b="0"/>
            <wp:docPr id="63568655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86553" name="Imagen 1" descr="Gráfico, Gráfico de líneas&#10;&#10;Descripción generada automáticamente"/>
                    <pic:cNvPicPr/>
                  </pic:nvPicPr>
                  <pic:blipFill>
                    <a:blip r:embed="rId8"/>
                    <a:stretch>
                      <a:fillRect/>
                    </a:stretch>
                  </pic:blipFill>
                  <pic:spPr>
                    <a:xfrm>
                      <a:off x="0" y="0"/>
                      <a:ext cx="5400040" cy="3564255"/>
                    </a:xfrm>
                    <a:prstGeom prst="rect">
                      <a:avLst/>
                    </a:prstGeom>
                  </pic:spPr>
                </pic:pic>
              </a:graphicData>
            </a:graphic>
          </wp:inline>
        </w:drawing>
      </w:r>
      <w:r w:rsidR="008D4C6A">
        <w:rPr>
          <w:rStyle w:val="mord"/>
          <w:rFonts w:ascii="Times New Roman" w:eastAsiaTheme="minorEastAsia" w:hAnsi="Times New Roman" w:cs="Times New Roman"/>
          <w:iCs/>
          <w:color w:val="0D0D0D"/>
          <w:sz w:val="24"/>
          <w:szCs w:val="24"/>
          <w:shd w:val="clear" w:color="auto" w:fill="FFFFFF"/>
        </w:rPr>
        <w:t xml:space="preserve"> </w:t>
      </w:r>
    </w:p>
    <w:p w14:paraId="522010CE" w14:textId="77777777" w:rsidR="008D4C6A" w:rsidRPr="006910D6" w:rsidRDefault="008D4C6A"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691FCA28" w14:textId="286F18C7" w:rsidR="006910D6" w:rsidRDefault="006910D6"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6910D6">
        <w:rPr>
          <w:rStyle w:val="mord"/>
          <w:rFonts w:ascii="Times New Roman" w:eastAsiaTheme="minorEastAsia" w:hAnsi="Times New Roman" w:cs="Times New Roman"/>
          <w:iCs/>
          <w:color w:val="0D0D0D"/>
          <w:sz w:val="24"/>
          <w:szCs w:val="24"/>
          <w:shd w:val="clear" w:color="auto" w:fill="FFFFFF"/>
        </w:rPr>
        <w:t xml:space="preserve">Se observa una tendencia creciente en la sincronicidad de las acciones del S&amp;P 500 desde 1998 hasta 2023. Los picos más notables en los promedios anuales de </w:t>
      </w:r>
      <w:r w:rsidR="003A7A67">
        <w:rPr>
          <w:rStyle w:val="mord"/>
          <w:rFonts w:ascii="Times New Roman" w:eastAsiaTheme="minorEastAsia" w:hAnsi="Times New Roman" w:cs="Times New Roman"/>
          <w:iCs/>
          <w:color w:val="0D0D0D"/>
          <w:sz w:val="24"/>
          <w:szCs w:val="24"/>
          <w:shd w:val="clear" w:color="auto" w:fill="FFFFFF"/>
        </w:rPr>
        <w:t>sincronicidad</w:t>
      </w:r>
      <w:r w:rsidRPr="006910D6">
        <w:rPr>
          <w:rStyle w:val="mord"/>
          <w:rFonts w:ascii="Times New Roman" w:eastAsiaTheme="minorEastAsia" w:hAnsi="Times New Roman" w:cs="Times New Roman"/>
          <w:iCs/>
          <w:color w:val="0D0D0D"/>
          <w:sz w:val="24"/>
          <w:szCs w:val="24"/>
          <w:shd w:val="clear" w:color="auto" w:fill="FFFFFF"/>
        </w:rPr>
        <w:t xml:space="preserve"> se observan en los años 2008 (0.51) y 20</w:t>
      </w:r>
      <w:r w:rsidR="00070092">
        <w:rPr>
          <w:rStyle w:val="mord"/>
          <w:rFonts w:ascii="Times New Roman" w:eastAsiaTheme="minorEastAsia" w:hAnsi="Times New Roman" w:cs="Times New Roman"/>
          <w:iCs/>
          <w:color w:val="0D0D0D"/>
          <w:sz w:val="24"/>
          <w:szCs w:val="24"/>
          <w:shd w:val="clear" w:color="auto" w:fill="FFFFFF"/>
        </w:rPr>
        <w:t>20</w:t>
      </w:r>
      <w:r w:rsidRPr="006910D6">
        <w:rPr>
          <w:rStyle w:val="mord"/>
          <w:rFonts w:ascii="Times New Roman" w:eastAsiaTheme="minorEastAsia" w:hAnsi="Times New Roman" w:cs="Times New Roman"/>
          <w:iCs/>
          <w:color w:val="0D0D0D"/>
          <w:sz w:val="24"/>
          <w:szCs w:val="24"/>
          <w:shd w:val="clear" w:color="auto" w:fill="FFFFFF"/>
        </w:rPr>
        <w:t xml:space="preserve"> (0.5</w:t>
      </w:r>
      <w:r w:rsidR="00070092">
        <w:rPr>
          <w:rStyle w:val="mord"/>
          <w:rFonts w:ascii="Times New Roman" w:eastAsiaTheme="minorEastAsia" w:hAnsi="Times New Roman" w:cs="Times New Roman"/>
          <w:iCs/>
          <w:color w:val="0D0D0D"/>
          <w:sz w:val="24"/>
          <w:szCs w:val="24"/>
          <w:shd w:val="clear" w:color="auto" w:fill="FFFFFF"/>
        </w:rPr>
        <w:t>4</w:t>
      </w:r>
      <w:r w:rsidRPr="006910D6">
        <w:rPr>
          <w:rStyle w:val="mord"/>
          <w:rFonts w:ascii="Times New Roman" w:eastAsiaTheme="minorEastAsia" w:hAnsi="Times New Roman" w:cs="Times New Roman"/>
          <w:iCs/>
          <w:color w:val="0D0D0D"/>
          <w:sz w:val="24"/>
          <w:szCs w:val="24"/>
          <w:shd w:val="clear" w:color="auto" w:fill="FFFFFF"/>
        </w:rPr>
        <w:t>), que coinciden con periodos de crisis. Esto sugiere que, durante las crisis, las acciones tienden a moverse de manera más sincronizada con el índice general</w:t>
      </w:r>
      <w:r w:rsidR="00070092">
        <w:rPr>
          <w:rStyle w:val="mord"/>
          <w:rFonts w:ascii="Times New Roman" w:eastAsiaTheme="minorEastAsia" w:hAnsi="Times New Roman" w:cs="Times New Roman"/>
          <w:iCs/>
          <w:color w:val="0D0D0D"/>
          <w:sz w:val="24"/>
          <w:szCs w:val="24"/>
          <w:shd w:val="clear" w:color="auto" w:fill="FFFFFF"/>
        </w:rPr>
        <w:t>, lo cual coincide con el dictamen del sentido común ya que en periodos de crisis sistémica los inversores tienden a migrar su patrimonio desde la renta variable hacia vehículos de inversión más seguros como la renta fija, este comportamiento se repite de forma conjunta independientemente de la acción en cuestión</w:t>
      </w:r>
      <w:r w:rsidR="003A7A67">
        <w:rPr>
          <w:rStyle w:val="mord"/>
          <w:rFonts w:ascii="Times New Roman" w:eastAsiaTheme="minorEastAsia" w:hAnsi="Times New Roman" w:cs="Times New Roman"/>
          <w:iCs/>
          <w:color w:val="0D0D0D"/>
          <w:sz w:val="24"/>
          <w:szCs w:val="24"/>
          <w:shd w:val="clear" w:color="auto" w:fill="FFFFFF"/>
        </w:rPr>
        <w:t>, aunque siempre hay sectores del mercado más afectados por las crisis.</w:t>
      </w:r>
    </w:p>
    <w:p w14:paraId="0820DD96" w14:textId="7598693A" w:rsidR="003E5604" w:rsidRDefault="003A7A67"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A simple vista</w:t>
      </w:r>
      <w:r w:rsidR="00EA299C">
        <w:rPr>
          <w:rStyle w:val="mord"/>
          <w:rFonts w:ascii="Times New Roman" w:eastAsiaTheme="minorEastAsia" w:hAnsi="Times New Roman" w:cs="Times New Roman"/>
          <w:iCs/>
          <w:color w:val="0D0D0D"/>
          <w:sz w:val="24"/>
          <w:szCs w:val="24"/>
          <w:shd w:val="clear" w:color="auto" w:fill="FFFFFF"/>
        </w:rPr>
        <w:t>,</w:t>
      </w:r>
      <w:r>
        <w:rPr>
          <w:rStyle w:val="mord"/>
          <w:rFonts w:ascii="Times New Roman" w:eastAsiaTheme="minorEastAsia" w:hAnsi="Times New Roman" w:cs="Times New Roman"/>
          <w:iCs/>
          <w:color w:val="0D0D0D"/>
          <w:sz w:val="24"/>
          <w:szCs w:val="24"/>
          <w:shd w:val="clear" w:color="auto" w:fill="FFFFFF"/>
        </w:rPr>
        <w:t xml:space="preserve"> los resultados arrojados por este primer </w:t>
      </w:r>
      <w:proofErr w:type="gramStart"/>
      <w:r>
        <w:rPr>
          <w:rStyle w:val="mord"/>
          <w:rFonts w:ascii="Times New Roman" w:eastAsiaTheme="minorEastAsia" w:hAnsi="Times New Roman" w:cs="Times New Roman"/>
          <w:iCs/>
          <w:color w:val="0D0D0D"/>
          <w:sz w:val="24"/>
          <w:szCs w:val="24"/>
          <w:shd w:val="clear" w:color="auto" w:fill="FFFFFF"/>
        </w:rPr>
        <w:t>modelo,</w:t>
      </w:r>
      <w:proofErr w:type="gramEnd"/>
      <w:r>
        <w:rPr>
          <w:rStyle w:val="mord"/>
          <w:rFonts w:ascii="Times New Roman" w:eastAsiaTheme="minorEastAsia" w:hAnsi="Times New Roman" w:cs="Times New Roman"/>
          <w:iCs/>
          <w:color w:val="0D0D0D"/>
          <w:sz w:val="24"/>
          <w:szCs w:val="24"/>
          <w:shd w:val="clear" w:color="auto" w:fill="FFFFFF"/>
        </w:rPr>
        <w:t xml:space="preserve"> no arrojan una clara evidencia de que el auge de la gestión pasiva esté contribuyendo de forma directa a elevar los niveles de sincronicidad. Todo apunta a que la sincronicidad se ha incrementado con respecto a periodos pasados, aunque un año determinado puedan darse unos niveles más reducidos, en promedio se ha producido un incremento evidente. No obstante, tal y como se ha mencionado anteriormente, la sincronicidad depende de </w:t>
      </w:r>
      <w:r>
        <w:rPr>
          <w:rStyle w:val="mord"/>
          <w:rFonts w:ascii="Times New Roman" w:eastAsiaTheme="minorEastAsia" w:hAnsi="Times New Roman" w:cs="Times New Roman"/>
          <w:iCs/>
          <w:color w:val="0D0D0D"/>
          <w:sz w:val="24"/>
          <w:szCs w:val="24"/>
          <w:shd w:val="clear" w:color="auto" w:fill="FFFFFF"/>
        </w:rPr>
        <w:lastRenderedPageBreak/>
        <w:t>multitud de variables, las crisis contribuyen a incrementarla, eventos macroeconómicos como subidas o bajadas de tipos de interés también juegan un papel crucial en la evolución de esta métrica,</w:t>
      </w:r>
      <w:r w:rsidR="00547E79">
        <w:rPr>
          <w:rStyle w:val="mord"/>
          <w:rFonts w:ascii="Times New Roman" w:eastAsiaTheme="minorEastAsia" w:hAnsi="Times New Roman" w:cs="Times New Roman"/>
          <w:iCs/>
          <w:color w:val="0D0D0D"/>
          <w:sz w:val="24"/>
          <w:szCs w:val="24"/>
          <w:shd w:val="clear" w:color="auto" w:fill="FFFFFF"/>
        </w:rPr>
        <w:t xml:space="preserve"> por ello para determinar la relevancia de la gestión pasiva, es necesario estimar un nuevo modelo en el que se incluya una variable que refleje el auge de esta modalidad de inversión. </w:t>
      </w:r>
    </w:p>
    <w:p w14:paraId="37F9D5A1" w14:textId="427E14AD" w:rsidR="003E5604" w:rsidRPr="003E5604" w:rsidRDefault="003E5604" w:rsidP="003E5604">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3E5604">
        <w:rPr>
          <w:rStyle w:val="mord"/>
          <w:rFonts w:ascii="Times New Roman" w:eastAsiaTheme="minorEastAsia" w:hAnsi="Times New Roman" w:cs="Times New Roman"/>
          <w:iCs/>
          <w:color w:val="0D0D0D"/>
          <w:sz w:val="24"/>
          <w:szCs w:val="24"/>
          <w:shd w:val="clear" w:color="auto" w:fill="FFFFFF"/>
        </w:rPr>
        <w:t xml:space="preserve">La variable </w:t>
      </w:r>
      <w:r>
        <w:rPr>
          <w:rStyle w:val="mord"/>
          <w:rFonts w:ascii="Times New Roman" w:eastAsiaTheme="minorEastAsia" w:hAnsi="Times New Roman" w:cs="Times New Roman"/>
          <w:iCs/>
          <w:color w:val="0D0D0D"/>
          <w:sz w:val="24"/>
          <w:szCs w:val="24"/>
          <w:shd w:val="clear" w:color="auto" w:fill="FFFFFF"/>
        </w:rPr>
        <w:t>escogida para representar</w:t>
      </w:r>
      <w:r w:rsidRPr="003E5604">
        <w:rPr>
          <w:rStyle w:val="mord"/>
          <w:rFonts w:ascii="Times New Roman" w:eastAsiaTheme="minorEastAsia" w:hAnsi="Times New Roman" w:cs="Times New Roman"/>
          <w:iCs/>
          <w:color w:val="0D0D0D"/>
          <w:sz w:val="24"/>
          <w:szCs w:val="24"/>
          <w:shd w:val="clear" w:color="auto" w:fill="FFFFFF"/>
        </w:rPr>
        <w:t xml:space="preserve"> el auge de la gestión pasiva será </w:t>
      </w:r>
      <w:r>
        <w:rPr>
          <w:rStyle w:val="mord"/>
          <w:rFonts w:ascii="Times New Roman" w:eastAsiaTheme="minorEastAsia" w:hAnsi="Times New Roman" w:cs="Times New Roman"/>
          <w:iCs/>
          <w:color w:val="0D0D0D"/>
          <w:sz w:val="24"/>
          <w:szCs w:val="24"/>
          <w:shd w:val="clear" w:color="auto" w:fill="FFFFFF"/>
        </w:rPr>
        <w:t>la mediana del</w:t>
      </w:r>
      <w:r w:rsidRPr="003E5604">
        <w:rPr>
          <w:rStyle w:val="mord"/>
          <w:rFonts w:ascii="Times New Roman" w:eastAsiaTheme="minorEastAsia" w:hAnsi="Times New Roman" w:cs="Times New Roman"/>
          <w:iCs/>
          <w:color w:val="0D0D0D"/>
          <w:sz w:val="24"/>
          <w:szCs w:val="24"/>
          <w:shd w:val="clear" w:color="auto" w:fill="FFFFFF"/>
        </w:rPr>
        <w:t xml:space="preserve"> porcentaje de propiedad de las grandes gestoras de fondos de gestión pasiva en el S&amp;P 500. Las principales gestoras consideradas en este análisis son </w:t>
      </w:r>
      <w:proofErr w:type="spellStart"/>
      <w:r w:rsidRPr="003E5604">
        <w:rPr>
          <w:rStyle w:val="mord"/>
          <w:rFonts w:ascii="Times New Roman" w:eastAsiaTheme="minorEastAsia" w:hAnsi="Times New Roman" w:cs="Times New Roman"/>
          <w:iCs/>
          <w:color w:val="0D0D0D"/>
          <w:sz w:val="24"/>
          <w:szCs w:val="24"/>
          <w:shd w:val="clear" w:color="auto" w:fill="FFFFFF"/>
        </w:rPr>
        <w:t>Vanguard</w:t>
      </w:r>
      <w:proofErr w:type="spellEnd"/>
      <w:r w:rsidRPr="003E5604">
        <w:rPr>
          <w:rStyle w:val="mord"/>
          <w:rFonts w:ascii="Times New Roman" w:eastAsiaTheme="minorEastAsia" w:hAnsi="Times New Roman" w:cs="Times New Roman"/>
          <w:iCs/>
          <w:color w:val="0D0D0D"/>
          <w:sz w:val="24"/>
          <w:szCs w:val="24"/>
          <w:shd w:val="clear" w:color="auto" w:fill="FFFFFF"/>
        </w:rPr>
        <w:t xml:space="preserve">, </w:t>
      </w:r>
      <w:proofErr w:type="spellStart"/>
      <w:r w:rsidRPr="003E5604">
        <w:rPr>
          <w:rStyle w:val="mord"/>
          <w:rFonts w:ascii="Times New Roman" w:eastAsiaTheme="minorEastAsia" w:hAnsi="Times New Roman" w:cs="Times New Roman"/>
          <w:iCs/>
          <w:color w:val="0D0D0D"/>
          <w:sz w:val="24"/>
          <w:szCs w:val="24"/>
          <w:shd w:val="clear" w:color="auto" w:fill="FFFFFF"/>
        </w:rPr>
        <w:t>BlackRock</w:t>
      </w:r>
      <w:proofErr w:type="spellEnd"/>
      <w:r w:rsidRPr="003E5604">
        <w:rPr>
          <w:rStyle w:val="mord"/>
          <w:rFonts w:ascii="Times New Roman" w:eastAsiaTheme="minorEastAsia" w:hAnsi="Times New Roman" w:cs="Times New Roman"/>
          <w:iCs/>
          <w:color w:val="0D0D0D"/>
          <w:sz w:val="24"/>
          <w:szCs w:val="24"/>
          <w:shd w:val="clear" w:color="auto" w:fill="FFFFFF"/>
        </w:rPr>
        <w:t xml:space="preserve"> y </w:t>
      </w:r>
      <w:proofErr w:type="spellStart"/>
      <w:r w:rsidRPr="003E5604">
        <w:rPr>
          <w:rStyle w:val="mord"/>
          <w:rFonts w:ascii="Times New Roman" w:eastAsiaTheme="minorEastAsia" w:hAnsi="Times New Roman" w:cs="Times New Roman"/>
          <w:iCs/>
          <w:color w:val="0D0D0D"/>
          <w:sz w:val="24"/>
          <w:szCs w:val="24"/>
          <w:shd w:val="clear" w:color="auto" w:fill="FFFFFF"/>
        </w:rPr>
        <w:t>State</w:t>
      </w:r>
      <w:proofErr w:type="spellEnd"/>
      <w:r w:rsidRPr="003E5604">
        <w:rPr>
          <w:rStyle w:val="mord"/>
          <w:rFonts w:ascii="Times New Roman" w:eastAsiaTheme="minorEastAsia" w:hAnsi="Times New Roman" w:cs="Times New Roman"/>
          <w:iCs/>
          <w:color w:val="0D0D0D"/>
          <w:sz w:val="24"/>
          <w:szCs w:val="24"/>
          <w:shd w:val="clear" w:color="auto" w:fill="FFFFFF"/>
        </w:rPr>
        <w:t xml:space="preserve"> Street Global </w:t>
      </w:r>
      <w:proofErr w:type="spellStart"/>
      <w:r w:rsidRPr="003E5604">
        <w:rPr>
          <w:rStyle w:val="mord"/>
          <w:rFonts w:ascii="Times New Roman" w:eastAsiaTheme="minorEastAsia" w:hAnsi="Times New Roman" w:cs="Times New Roman"/>
          <w:iCs/>
          <w:color w:val="0D0D0D"/>
          <w:sz w:val="24"/>
          <w:szCs w:val="24"/>
          <w:shd w:val="clear" w:color="auto" w:fill="FFFFFF"/>
        </w:rPr>
        <w:t>Advisors</w:t>
      </w:r>
      <w:proofErr w:type="spellEnd"/>
      <w:r w:rsidRPr="003E5604">
        <w:rPr>
          <w:rStyle w:val="mord"/>
          <w:rFonts w:ascii="Times New Roman" w:eastAsiaTheme="minorEastAsia" w:hAnsi="Times New Roman" w:cs="Times New Roman"/>
          <w:iCs/>
          <w:color w:val="0D0D0D"/>
          <w:sz w:val="24"/>
          <w:szCs w:val="24"/>
          <w:shd w:val="clear" w:color="auto" w:fill="FFFFFF"/>
        </w:rPr>
        <w:t>. La principal actividad de estas compañías es la comercialización de fondos de gestión pasiva, lo que las convierte en actores cruciales</w:t>
      </w:r>
      <w:r>
        <w:rPr>
          <w:rStyle w:val="mord"/>
          <w:rFonts w:ascii="Times New Roman" w:eastAsiaTheme="minorEastAsia" w:hAnsi="Times New Roman" w:cs="Times New Roman"/>
          <w:iCs/>
          <w:color w:val="0D0D0D"/>
          <w:sz w:val="24"/>
          <w:szCs w:val="24"/>
          <w:shd w:val="clear" w:color="auto" w:fill="FFFFFF"/>
        </w:rPr>
        <w:t xml:space="preserve"> a la hora de abordar temas relacionados con la gestión pasiva</w:t>
      </w:r>
      <w:r w:rsidRPr="003E5604">
        <w:rPr>
          <w:rStyle w:val="mord"/>
          <w:rFonts w:ascii="Times New Roman" w:eastAsiaTheme="minorEastAsia" w:hAnsi="Times New Roman" w:cs="Times New Roman"/>
          <w:iCs/>
          <w:color w:val="0D0D0D"/>
          <w:sz w:val="24"/>
          <w:szCs w:val="24"/>
          <w:shd w:val="clear" w:color="auto" w:fill="FFFFFF"/>
        </w:rPr>
        <w:t>.</w:t>
      </w:r>
    </w:p>
    <w:p w14:paraId="569356EB" w14:textId="09A0AE3F" w:rsidR="003E5604" w:rsidRDefault="003E5604" w:rsidP="003E5604">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3E5604">
        <w:rPr>
          <w:rStyle w:val="mord"/>
          <w:rFonts w:ascii="Times New Roman" w:eastAsiaTheme="minorEastAsia" w:hAnsi="Times New Roman" w:cs="Times New Roman"/>
          <w:iCs/>
          <w:color w:val="0D0D0D"/>
          <w:sz w:val="24"/>
          <w:szCs w:val="24"/>
          <w:shd w:val="clear" w:color="auto" w:fill="FFFFFF"/>
        </w:rPr>
        <w:t xml:space="preserve">El modelo propuesto </w:t>
      </w:r>
      <w:r>
        <w:rPr>
          <w:rStyle w:val="mord"/>
          <w:rFonts w:ascii="Times New Roman" w:eastAsiaTheme="minorEastAsia" w:hAnsi="Times New Roman" w:cs="Times New Roman"/>
          <w:iCs/>
          <w:color w:val="0D0D0D"/>
          <w:sz w:val="24"/>
          <w:szCs w:val="24"/>
          <w:shd w:val="clear" w:color="auto" w:fill="FFFFFF"/>
        </w:rPr>
        <w:t xml:space="preserve">tiene como objetivo </w:t>
      </w:r>
      <w:r w:rsidRPr="003E5604">
        <w:rPr>
          <w:rStyle w:val="mord"/>
          <w:rFonts w:ascii="Times New Roman" w:eastAsiaTheme="minorEastAsia" w:hAnsi="Times New Roman" w:cs="Times New Roman"/>
          <w:iCs/>
          <w:color w:val="0D0D0D"/>
          <w:sz w:val="24"/>
          <w:szCs w:val="24"/>
          <w:shd w:val="clear" w:color="auto" w:fill="FFFFFF"/>
        </w:rPr>
        <w:t>explicar la variable sincronicidad en función del porcentaje de propiedad de las grandes gestoras en el S&amp;P 500. El modelo se formulará de la siguiente manera:</w:t>
      </w:r>
    </w:p>
    <w:p w14:paraId="70A8F579" w14:textId="3F4467CB" w:rsidR="003E5604" w:rsidRPr="003E5604" w:rsidRDefault="003E5604" w:rsidP="003E560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center"/>
        <w:rPr>
          <w:color w:val="0D0D0D"/>
          <w:sz w:val="28"/>
          <w:szCs w:val="28"/>
          <w14:ligatures w14:val="none"/>
        </w:rPr>
      </w:pPr>
      <w:r w:rsidRPr="003E5604">
        <w:rPr>
          <w:color w:val="0D0D0D"/>
          <w:sz w:val="28"/>
          <w:szCs w:val="28"/>
          <w:bdr w:val="single" w:sz="2" w:space="0" w:color="E3E3E3" w:frame="1"/>
          <w14:ligatures w14:val="none"/>
        </w:rPr>
        <w:t xml:space="preserve">Sincronicidad = </w:t>
      </w:r>
      <w:r w:rsidRPr="003E5604">
        <w:rPr>
          <w:i/>
          <w:iCs/>
          <w:color w:val="0D0D0D"/>
          <w:sz w:val="28"/>
          <w:szCs w:val="28"/>
          <w:bdr w:val="single" w:sz="2" w:space="0" w:color="E3E3E3" w:frame="1"/>
          <w14:ligatures w14:val="none"/>
        </w:rPr>
        <w:t xml:space="preserve">α </w:t>
      </w:r>
      <w:r w:rsidRPr="003E5604">
        <w:rPr>
          <w:color w:val="0D0D0D"/>
          <w:sz w:val="28"/>
          <w:szCs w:val="28"/>
          <w:bdr w:val="single" w:sz="2" w:space="0" w:color="E3E3E3" w:frame="1"/>
          <w14:ligatures w14:val="none"/>
        </w:rPr>
        <w:t xml:space="preserve">+ </w:t>
      </w:r>
      <w:r w:rsidRPr="003E5604">
        <w:rPr>
          <w:i/>
          <w:iCs/>
          <w:color w:val="0D0D0D"/>
          <w:sz w:val="28"/>
          <w:szCs w:val="28"/>
          <w:bdr w:val="single" w:sz="2" w:space="0" w:color="E3E3E3" w:frame="1"/>
          <w14:ligatures w14:val="none"/>
        </w:rPr>
        <w:t>β</w:t>
      </w:r>
      <w:r w:rsidRPr="003E5604">
        <w:rPr>
          <w:rFonts w:ascii="Cambria Math" w:hAnsi="Cambria Math" w:cs="Cambria Math"/>
          <w:color w:val="0D0D0D"/>
          <w:sz w:val="28"/>
          <w:szCs w:val="28"/>
          <w:bdr w:val="single" w:sz="2" w:space="0" w:color="E3E3E3" w:frame="1"/>
          <w14:ligatures w14:val="none"/>
        </w:rPr>
        <w:t>⋅</w:t>
      </w:r>
      <w:r w:rsidRPr="003E5604">
        <w:rPr>
          <w:color w:val="0D0D0D"/>
          <w:sz w:val="28"/>
          <w:szCs w:val="28"/>
          <w:bdr w:val="single" w:sz="2" w:space="0" w:color="E3E3E3" w:frame="1"/>
          <w14:ligatures w14:val="none"/>
        </w:rPr>
        <w:t xml:space="preserve"> % de propiedad sobre el S&amp;P 500 + </w:t>
      </w:r>
      <w:r w:rsidRPr="003E5604">
        <w:rPr>
          <w:i/>
          <w:iCs/>
          <w:color w:val="0D0D0D"/>
          <w:sz w:val="28"/>
          <w:szCs w:val="28"/>
          <w:bdr w:val="single" w:sz="2" w:space="0" w:color="E3E3E3" w:frame="1"/>
          <w14:ligatures w14:val="none"/>
        </w:rPr>
        <w:t>ϵ</w:t>
      </w:r>
    </w:p>
    <w:p w14:paraId="1CDE287B" w14:textId="77777777" w:rsidR="003E5604" w:rsidRPr="003E5604" w:rsidRDefault="003E5604" w:rsidP="003E560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8"/>
          <w:szCs w:val="28"/>
          <w:lang w:eastAsia="es-ES"/>
          <w14:ligatures w14:val="none"/>
        </w:rPr>
      </w:pPr>
      <w:r w:rsidRPr="003E5604">
        <w:rPr>
          <w:rFonts w:ascii="Times New Roman" w:eastAsia="Times New Roman" w:hAnsi="Times New Roman" w:cs="Times New Roman"/>
          <w:color w:val="0D0D0D"/>
          <w:kern w:val="0"/>
          <w:sz w:val="28"/>
          <w:szCs w:val="28"/>
          <w:lang w:eastAsia="es-ES"/>
          <w14:ligatures w14:val="none"/>
        </w:rPr>
        <w:t>donde:</w:t>
      </w:r>
    </w:p>
    <w:p w14:paraId="11C3C48A" w14:textId="01C2D62E" w:rsidR="003E5604" w:rsidRPr="003E5604" w:rsidRDefault="003E5604" w:rsidP="003E5604">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8"/>
          <w:szCs w:val="28"/>
          <w:lang w:eastAsia="es-ES"/>
          <w14:ligatures w14:val="none"/>
        </w:rPr>
      </w:pPr>
      <w:r w:rsidRPr="003E5604">
        <w:rPr>
          <w:rFonts w:ascii="Times New Roman" w:eastAsia="Times New Roman" w:hAnsi="Times New Roman" w:cs="Times New Roman"/>
          <w:b/>
          <w:bCs/>
          <w:color w:val="0D0D0D"/>
          <w:kern w:val="0"/>
          <w:sz w:val="28"/>
          <w:szCs w:val="28"/>
          <w:bdr w:val="single" w:sz="2" w:space="0" w:color="E3E3E3" w:frame="1"/>
          <w:lang w:eastAsia="es-ES"/>
          <w14:ligatures w14:val="none"/>
        </w:rPr>
        <w:t>Sincronicidad</w:t>
      </w:r>
      <w:r w:rsidRPr="003E5604">
        <w:rPr>
          <w:rFonts w:ascii="Times New Roman" w:eastAsia="Times New Roman" w:hAnsi="Times New Roman" w:cs="Times New Roman"/>
          <w:color w:val="0D0D0D"/>
          <w:kern w:val="0"/>
          <w:sz w:val="28"/>
          <w:szCs w:val="28"/>
          <w:lang w:eastAsia="es-ES"/>
          <w14:ligatures w14:val="none"/>
        </w:rPr>
        <w:t xml:space="preserve"> es la medida anual promedio de sincronicidad de las acciones del S&amp;P 500 (los R² promedios anuales estimados en el modelo anterior).</w:t>
      </w:r>
    </w:p>
    <w:p w14:paraId="1E578B0C" w14:textId="74D08377" w:rsidR="003E5604" w:rsidRPr="003E5604" w:rsidRDefault="003E5604" w:rsidP="003E5604">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8"/>
          <w:szCs w:val="28"/>
          <w:lang w:eastAsia="es-ES"/>
          <w14:ligatures w14:val="none"/>
        </w:rPr>
      </w:pPr>
      <w:r w:rsidRPr="003E5604">
        <w:rPr>
          <w:rFonts w:ascii="Times New Roman" w:hAnsi="Times New Roman" w:cs="Times New Roman"/>
          <w:b/>
          <w:bCs/>
          <w:color w:val="0D0D0D"/>
          <w:sz w:val="28"/>
          <w:szCs w:val="28"/>
          <w:bdr w:val="single" w:sz="2" w:space="0" w:color="E3E3E3" w:frame="1"/>
          <w14:ligatures w14:val="none"/>
        </w:rPr>
        <w:t xml:space="preserve">% de propiedad sobre el S&amp;P </w:t>
      </w:r>
      <w:proofErr w:type="gramStart"/>
      <w:r w:rsidRPr="003E5604">
        <w:rPr>
          <w:rFonts w:ascii="Times New Roman" w:hAnsi="Times New Roman" w:cs="Times New Roman"/>
          <w:b/>
          <w:bCs/>
          <w:color w:val="0D0D0D"/>
          <w:sz w:val="28"/>
          <w:szCs w:val="28"/>
          <w:bdr w:val="single" w:sz="2" w:space="0" w:color="E3E3E3" w:frame="1"/>
          <w14:ligatures w14:val="none"/>
        </w:rPr>
        <w:t>500</w:t>
      </w:r>
      <w:r w:rsidRPr="003E5604">
        <w:rPr>
          <w:rFonts w:ascii="Times New Roman" w:hAnsi="Times New Roman" w:cs="Times New Roman"/>
          <w:color w:val="0D0D0D"/>
          <w:sz w:val="28"/>
          <w:szCs w:val="28"/>
          <w:bdr w:val="single" w:sz="2" w:space="0" w:color="E3E3E3" w:frame="1"/>
          <w14:ligatures w14:val="none"/>
        </w:rPr>
        <w:t xml:space="preserve"> </w:t>
      </w:r>
      <w:r w:rsidRPr="003E5604">
        <w:rPr>
          <w:rFonts w:ascii="Times New Roman" w:eastAsia="Times New Roman" w:hAnsi="Times New Roman" w:cs="Times New Roman"/>
          <w:color w:val="0D0D0D"/>
          <w:kern w:val="0"/>
          <w:sz w:val="28"/>
          <w:szCs w:val="28"/>
          <w:lang w:eastAsia="es-ES"/>
          <w14:ligatures w14:val="none"/>
        </w:rPr>
        <w:t xml:space="preserve"> es</w:t>
      </w:r>
      <w:proofErr w:type="gramEnd"/>
      <w:r w:rsidRPr="003E5604">
        <w:rPr>
          <w:rFonts w:ascii="Times New Roman" w:eastAsia="Times New Roman" w:hAnsi="Times New Roman" w:cs="Times New Roman"/>
          <w:color w:val="0D0D0D"/>
          <w:kern w:val="0"/>
          <w:sz w:val="28"/>
          <w:szCs w:val="28"/>
          <w:lang w:eastAsia="es-ES"/>
          <w14:ligatures w14:val="none"/>
        </w:rPr>
        <w:t xml:space="preserve"> el porcentaje de propiedad mediano combinado de </w:t>
      </w:r>
      <w:proofErr w:type="spellStart"/>
      <w:r w:rsidRPr="003E5604">
        <w:rPr>
          <w:rFonts w:ascii="Times New Roman" w:eastAsia="Times New Roman" w:hAnsi="Times New Roman" w:cs="Times New Roman"/>
          <w:color w:val="0D0D0D"/>
          <w:kern w:val="0"/>
          <w:sz w:val="28"/>
          <w:szCs w:val="28"/>
          <w:lang w:eastAsia="es-ES"/>
          <w14:ligatures w14:val="none"/>
        </w:rPr>
        <w:t>Vanguard</w:t>
      </w:r>
      <w:proofErr w:type="spellEnd"/>
      <w:r w:rsidRPr="003E5604">
        <w:rPr>
          <w:rFonts w:ascii="Times New Roman" w:eastAsia="Times New Roman" w:hAnsi="Times New Roman" w:cs="Times New Roman"/>
          <w:color w:val="0D0D0D"/>
          <w:kern w:val="0"/>
          <w:sz w:val="28"/>
          <w:szCs w:val="28"/>
          <w:lang w:eastAsia="es-ES"/>
          <w14:ligatures w14:val="none"/>
        </w:rPr>
        <w:t xml:space="preserve">, </w:t>
      </w:r>
      <w:proofErr w:type="spellStart"/>
      <w:r w:rsidRPr="003E5604">
        <w:rPr>
          <w:rFonts w:ascii="Times New Roman" w:eastAsia="Times New Roman" w:hAnsi="Times New Roman" w:cs="Times New Roman"/>
          <w:color w:val="0D0D0D"/>
          <w:kern w:val="0"/>
          <w:sz w:val="28"/>
          <w:szCs w:val="28"/>
          <w:lang w:eastAsia="es-ES"/>
          <w14:ligatures w14:val="none"/>
        </w:rPr>
        <w:t>BlackRock</w:t>
      </w:r>
      <w:proofErr w:type="spellEnd"/>
      <w:r w:rsidRPr="003E5604">
        <w:rPr>
          <w:rFonts w:ascii="Times New Roman" w:eastAsia="Times New Roman" w:hAnsi="Times New Roman" w:cs="Times New Roman"/>
          <w:color w:val="0D0D0D"/>
          <w:kern w:val="0"/>
          <w:sz w:val="28"/>
          <w:szCs w:val="28"/>
          <w:lang w:eastAsia="es-ES"/>
          <w14:ligatures w14:val="none"/>
        </w:rPr>
        <w:t xml:space="preserve"> y </w:t>
      </w:r>
      <w:proofErr w:type="spellStart"/>
      <w:r w:rsidRPr="003E5604">
        <w:rPr>
          <w:rFonts w:ascii="Times New Roman" w:eastAsia="Times New Roman" w:hAnsi="Times New Roman" w:cs="Times New Roman"/>
          <w:color w:val="0D0D0D"/>
          <w:kern w:val="0"/>
          <w:sz w:val="28"/>
          <w:szCs w:val="28"/>
          <w:lang w:eastAsia="es-ES"/>
          <w14:ligatures w14:val="none"/>
        </w:rPr>
        <w:t>State</w:t>
      </w:r>
      <w:proofErr w:type="spellEnd"/>
      <w:r w:rsidRPr="003E5604">
        <w:rPr>
          <w:rFonts w:ascii="Times New Roman" w:eastAsia="Times New Roman" w:hAnsi="Times New Roman" w:cs="Times New Roman"/>
          <w:color w:val="0D0D0D"/>
          <w:kern w:val="0"/>
          <w:sz w:val="28"/>
          <w:szCs w:val="28"/>
          <w:lang w:eastAsia="es-ES"/>
          <w14:ligatures w14:val="none"/>
        </w:rPr>
        <w:t xml:space="preserve"> Street Global </w:t>
      </w:r>
      <w:proofErr w:type="spellStart"/>
      <w:r w:rsidRPr="003E5604">
        <w:rPr>
          <w:rFonts w:ascii="Times New Roman" w:eastAsia="Times New Roman" w:hAnsi="Times New Roman" w:cs="Times New Roman"/>
          <w:color w:val="0D0D0D"/>
          <w:kern w:val="0"/>
          <w:sz w:val="28"/>
          <w:szCs w:val="28"/>
          <w:lang w:eastAsia="es-ES"/>
          <w14:ligatures w14:val="none"/>
        </w:rPr>
        <w:t>Advisors</w:t>
      </w:r>
      <w:proofErr w:type="spellEnd"/>
      <w:r w:rsidRPr="003E5604">
        <w:rPr>
          <w:rFonts w:ascii="Times New Roman" w:eastAsia="Times New Roman" w:hAnsi="Times New Roman" w:cs="Times New Roman"/>
          <w:color w:val="0D0D0D"/>
          <w:kern w:val="0"/>
          <w:sz w:val="28"/>
          <w:szCs w:val="28"/>
          <w:lang w:eastAsia="es-ES"/>
          <w14:ligatures w14:val="none"/>
        </w:rPr>
        <w:t xml:space="preserve"> en el S&amp;P 500.</w:t>
      </w:r>
    </w:p>
    <w:p w14:paraId="1F7E0595" w14:textId="7E507280" w:rsidR="003E5604" w:rsidRPr="003E5604" w:rsidRDefault="003E5604" w:rsidP="003E5604">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8"/>
          <w:szCs w:val="28"/>
          <w:lang w:eastAsia="es-ES"/>
          <w14:ligatures w14:val="none"/>
        </w:rPr>
      </w:pPr>
      <w:r w:rsidRPr="003E5604">
        <w:rPr>
          <w:rFonts w:ascii="Times New Roman" w:eastAsia="Times New Roman" w:hAnsi="Times New Roman" w:cs="Times New Roman"/>
          <w:b/>
          <w:bCs/>
          <w:i/>
          <w:iCs/>
          <w:color w:val="0D0D0D"/>
          <w:kern w:val="0"/>
          <w:sz w:val="28"/>
          <w:szCs w:val="28"/>
          <w:bdr w:val="single" w:sz="2" w:space="0" w:color="E3E3E3" w:frame="1"/>
          <w:lang w:eastAsia="es-ES"/>
          <w14:ligatures w14:val="none"/>
        </w:rPr>
        <w:t>α</w:t>
      </w:r>
      <w:r w:rsidRPr="003E5604">
        <w:rPr>
          <w:rFonts w:ascii="Times New Roman" w:eastAsia="Times New Roman" w:hAnsi="Times New Roman" w:cs="Times New Roman"/>
          <w:color w:val="0D0D0D"/>
          <w:kern w:val="0"/>
          <w:sz w:val="28"/>
          <w:szCs w:val="28"/>
          <w:lang w:eastAsia="es-ES"/>
          <w14:ligatures w14:val="none"/>
        </w:rPr>
        <w:t xml:space="preserve"> es la constante del modelo.</w:t>
      </w:r>
    </w:p>
    <w:p w14:paraId="40A8DDC6" w14:textId="6F458585" w:rsidR="003E5604" w:rsidRPr="003E5604" w:rsidRDefault="003E5604" w:rsidP="003E5604">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8"/>
          <w:szCs w:val="28"/>
          <w:lang w:eastAsia="es-ES"/>
          <w14:ligatures w14:val="none"/>
        </w:rPr>
      </w:pPr>
      <w:r w:rsidRPr="003E5604">
        <w:rPr>
          <w:rFonts w:ascii="Times New Roman" w:eastAsia="Times New Roman" w:hAnsi="Times New Roman" w:cs="Times New Roman"/>
          <w:b/>
          <w:bCs/>
          <w:i/>
          <w:iCs/>
          <w:color w:val="0D0D0D"/>
          <w:kern w:val="0"/>
          <w:sz w:val="28"/>
          <w:szCs w:val="28"/>
          <w:bdr w:val="single" w:sz="2" w:space="0" w:color="E3E3E3" w:frame="1"/>
          <w:lang w:eastAsia="es-ES"/>
          <w14:ligatures w14:val="none"/>
        </w:rPr>
        <w:t>β</w:t>
      </w:r>
      <w:r w:rsidRPr="003E5604">
        <w:rPr>
          <w:rFonts w:ascii="Times New Roman" w:eastAsia="Times New Roman" w:hAnsi="Times New Roman" w:cs="Times New Roman"/>
          <w:b/>
          <w:bCs/>
          <w:color w:val="0D0D0D"/>
          <w:kern w:val="0"/>
          <w:sz w:val="28"/>
          <w:szCs w:val="28"/>
          <w:lang w:eastAsia="es-ES"/>
          <w14:ligatures w14:val="none"/>
        </w:rPr>
        <w:t xml:space="preserve"> </w:t>
      </w:r>
      <w:r w:rsidRPr="003E5604">
        <w:rPr>
          <w:rFonts w:ascii="Times New Roman" w:eastAsia="Times New Roman" w:hAnsi="Times New Roman" w:cs="Times New Roman"/>
          <w:color w:val="0D0D0D"/>
          <w:kern w:val="0"/>
          <w:sz w:val="28"/>
          <w:szCs w:val="28"/>
          <w:lang w:eastAsia="es-ES"/>
          <w14:ligatures w14:val="none"/>
        </w:rPr>
        <w:t>es el coeficiente que mide la relación entre el porcentaje de propiedad y la sincronicidad.</w:t>
      </w:r>
    </w:p>
    <w:p w14:paraId="1B90F88A" w14:textId="20F97C00" w:rsidR="003E5604" w:rsidRPr="003B3576" w:rsidRDefault="003E5604" w:rsidP="003B3576">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360" w:lineRule="auto"/>
        <w:rPr>
          <w:rStyle w:val="mord"/>
          <w:rFonts w:ascii="Times New Roman" w:eastAsia="Times New Roman" w:hAnsi="Times New Roman" w:cs="Times New Roman"/>
          <w:color w:val="0D0D0D"/>
          <w:kern w:val="0"/>
          <w:sz w:val="28"/>
          <w:szCs w:val="28"/>
          <w:lang w:eastAsia="es-ES"/>
          <w14:ligatures w14:val="none"/>
        </w:rPr>
      </w:pPr>
      <w:r w:rsidRPr="003E5604">
        <w:rPr>
          <w:rFonts w:ascii="Times New Roman" w:eastAsia="Times New Roman" w:hAnsi="Times New Roman" w:cs="Times New Roman"/>
          <w:b/>
          <w:bCs/>
          <w:i/>
          <w:iCs/>
          <w:color w:val="0D0D0D"/>
          <w:kern w:val="0"/>
          <w:sz w:val="28"/>
          <w:szCs w:val="28"/>
          <w:bdr w:val="single" w:sz="2" w:space="0" w:color="E3E3E3" w:frame="1"/>
          <w:lang w:eastAsia="es-ES"/>
          <w14:ligatures w14:val="none"/>
        </w:rPr>
        <w:t>ϵ</w:t>
      </w:r>
      <w:r w:rsidRPr="003E5604">
        <w:rPr>
          <w:rFonts w:ascii="Times New Roman" w:eastAsia="Times New Roman" w:hAnsi="Times New Roman" w:cs="Times New Roman"/>
          <w:b/>
          <w:bCs/>
          <w:color w:val="0D0D0D"/>
          <w:kern w:val="0"/>
          <w:sz w:val="28"/>
          <w:szCs w:val="28"/>
          <w:lang w:eastAsia="es-ES"/>
          <w14:ligatures w14:val="none"/>
        </w:rPr>
        <w:t xml:space="preserve"> </w:t>
      </w:r>
      <w:r w:rsidRPr="003E5604">
        <w:rPr>
          <w:rFonts w:ascii="Times New Roman" w:eastAsia="Times New Roman" w:hAnsi="Times New Roman" w:cs="Times New Roman"/>
          <w:color w:val="0D0D0D"/>
          <w:kern w:val="0"/>
          <w:sz w:val="28"/>
          <w:szCs w:val="28"/>
          <w:lang w:eastAsia="es-ES"/>
          <w14:ligatures w14:val="none"/>
        </w:rPr>
        <w:t>es el término de error.</w:t>
      </w:r>
    </w:p>
    <w:p w14:paraId="3B170ABC" w14:textId="77777777" w:rsidR="00226301" w:rsidRDefault="00226301" w:rsidP="006C46F2">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057056F6" w14:textId="74494CDF" w:rsidR="006C46F2" w:rsidRPr="006C46F2" w:rsidRDefault="006C46F2" w:rsidP="006C46F2">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6C46F2">
        <w:rPr>
          <w:rStyle w:val="mord"/>
          <w:rFonts w:ascii="Times New Roman" w:eastAsiaTheme="minorEastAsia" w:hAnsi="Times New Roman" w:cs="Times New Roman"/>
          <w:iCs/>
          <w:color w:val="0D0D0D"/>
          <w:sz w:val="24"/>
          <w:szCs w:val="24"/>
          <w:shd w:val="clear" w:color="auto" w:fill="FFFFFF"/>
        </w:rPr>
        <w:t xml:space="preserve">El objetivo de este modelo es determinar si existe una relación significativa entre el aumento del porcentaje de propiedad de las grandes gestoras de fondos pasivos y la </w:t>
      </w:r>
      <w:r w:rsidRPr="006C46F2">
        <w:rPr>
          <w:rStyle w:val="mord"/>
          <w:rFonts w:ascii="Times New Roman" w:eastAsiaTheme="minorEastAsia" w:hAnsi="Times New Roman" w:cs="Times New Roman"/>
          <w:iCs/>
          <w:color w:val="0D0D0D"/>
          <w:sz w:val="24"/>
          <w:szCs w:val="24"/>
          <w:shd w:val="clear" w:color="auto" w:fill="FFFFFF"/>
        </w:rPr>
        <w:lastRenderedPageBreak/>
        <w:t xml:space="preserve">sincronicidad del S&amp;P 500. Un coeficiente </w:t>
      </w:r>
      <w:r w:rsidRPr="006C46F2">
        <w:rPr>
          <w:rStyle w:val="mord"/>
          <w:rFonts w:ascii="Cambria Math" w:eastAsiaTheme="minorEastAsia" w:hAnsi="Cambria Math" w:cs="Cambria Math"/>
          <w:iCs/>
          <w:color w:val="0D0D0D"/>
          <w:sz w:val="24"/>
          <w:szCs w:val="24"/>
          <w:shd w:val="clear" w:color="auto" w:fill="FFFFFF"/>
        </w:rPr>
        <w:t>𝛽</w:t>
      </w:r>
      <w:r>
        <w:rPr>
          <w:rStyle w:val="mord"/>
          <w:rFonts w:ascii="Times New Roman" w:eastAsiaTheme="minorEastAsia" w:hAnsi="Times New Roman" w:cs="Times New Roman"/>
          <w:iCs/>
          <w:color w:val="0D0D0D"/>
          <w:sz w:val="24"/>
          <w:szCs w:val="24"/>
          <w:shd w:val="clear" w:color="auto" w:fill="FFFFFF"/>
        </w:rPr>
        <w:t xml:space="preserve"> </w:t>
      </w:r>
      <w:r w:rsidRPr="006C46F2">
        <w:rPr>
          <w:rStyle w:val="mord"/>
          <w:rFonts w:ascii="Times New Roman" w:eastAsiaTheme="minorEastAsia" w:hAnsi="Times New Roman" w:cs="Times New Roman"/>
          <w:iCs/>
          <w:color w:val="0D0D0D"/>
          <w:sz w:val="24"/>
          <w:szCs w:val="24"/>
          <w:shd w:val="clear" w:color="auto" w:fill="FFFFFF"/>
        </w:rPr>
        <w:t xml:space="preserve">positivo y significativo sugeriría que el aumento en la propiedad de estas </w:t>
      </w:r>
      <w:r w:rsidR="00222FE1">
        <w:rPr>
          <w:rStyle w:val="mord"/>
          <w:rFonts w:ascii="Times New Roman" w:eastAsiaTheme="minorEastAsia" w:hAnsi="Times New Roman" w:cs="Times New Roman"/>
          <w:iCs/>
          <w:color w:val="0D0D0D"/>
          <w:sz w:val="24"/>
          <w:szCs w:val="24"/>
          <w:shd w:val="clear" w:color="auto" w:fill="FFFFFF"/>
        </w:rPr>
        <w:t>empresas sobre el S&amp;P500</w:t>
      </w:r>
      <w:r w:rsidRPr="006C46F2">
        <w:rPr>
          <w:rStyle w:val="mord"/>
          <w:rFonts w:ascii="Times New Roman" w:eastAsiaTheme="minorEastAsia" w:hAnsi="Times New Roman" w:cs="Times New Roman"/>
          <w:iCs/>
          <w:color w:val="0D0D0D"/>
          <w:sz w:val="24"/>
          <w:szCs w:val="24"/>
          <w:shd w:val="clear" w:color="auto" w:fill="FFFFFF"/>
        </w:rPr>
        <w:t xml:space="preserve"> está </w:t>
      </w:r>
      <w:r w:rsidR="00222FE1">
        <w:rPr>
          <w:rStyle w:val="mord"/>
          <w:rFonts w:ascii="Times New Roman" w:eastAsiaTheme="minorEastAsia" w:hAnsi="Times New Roman" w:cs="Times New Roman"/>
          <w:iCs/>
          <w:color w:val="0D0D0D"/>
          <w:sz w:val="24"/>
          <w:szCs w:val="24"/>
          <w:shd w:val="clear" w:color="auto" w:fill="FFFFFF"/>
        </w:rPr>
        <w:t>relacionado</w:t>
      </w:r>
      <w:r w:rsidRPr="006C46F2">
        <w:rPr>
          <w:rStyle w:val="mord"/>
          <w:rFonts w:ascii="Times New Roman" w:eastAsiaTheme="minorEastAsia" w:hAnsi="Times New Roman" w:cs="Times New Roman"/>
          <w:iCs/>
          <w:color w:val="0D0D0D"/>
          <w:sz w:val="24"/>
          <w:szCs w:val="24"/>
          <w:shd w:val="clear" w:color="auto" w:fill="FFFFFF"/>
        </w:rPr>
        <w:t xml:space="preserve"> con un incremento en la sincronicidad</w:t>
      </w:r>
      <w:r w:rsidR="00222FE1">
        <w:rPr>
          <w:rStyle w:val="mord"/>
          <w:rFonts w:ascii="Times New Roman" w:eastAsiaTheme="minorEastAsia" w:hAnsi="Times New Roman" w:cs="Times New Roman"/>
          <w:iCs/>
          <w:color w:val="0D0D0D"/>
          <w:sz w:val="24"/>
          <w:szCs w:val="24"/>
          <w:shd w:val="clear" w:color="auto" w:fill="FFFFFF"/>
        </w:rPr>
        <w:t xml:space="preserve"> y por ende constituiría una evidencia de que el auge de la gestión pasiva tiene efectos en la variable analizada.</w:t>
      </w:r>
    </w:p>
    <w:p w14:paraId="57825A0D" w14:textId="58BC2C37" w:rsidR="00547E79" w:rsidRDefault="006C46F2"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6C46F2">
        <w:rPr>
          <w:rStyle w:val="mord"/>
          <w:rFonts w:ascii="Times New Roman" w:eastAsiaTheme="minorEastAsia" w:hAnsi="Times New Roman" w:cs="Times New Roman"/>
          <w:iCs/>
          <w:color w:val="0D0D0D"/>
          <w:sz w:val="24"/>
          <w:szCs w:val="24"/>
          <w:shd w:val="clear" w:color="auto" w:fill="FFFFFF"/>
        </w:rPr>
        <w:t>Es importante destacar que</w:t>
      </w:r>
      <w:r w:rsidR="00E77BFC">
        <w:rPr>
          <w:rStyle w:val="mord"/>
          <w:rFonts w:ascii="Times New Roman" w:eastAsiaTheme="minorEastAsia" w:hAnsi="Times New Roman" w:cs="Times New Roman"/>
          <w:iCs/>
          <w:color w:val="0D0D0D"/>
          <w:sz w:val="24"/>
          <w:szCs w:val="24"/>
          <w:shd w:val="clear" w:color="auto" w:fill="FFFFFF"/>
        </w:rPr>
        <w:t xml:space="preserve"> </w:t>
      </w:r>
      <w:r w:rsidRPr="006C46F2">
        <w:rPr>
          <w:rStyle w:val="mord"/>
          <w:rFonts w:ascii="Times New Roman" w:eastAsiaTheme="minorEastAsia" w:hAnsi="Times New Roman" w:cs="Times New Roman"/>
          <w:iCs/>
          <w:color w:val="0D0D0D"/>
          <w:sz w:val="24"/>
          <w:szCs w:val="24"/>
          <w:shd w:val="clear" w:color="auto" w:fill="FFFFFF"/>
        </w:rPr>
        <w:t>este análisis se realiza en un contexto complejo</w:t>
      </w:r>
      <w:r w:rsidR="00222FE1">
        <w:rPr>
          <w:rStyle w:val="mord"/>
          <w:rFonts w:ascii="Times New Roman" w:eastAsiaTheme="minorEastAsia" w:hAnsi="Times New Roman" w:cs="Times New Roman"/>
          <w:iCs/>
          <w:color w:val="0D0D0D"/>
          <w:sz w:val="24"/>
          <w:szCs w:val="24"/>
          <w:shd w:val="clear" w:color="auto" w:fill="FFFFFF"/>
        </w:rPr>
        <w:t>, ya que existen infinitos factores que</w:t>
      </w:r>
      <w:r w:rsidRPr="006C46F2">
        <w:rPr>
          <w:rStyle w:val="mord"/>
          <w:rFonts w:ascii="Times New Roman" w:eastAsiaTheme="minorEastAsia" w:hAnsi="Times New Roman" w:cs="Times New Roman"/>
          <w:iCs/>
          <w:color w:val="0D0D0D"/>
          <w:sz w:val="24"/>
          <w:szCs w:val="24"/>
          <w:shd w:val="clear" w:color="auto" w:fill="FFFFFF"/>
        </w:rPr>
        <w:t xml:space="preserve"> influyen en la sincronicidad. La inclusión del porcentaje de propiedad como variable independiente permite aislar el impacto de la gestión pasiva, aunque no debe interpretarse como el único determinante de la sincronicidad</w:t>
      </w:r>
      <w:r w:rsidR="00222FE1">
        <w:rPr>
          <w:rStyle w:val="mord"/>
          <w:rFonts w:ascii="Times New Roman" w:eastAsiaTheme="minorEastAsia" w:hAnsi="Times New Roman" w:cs="Times New Roman"/>
          <w:iCs/>
          <w:color w:val="0D0D0D"/>
          <w:sz w:val="24"/>
          <w:szCs w:val="24"/>
          <w:shd w:val="clear" w:color="auto" w:fill="FFFFFF"/>
        </w:rPr>
        <w:t>, tampoco cabe esperar que esta variable de forma independiente arroje un alto poder explicativo</w:t>
      </w:r>
      <w:r w:rsidR="00EA299C">
        <w:rPr>
          <w:rStyle w:val="mord"/>
          <w:rFonts w:ascii="Times New Roman" w:eastAsiaTheme="minorEastAsia" w:hAnsi="Times New Roman" w:cs="Times New Roman"/>
          <w:iCs/>
          <w:color w:val="0D0D0D"/>
          <w:sz w:val="24"/>
          <w:szCs w:val="24"/>
          <w:shd w:val="clear" w:color="auto" w:fill="FFFFFF"/>
        </w:rPr>
        <w:t>.</w:t>
      </w:r>
    </w:p>
    <w:p w14:paraId="0BE0161D" w14:textId="11F07ED1"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 xml:space="preserve">A continuación, se recogen en la Tabla 1 todos los datos recogidos tanto de Sincronicidad promedio como de la Mediana de la propiedad de </w:t>
      </w:r>
      <w:proofErr w:type="spellStart"/>
      <w:r>
        <w:rPr>
          <w:rStyle w:val="mord"/>
          <w:rFonts w:ascii="Times New Roman" w:eastAsiaTheme="minorEastAsia" w:hAnsi="Times New Roman" w:cs="Times New Roman"/>
          <w:iCs/>
          <w:color w:val="0D0D0D"/>
          <w:sz w:val="24"/>
          <w:szCs w:val="24"/>
          <w:shd w:val="clear" w:color="auto" w:fill="FFFFFF"/>
        </w:rPr>
        <w:t>Blackrock</w:t>
      </w:r>
      <w:proofErr w:type="spellEnd"/>
      <w:r>
        <w:rPr>
          <w:rStyle w:val="mord"/>
          <w:rFonts w:ascii="Times New Roman" w:eastAsiaTheme="minorEastAsia" w:hAnsi="Times New Roman" w:cs="Times New Roman"/>
          <w:iCs/>
          <w:color w:val="0D0D0D"/>
          <w:sz w:val="24"/>
          <w:szCs w:val="24"/>
          <w:shd w:val="clear" w:color="auto" w:fill="FFFFFF"/>
        </w:rPr>
        <w:t xml:space="preserve">, </w:t>
      </w:r>
      <w:proofErr w:type="spellStart"/>
      <w:r>
        <w:rPr>
          <w:rStyle w:val="mord"/>
          <w:rFonts w:ascii="Times New Roman" w:eastAsiaTheme="minorEastAsia" w:hAnsi="Times New Roman" w:cs="Times New Roman"/>
          <w:iCs/>
          <w:color w:val="0D0D0D"/>
          <w:sz w:val="24"/>
          <w:szCs w:val="24"/>
          <w:shd w:val="clear" w:color="auto" w:fill="FFFFFF"/>
        </w:rPr>
        <w:t>Vanguard</w:t>
      </w:r>
      <w:proofErr w:type="spellEnd"/>
      <w:r>
        <w:rPr>
          <w:rStyle w:val="mord"/>
          <w:rFonts w:ascii="Times New Roman" w:eastAsiaTheme="minorEastAsia" w:hAnsi="Times New Roman" w:cs="Times New Roman"/>
          <w:iCs/>
          <w:color w:val="0D0D0D"/>
          <w:sz w:val="24"/>
          <w:szCs w:val="24"/>
          <w:shd w:val="clear" w:color="auto" w:fill="FFFFFF"/>
        </w:rPr>
        <w:t xml:space="preserve"> y </w:t>
      </w:r>
      <w:proofErr w:type="spellStart"/>
      <w:r>
        <w:rPr>
          <w:rStyle w:val="mord"/>
          <w:rFonts w:ascii="Times New Roman" w:eastAsiaTheme="minorEastAsia" w:hAnsi="Times New Roman" w:cs="Times New Roman"/>
          <w:iCs/>
          <w:color w:val="0D0D0D"/>
          <w:sz w:val="24"/>
          <w:szCs w:val="24"/>
          <w:shd w:val="clear" w:color="auto" w:fill="FFFFFF"/>
        </w:rPr>
        <w:t>State</w:t>
      </w:r>
      <w:proofErr w:type="spellEnd"/>
      <w:r>
        <w:rPr>
          <w:rStyle w:val="mord"/>
          <w:rFonts w:ascii="Times New Roman" w:eastAsiaTheme="minorEastAsia" w:hAnsi="Times New Roman" w:cs="Times New Roman"/>
          <w:iCs/>
          <w:color w:val="0D0D0D"/>
          <w:sz w:val="24"/>
          <w:szCs w:val="24"/>
          <w:shd w:val="clear" w:color="auto" w:fill="FFFFFF"/>
        </w:rPr>
        <w:t xml:space="preserve"> Street Global </w:t>
      </w:r>
      <w:proofErr w:type="spellStart"/>
      <w:r>
        <w:rPr>
          <w:rStyle w:val="mord"/>
          <w:rFonts w:ascii="Times New Roman" w:eastAsiaTheme="minorEastAsia" w:hAnsi="Times New Roman" w:cs="Times New Roman"/>
          <w:iCs/>
          <w:color w:val="0D0D0D"/>
          <w:sz w:val="24"/>
          <w:szCs w:val="24"/>
          <w:shd w:val="clear" w:color="auto" w:fill="FFFFFF"/>
        </w:rPr>
        <w:t>Advisors</w:t>
      </w:r>
      <w:proofErr w:type="spellEnd"/>
      <w:r>
        <w:rPr>
          <w:rStyle w:val="mord"/>
          <w:rFonts w:ascii="Times New Roman" w:eastAsiaTheme="minorEastAsia" w:hAnsi="Times New Roman" w:cs="Times New Roman"/>
          <w:iCs/>
          <w:color w:val="0D0D0D"/>
          <w:sz w:val="24"/>
          <w:szCs w:val="24"/>
          <w:shd w:val="clear" w:color="auto" w:fill="FFFFFF"/>
        </w:rPr>
        <w:t xml:space="preserve"> sobre el S&amp;P500.</w:t>
      </w:r>
    </w:p>
    <w:p w14:paraId="53D20D42" w14:textId="3E119CE2" w:rsidR="006C46F2" w:rsidRDefault="00E77BFC" w:rsidP="006910D6">
      <w:pPr>
        <w:spacing w:line="360" w:lineRule="auto"/>
        <w:jc w:val="both"/>
        <w:rPr>
          <w:rStyle w:val="mord"/>
          <w:rFonts w:ascii="Times New Roman" w:eastAsiaTheme="minorEastAsia" w:hAnsi="Times New Roman" w:cs="Times New Roman"/>
          <w:b/>
          <w:bCs/>
          <w:iCs/>
          <w:color w:val="0D0D0D"/>
          <w:sz w:val="24"/>
          <w:szCs w:val="24"/>
          <w:shd w:val="clear" w:color="auto" w:fill="FFFFFF"/>
        </w:rPr>
      </w:pPr>
      <w:r w:rsidRPr="00E77BFC">
        <w:rPr>
          <w:rStyle w:val="mord"/>
          <w:rFonts w:ascii="Times New Roman" w:eastAsiaTheme="minorEastAsia" w:hAnsi="Times New Roman" w:cs="Times New Roman"/>
          <w:b/>
          <w:bCs/>
          <w:iCs/>
          <w:color w:val="0D0D0D"/>
          <w:sz w:val="24"/>
          <w:szCs w:val="24"/>
          <w:shd w:val="clear" w:color="auto" w:fill="FFFFFF"/>
        </w:rPr>
        <w:t>Tabla 1</w:t>
      </w:r>
      <w:r>
        <w:rPr>
          <w:rStyle w:val="mord"/>
          <w:rFonts w:ascii="Times New Roman" w:eastAsiaTheme="minorEastAsia" w:hAnsi="Times New Roman" w:cs="Times New Roman"/>
          <w:b/>
          <w:bCs/>
          <w:iCs/>
          <w:color w:val="0D0D0D"/>
          <w:sz w:val="24"/>
          <w:szCs w:val="24"/>
          <w:shd w:val="clear" w:color="auto" w:fill="FFFFFF"/>
        </w:rPr>
        <w:t>:</w:t>
      </w:r>
      <w:r w:rsidR="00E770DC" w:rsidRPr="00E770DC">
        <w:rPr>
          <w:rStyle w:val="mord"/>
          <w:rFonts w:ascii="Times New Roman" w:eastAsiaTheme="minorEastAsia" w:hAnsi="Times New Roman" w:cs="Times New Roman"/>
          <w:b/>
          <w:bCs/>
          <w:iCs/>
          <w:color w:val="0D0D0D"/>
          <w:sz w:val="24"/>
          <w:szCs w:val="24"/>
          <w:shd w:val="clear" w:color="auto" w:fill="FFFFFF"/>
        </w:rPr>
        <w:t xml:space="preserve"> </w:t>
      </w:r>
    </w:p>
    <w:p w14:paraId="453B12E2" w14:textId="44BC5F4C" w:rsidR="00E770DC" w:rsidRPr="00E77BFC" w:rsidRDefault="00226301" w:rsidP="006910D6">
      <w:pPr>
        <w:spacing w:line="360" w:lineRule="auto"/>
        <w:jc w:val="both"/>
        <w:rPr>
          <w:rStyle w:val="mord"/>
          <w:rFonts w:ascii="Times New Roman" w:eastAsiaTheme="minorEastAsia" w:hAnsi="Times New Roman" w:cs="Times New Roman"/>
          <w:b/>
          <w:bCs/>
          <w:iCs/>
          <w:color w:val="0D0D0D"/>
          <w:sz w:val="24"/>
          <w:szCs w:val="24"/>
          <w:shd w:val="clear" w:color="auto" w:fill="FFFFFF"/>
        </w:rPr>
      </w:pPr>
      <w:r w:rsidRPr="00E770DC">
        <w:rPr>
          <w:rStyle w:val="mord"/>
          <w:rFonts w:ascii="Times New Roman" w:eastAsiaTheme="minorEastAsia" w:hAnsi="Times New Roman" w:cs="Times New Roman"/>
          <w:b/>
          <w:bCs/>
          <w:iCs/>
          <w:noProof/>
          <w:color w:val="0D0D0D"/>
          <w:sz w:val="24"/>
          <w:szCs w:val="24"/>
          <w:shd w:val="clear" w:color="auto" w:fill="FFFFFF"/>
        </w:rPr>
        <w:drawing>
          <wp:anchor distT="0" distB="0" distL="114300" distR="114300" simplePos="0" relativeHeight="251649536" behindDoc="1" locked="0" layoutInCell="1" allowOverlap="1" wp14:anchorId="43D06E47" wp14:editId="7D1196C0">
            <wp:simplePos x="0" y="0"/>
            <wp:positionH relativeFrom="column">
              <wp:posOffset>641985</wp:posOffset>
            </wp:positionH>
            <wp:positionV relativeFrom="paragraph">
              <wp:posOffset>24590</wp:posOffset>
            </wp:positionV>
            <wp:extent cx="4114800" cy="5124450"/>
            <wp:effectExtent l="0" t="0" r="0" b="0"/>
            <wp:wrapTight wrapText="bothSides">
              <wp:wrapPolygon edited="0">
                <wp:start x="0" y="0"/>
                <wp:lineTo x="0" y="21520"/>
                <wp:lineTo x="21500" y="21520"/>
                <wp:lineTo x="21500" y="0"/>
                <wp:lineTo x="0" y="0"/>
              </wp:wrapPolygon>
            </wp:wrapTight>
            <wp:docPr id="183387886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78865"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4114800" cy="5124450"/>
                    </a:xfrm>
                    <a:prstGeom prst="rect">
                      <a:avLst/>
                    </a:prstGeom>
                  </pic:spPr>
                </pic:pic>
              </a:graphicData>
            </a:graphic>
            <wp14:sizeRelH relativeFrom="margin">
              <wp14:pctWidth>0</wp14:pctWidth>
            </wp14:sizeRelH>
            <wp14:sizeRelV relativeFrom="margin">
              <wp14:pctHeight>0</wp14:pctHeight>
            </wp14:sizeRelV>
          </wp:anchor>
        </w:drawing>
      </w:r>
    </w:p>
    <w:p w14:paraId="2D1393DD" w14:textId="772E7811"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527D002B" w14:textId="3B8714A8"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5AB8676D" w14:textId="389F21DB"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04A1C88A" w14:textId="525D0366"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37B167D3"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20FBE3FB"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3135C733"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4CA9E9B7"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6EECDF0B"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2CE2D9FA"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30345146" w14:textId="77777777" w:rsidR="00226301" w:rsidRDefault="00226301"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730A1A85" w14:textId="77777777" w:rsidR="00226301" w:rsidRDefault="00226301"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1100D434" w14:textId="02438320" w:rsidR="00E77BFC" w:rsidRDefault="001C2524"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lastRenderedPageBreak/>
        <w:t>A continuación, en la Figura 1 se exponen los resultados del modelo estimado.</w:t>
      </w:r>
    </w:p>
    <w:p w14:paraId="2F6990AD" w14:textId="76D56C93" w:rsidR="001C2524" w:rsidRPr="00A4049C" w:rsidRDefault="001C2524" w:rsidP="006910D6">
      <w:pPr>
        <w:spacing w:line="360" w:lineRule="auto"/>
        <w:jc w:val="both"/>
        <w:rPr>
          <w:rStyle w:val="mord"/>
          <w:rFonts w:ascii="Times New Roman" w:eastAsiaTheme="minorEastAsia" w:hAnsi="Times New Roman" w:cs="Times New Roman"/>
          <w:b/>
          <w:bCs/>
          <w:iCs/>
          <w:color w:val="0D0D0D"/>
          <w:sz w:val="24"/>
          <w:szCs w:val="24"/>
          <w:shd w:val="clear" w:color="auto" w:fill="FFFFFF"/>
        </w:rPr>
      </w:pPr>
      <w:r w:rsidRPr="00A4049C">
        <w:rPr>
          <w:rStyle w:val="mord"/>
          <w:rFonts w:ascii="Times New Roman" w:eastAsiaTheme="minorEastAsia" w:hAnsi="Times New Roman" w:cs="Times New Roman"/>
          <w:b/>
          <w:bCs/>
          <w:iCs/>
          <w:color w:val="0D0D0D"/>
          <w:sz w:val="24"/>
          <w:szCs w:val="24"/>
          <w:shd w:val="clear" w:color="auto" w:fill="FFFFFF"/>
        </w:rPr>
        <w:t>Figura 1:</w:t>
      </w:r>
    </w:p>
    <w:p w14:paraId="1E8500A9"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446F0943" w14:textId="0DCEFB2B" w:rsidR="00E77BFC" w:rsidRDefault="00B258E7"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r>
        <w:rPr>
          <w:noProof/>
        </w:rPr>
        <w:drawing>
          <wp:inline distT="0" distB="0" distL="0" distR="0" wp14:anchorId="58865991" wp14:editId="0CD427D6">
            <wp:extent cx="5400040" cy="3368040"/>
            <wp:effectExtent l="152400" t="152400" r="200660" b="213360"/>
            <wp:docPr id="6" name="Imagen 5" descr="Tabla&#10;&#10;Descripción generada automáticamente">
              <a:extLst xmlns:a="http://schemas.openxmlformats.org/drawingml/2006/main">
                <a:ext uri="{FF2B5EF4-FFF2-40B4-BE49-F238E27FC236}">
                  <a16:creationId xmlns:a16="http://schemas.microsoft.com/office/drawing/2014/main" id="{2EB93DE3-C47B-EEA6-9874-E56B633E8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Tabla&#10;&#10;Descripción generada automáticamente">
                      <a:extLst>
                        <a:ext uri="{FF2B5EF4-FFF2-40B4-BE49-F238E27FC236}">
                          <a16:creationId xmlns:a16="http://schemas.microsoft.com/office/drawing/2014/main" id="{2EB93DE3-C47B-EEA6-9874-E56B633E80D6}"/>
                        </a:ext>
                      </a:extLst>
                    </pic:cNvPr>
                    <pic:cNvPicPr>
                      <a:picLocks noChangeAspect="1"/>
                    </pic:cNvPicPr>
                  </pic:nvPicPr>
                  <pic:blipFill>
                    <a:blip r:embed="rId10"/>
                    <a:stretch>
                      <a:fillRect/>
                    </a:stretch>
                  </pic:blipFill>
                  <pic:spPr>
                    <a:xfrm>
                      <a:off x="0" y="0"/>
                      <a:ext cx="5400040" cy="3368040"/>
                    </a:xfrm>
                    <a:prstGeom prst="rect">
                      <a:avLst/>
                    </a:prstGeom>
                    <a:ln w="127000" cap="sq">
                      <a:solidFill>
                        <a:srgbClr val="000779"/>
                      </a:solidFill>
                      <a:miter lim="800000"/>
                    </a:ln>
                    <a:effectLst>
                      <a:outerShdw blurRad="57150" dist="50800" dir="2700000" algn="tl" rotWithShape="0">
                        <a:srgbClr val="000779">
                          <a:alpha val="40000"/>
                        </a:srgbClr>
                      </a:outerShdw>
                    </a:effectLst>
                  </pic:spPr>
                </pic:pic>
              </a:graphicData>
            </a:graphic>
          </wp:inline>
        </w:drawing>
      </w:r>
    </w:p>
    <w:p w14:paraId="42F5E80F" w14:textId="77777777" w:rsidR="00E77BFC" w:rsidRDefault="00E77BFC" w:rsidP="006910D6">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33D1CD07" w14:textId="0829C4A7" w:rsidR="005F770B" w:rsidRPr="005F770B" w:rsidRDefault="00F728FD" w:rsidP="005F770B">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 xml:space="preserve">Los resultados del modelo arrojan muchos datos interesantes, comenzando por el </w:t>
      </w:r>
      <w:r w:rsidR="005F770B" w:rsidRPr="005F770B">
        <w:rPr>
          <w:rStyle w:val="mord"/>
          <w:rFonts w:ascii="Times New Roman" w:eastAsiaTheme="minorEastAsia" w:hAnsi="Times New Roman" w:cs="Times New Roman"/>
          <w:iCs/>
          <w:color w:val="0D0D0D"/>
          <w:sz w:val="24"/>
          <w:szCs w:val="24"/>
          <w:shd w:val="clear" w:color="auto" w:fill="FFFFFF"/>
        </w:rPr>
        <w:t>coeficiente de determinación (</w:t>
      </w:r>
      <w:r w:rsidR="005F770B" w:rsidRPr="003E5604">
        <w:rPr>
          <w:rFonts w:ascii="Times New Roman" w:eastAsia="Times New Roman" w:hAnsi="Times New Roman" w:cs="Times New Roman"/>
          <w:color w:val="0D0D0D"/>
          <w:kern w:val="0"/>
          <w:sz w:val="28"/>
          <w:szCs w:val="28"/>
          <w:lang w:eastAsia="es-ES"/>
          <w14:ligatures w14:val="none"/>
        </w:rPr>
        <w:t>R²</w:t>
      </w:r>
      <w:r w:rsidR="005F770B" w:rsidRPr="005F770B">
        <w:rPr>
          <w:rStyle w:val="mord"/>
          <w:rFonts w:ascii="Times New Roman" w:eastAsiaTheme="minorEastAsia" w:hAnsi="Times New Roman" w:cs="Times New Roman"/>
          <w:iCs/>
          <w:color w:val="0D0D0D"/>
          <w:sz w:val="24"/>
          <w:szCs w:val="24"/>
          <w:shd w:val="clear" w:color="auto" w:fill="FFFFFF"/>
        </w:rPr>
        <w:t>) del modelo</w:t>
      </w:r>
      <w:r>
        <w:rPr>
          <w:rStyle w:val="mord"/>
          <w:rFonts w:ascii="Times New Roman" w:eastAsiaTheme="minorEastAsia" w:hAnsi="Times New Roman" w:cs="Times New Roman"/>
          <w:iCs/>
          <w:color w:val="0D0D0D"/>
          <w:sz w:val="24"/>
          <w:szCs w:val="24"/>
          <w:shd w:val="clear" w:color="auto" w:fill="FFFFFF"/>
        </w:rPr>
        <w:t xml:space="preserve"> </w:t>
      </w:r>
      <w:r w:rsidR="005F770B" w:rsidRPr="005F770B">
        <w:rPr>
          <w:rStyle w:val="mord"/>
          <w:rFonts w:ascii="Times New Roman" w:eastAsiaTheme="minorEastAsia" w:hAnsi="Times New Roman" w:cs="Times New Roman"/>
          <w:iCs/>
          <w:color w:val="0D0D0D"/>
          <w:sz w:val="24"/>
          <w:szCs w:val="24"/>
          <w:shd w:val="clear" w:color="auto" w:fill="FFFFFF"/>
        </w:rPr>
        <w:t>de 0</w:t>
      </w:r>
      <w:r w:rsidR="00EB1FC3">
        <w:rPr>
          <w:rStyle w:val="mord"/>
          <w:rFonts w:ascii="Times New Roman" w:eastAsiaTheme="minorEastAsia" w:hAnsi="Times New Roman" w:cs="Times New Roman"/>
          <w:iCs/>
          <w:color w:val="0D0D0D"/>
          <w:sz w:val="24"/>
          <w:szCs w:val="24"/>
          <w:shd w:val="clear" w:color="auto" w:fill="FFFFFF"/>
        </w:rPr>
        <w:t>.</w:t>
      </w:r>
      <w:r w:rsidR="00B258E7">
        <w:rPr>
          <w:rStyle w:val="mord"/>
          <w:rFonts w:ascii="Times New Roman" w:eastAsiaTheme="minorEastAsia" w:hAnsi="Times New Roman" w:cs="Times New Roman"/>
          <w:iCs/>
          <w:color w:val="0D0D0D"/>
          <w:sz w:val="24"/>
          <w:szCs w:val="24"/>
          <w:shd w:val="clear" w:color="auto" w:fill="FFFFFF"/>
        </w:rPr>
        <w:t>155</w:t>
      </w:r>
      <w:r w:rsidR="005F770B" w:rsidRPr="005F770B">
        <w:rPr>
          <w:rStyle w:val="mord"/>
          <w:rFonts w:ascii="Times New Roman" w:eastAsiaTheme="minorEastAsia" w:hAnsi="Times New Roman" w:cs="Times New Roman"/>
          <w:iCs/>
          <w:color w:val="0D0D0D"/>
          <w:sz w:val="24"/>
          <w:szCs w:val="24"/>
          <w:shd w:val="clear" w:color="auto" w:fill="FFFFFF"/>
        </w:rPr>
        <w:t xml:space="preserve">, </w:t>
      </w:r>
      <w:r>
        <w:rPr>
          <w:rStyle w:val="mord"/>
          <w:rFonts w:ascii="Times New Roman" w:eastAsiaTheme="minorEastAsia" w:hAnsi="Times New Roman" w:cs="Times New Roman"/>
          <w:iCs/>
          <w:color w:val="0D0D0D"/>
          <w:sz w:val="24"/>
          <w:szCs w:val="24"/>
          <w:shd w:val="clear" w:color="auto" w:fill="FFFFFF"/>
        </w:rPr>
        <w:t xml:space="preserve">el cual tal indica </w:t>
      </w:r>
      <w:r w:rsidR="005F770B" w:rsidRPr="005F770B">
        <w:rPr>
          <w:rStyle w:val="mord"/>
          <w:rFonts w:ascii="Times New Roman" w:eastAsiaTheme="minorEastAsia" w:hAnsi="Times New Roman" w:cs="Times New Roman"/>
          <w:iCs/>
          <w:color w:val="0D0D0D"/>
          <w:sz w:val="24"/>
          <w:szCs w:val="24"/>
          <w:shd w:val="clear" w:color="auto" w:fill="FFFFFF"/>
        </w:rPr>
        <w:t>que aproximadamente el 1</w:t>
      </w:r>
      <w:r w:rsidR="00B258E7">
        <w:rPr>
          <w:rStyle w:val="mord"/>
          <w:rFonts w:ascii="Times New Roman" w:eastAsiaTheme="minorEastAsia" w:hAnsi="Times New Roman" w:cs="Times New Roman"/>
          <w:iCs/>
          <w:color w:val="0D0D0D"/>
          <w:sz w:val="24"/>
          <w:szCs w:val="24"/>
          <w:shd w:val="clear" w:color="auto" w:fill="FFFFFF"/>
        </w:rPr>
        <w:t>5,5</w:t>
      </w:r>
      <w:r w:rsidR="005F770B" w:rsidRPr="005F770B">
        <w:rPr>
          <w:rStyle w:val="mord"/>
          <w:rFonts w:ascii="Times New Roman" w:eastAsiaTheme="minorEastAsia" w:hAnsi="Times New Roman" w:cs="Times New Roman"/>
          <w:iCs/>
          <w:color w:val="0D0D0D"/>
          <w:sz w:val="24"/>
          <w:szCs w:val="24"/>
          <w:shd w:val="clear" w:color="auto" w:fill="FFFFFF"/>
        </w:rPr>
        <w:t xml:space="preserve">% de la variabilidad en la sincronicidad puede ser explicada por el porcentaje de propiedad de las grandes gestoras en el S&amp;P 500. </w:t>
      </w:r>
      <w:r>
        <w:rPr>
          <w:rStyle w:val="mord"/>
          <w:rFonts w:ascii="Times New Roman" w:eastAsiaTheme="minorEastAsia" w:hAnsi="Times New Roman" w:cs="Times New Roman"/>
          <w:iCs/>
          <w:color w:val="0D0D0D"/>
          <w:sz w:val="24"/>
          <w:szCs w:val="24"/>
          <w:shd w:val="clear" w:color="auto" w:fill="FFFFFF"/>
        </w:rPr>
        <w:t xml:space="preserve">Este </w:t>
      </w:r>
      <w:r w:rsidR="005F770B" w:rsidRPr="005F770B">
        <w:rPr>
          <w:rStyle w:val="mord"/>
          <w:rFonts w:ascii="Times New Roman" w:eastAsiaTheme="minorEastAsia" w:hAnsi="Times New Roman" w:cs="Times New Roman"/>
          <w:iCs/>
          <w:color w:val="0D0D0D"/>
          <w:sz w:val="24"/>
          <w:szCs w:val="24"/>
          <w:shd w:val="clear" w:color="auto" w:fill="FFFFFF"/>
        </w:rPr>
        <w:t xml:space="preserve">valor no es particularmente alto, </w:t>
      </w:r>
      <w:r>
        <w:rPr>
          <w:rStyle w:val="mord"/>
          <w:rFonts w:ascii="Times New Roman" w:eastAsiaTheme="minorEastAsia" w:hAnsi="Times New Roman" w:cs="Times New Roman"/>
          <w:iCs/>
          <w:color w:val="0D0D0D"/>
          <w:sz w:val="24"/>
          <w:szCs w:val="24"/>
          <w:shd w:val="clear" w:color="auto" w:fill="FFFFFF"/>
        </w:rPr>
        <w:t xml:space="preserve">hecho </w:t>
      </w:r>
      <w:r w:rsidR="00B258E7">
        <w:rPr>
          <w:rStyle w:val="mord"/>
          <w:rFonts w:ascii="Times New Roman" w:eastAsiaTheme="minorEastAsia" w:hAnsi="Times New Roman" w:cs="Times New Roman"/>
          <w:iCs/>
          <w:color w:val="0D0D0D"/>
          <w:sz w:val="24"/>
          <w:szCs w:val="24"/>
          <w:shd w:val="clear" w:color="auto" w:fill="FFFFFF"/>
        </w:rPr>
        <w:t>que</w:t>
      </w:r>
      <w:r>
        <w:rPr>
          <w:rStyle w:val="mord"/>
          <w:rFonts w:ascii="Times New Roman" w:eastAsiaTheme="minorEastAsia" w:hAnsi="Times New Roman" w:cs="Times New Roman"/>
          <w:iCs/>
          <w:color w:val="0D0D0D"/>
          <w:sz w:val="24"/>
          <w:szCs w:val="24"/>
          <w:shd w:val="clear" w:color="auto" w:fill="FFFFFF"/>
        </w:rPr>
        <w:t xml:space="preserve"> está alineado con la idea de que existen muchos factores que determinan la sincronicidad y por tanto la capacidad explicativa de un modelo </w:t>
      </w:r>
      <w:proofErr w:type="spellStart"/>
      <w:r w:rsidR="00B258E7">
        <w:rPr>
          <w:rStyle w:val="mord"/>
          <w:rFonts w:ascii="Times New Roman" w:eastAsiaTheme="minorEastAsia" w:hAnsi="Times New Roman" w:cs="Times New Roman"/>
          <w:iCs/>
          <w:color w:val="0D0D0D"/>
          <w:sz w:val="24"/>
          <w:szCs w:val="24"/>
          <w:shd w:val="clear" w:color="auto" w:fill="FFFFFF"/>
        </w:rPr>
        <w:t>u</w:t>
      </w:r>
      <w:r>
        <w:rPr>
          <w:rStyle w:val="mord"/>
          <w:rFonts w:ascii="Times New Roman" w:eastAsiaTheme="minorEastAsia" w:hAnsi="Times New Roman" w:cs="Times New Roman"/>
          <w:iCs/>
          <w:color w:val="0D0D0D"/>
          <w:sz w:val="24"/>
          <w:szCs w:val="24"/>
          <w:shd w:val="clear" w:color="auto" w:fill="FFFFFF"/>
        </w:rPr>
        <w:t>n</w:t>
      </w:r>
      <w:r w:rsidR="00EB1FC3">
        <w:rPr>
          <w:rStyle w:val="mord"/>
          <w:rFonts w:ascii="Times New Roman" w:eastAsiaTheme="minorEastAsia" w:hAnsi="Times New Roman" w:cs="Times New Roman"/>
          <w:iCs/>
          <w:color w:val="0D0D0D"/>
          <w:sz w:val="24"/>
          <w:szCs w:val="24"/>
          <w:shd w:val="clear" w:color="auto" w:fill="FFFFFF"/>
        </w:rPr>
        <w:t>i</w:t>
      </w:r>
      <w:r>
        <w:rPr>
          <w:rStyle w:val="mord"/>
          <w:rFonts w:ascii="Times New Roman" w:eastAsiaTheme="minorEastAsia" w:hAnsi="Times New Roman" w:cs="Times New Roman"/>
          <w:iCs/>
          <w:color w:val="0D0D0D"/>
          <w:sz w:val="24"/>
          <w:szCs w:val="24"/>
          <w:shd w:val="clear" w:color="auto" w:fill="FFFFFF"/>
        </w:rPr>
        <w:t>variable</w:t>
      </w:r>
      <w:proofErr w:type="spellEnd"/>
      <w:r>
        <w:rPr>
          <w:rStyle w:val="mord"/>
          <w:rFonts w:ascii="Times New Roman" w:eastAsiaTheme="minorEastAsia" w:hAnsi="Times New Roman" w:cs="Times New Roman"/>
          <w:iCs/>
          <w:color w:val="0D0D0D"/>
          <w:sz w:val="24"/>
          <w:szCs w:val="24"/>
          <w:shd w:val="clear" w:color="auto" w:fill="FFFFFF"/>
        </w:rPr>
        <w:t xml:space="preserve"> es limitada.</w:t>
      </w:r>
    </w:p>
    <w:p w14:paraId="7BFD7C11" w14:textId="77777777" w:rsidR="00EB1FC3" w:rsidRDefault="005F770B" w:rsidP="005F770B">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5F770B">
        <w:rPr>
          <w:rStyle w:val="mord"/>
          <w:rFonts w:ascii="Times New Roman" w:eastAsiaTheme="minorEastAsia" w:hAnsi="Times New Roman" w:cs="Times New Roman"/>
          <w:iCs/>
          <w:color w:val="0D0D0D"/>
          <w:sz w:val="24"/>
          <w:szCs w:val="24"/>
          <w:shd w:val="clear" w:color="auto" w:fill="FFFFFF"/>
        </w:rPr>
        <w:t>El coeficiente del porcentaje de propiedad sobre el S&amp;P 500 es de 0</w:t>
      </w:r>
      <w:r w:rsidR="00EB1FC3">
        <w:rPr>
          <w:rStyle w:val="mord"/>
          <w:rFonts w:ascii="Times New Roman" w:eastAsiaTheme="minorEastAsia" w:hAnsi="Times New Roman" w:cs="Times New Roman"/>
          <w:iCs/>
          <w:color w:val="0D0D0D"/>
          <w:sz w:val="24"/>
          <w:szCs w:val="24"/>
          <w:shd w:val="clear" w:color="auto" w:fill="FFFFFF"/>
        </w:rPr>
        <w:t>.9324,</w:t>
      </w:r>
      <w:r w:rsidRPr="005F770B">
        <w:rPr>
          <w:rStyle w:val="mord"/>
          <w:rFonts w:ascii="Times New Roman" w:eastAsiaTheme="minorEastAsia" w:hAnsi="Times New Roman" w:cs="Times New Roman"/>
          <w:iCs/>
          <w:color w:val="0D0D0D"/>
          <w:sz w:val="24"/>
          <w:szCs w:val="24"/>
          <w:shd w:val="clear" w:color="auto" w:fill="FFFFFF"/>
        </w:rPr>
        <w:t xml:space="preserve"> </w:t>
      </w:r>
      <w:r w:rsidR="00F728FD">
        <w:rPr>
          <w:rStyle w:val="mord"/>
          <w:rFonts w:ascii="Times New Roman" w:eastAsiaTheme="minorEastAsia" w:hAnsi="Times New Roman" w:cs="Times New Roman"/>
          <w:iCs/>
          <w:color w:val="0D0D0D"/>
          <w:sz w:val="24"/>
          <w:szCs w:val="24"/>
          <w:shd w:val="clear" w:color="auto" w:fill="FFFFFF"/>
        </w:rPr>
        <w:t xml:space="preserve">lo que indica </w:t>
      </w:r>
      <w:r w:rsidRPr="005F770B">
        <w:rPr>
          <w:rStyle w:val="mord"/>
          <w:rFonts w:ascii="Times New Roman" w:eastAsiaTheme="minorEastAsia" w:hAnsi="Times New Roman" w:cs="Times New Roman"/>
          <w:iCs/>
          <w:color w:val="0D0D0D"/>
          <w:sz w:val="24"/>
          <w:szCs w:val="24"/>
          <w:shd w:val="clear" w:color="auto" w:fill="FFFFFF"/>
        </w:rPr>
        <w:t xml:space="preserve">que, en promedio, un aumento en el porcentaje de propiedad de las grandes gestoras está asociado con un aumento en la sincronicidad de las acciones del S&amp;P 500. </w:t>
      </w:r>
      <w:r w:rsidR="00EB1FC3">
        <w:rPr>
          <w:rStyle w:val="mord"/>
          <w:rFonts w:ascii="Times New Roman" w:eastAsiaTheme="minorEastAsia" w:hAnsi="Times New Roman" w:cs="Times New Roman"/>
          <w:iCs/>
          <w:color w:val="0D0D0D"/>
          <w:sz w:val="24"/>
          <w:szCs w:val="24"/>
          <w:shd w:val="clear" w:color="auto" w:fill="FFFFFF"/>
        </w:rPr>
        <w:t>Además,</w:t>
      </w:r>
      <w:r w:rsidRPr="005F770B">
        <w:rPr>
          <w:rStyle w:val="mord"/>
          <w:rFonts w:ascii="Times New Roman" w:eastAsiaTheme="minorEastAsia" w:hAnsi="Times New Roman" w:cs="Times New Roman"/>
          <w:iCs/>
          <w:color w:val="0D0D0D"/>
          <w:sz w:val="24"/>
          <w:szCs w:val="24"/>
          <w:shd w:val="clear" w:color="auto" w:fill="FFFFFF"/>
        </w:rPr>
        <w:t xml:space="preserve"> el p-valor asociado a este coeficiente es de 0.0</w:t>
      </w:r>
      <w:r w:rsidR="00EB1FC3">
        <w:rPr>
          <w:rStyle w:val="mord"/>
          <w:rFonts w:ascii="Times New Roman" w:eastAsiaTheme="minorEastAsia" w:hAnsi="Times New Roman" w:cs="Times New Roman"/>
          <w:iCs/>
          <w:color w:val="0D0D0D"/>
          <w:sz w:val="24"/>
          <w:szCs w:val="24"/>
          <w:shd w:val="clear" w:color="auto" w:fill="FFFFFF"/>
        </w:rPr>
        <w:t>47</w:t>
      </w:r>
      <w:r w:rsidRPr="005F770B">
        <w:rPr>
          <w:rStyle w:val="mord"/>
          <w:rFonts w:ascii="Times New Roman" w:eastAsiaTheme="minorEastAsia" w:hAnsi="Times New Roman" w:cs="Times New Roman"/>
          <w:iCs/>
          <w:color w:val="0D0D0D"/>
          <w:sz w:val="24"/>
          <w:szCs w:val="24"/>
          <w:shd w:val="clear" w:color="auto" w:fill="FFFFFF"/>
        </w:rPr>
        <w:t xml:space="preserve">, lo que </w:t>
      </w:r>
      <w:r w:rsidR="00EB1FC3">
        <w:rPr>
          <w:rStyle w:val="mord"/>
          <w:rFonts w:ascii="Times New Roman" w:eastAsiaTheme="minorEastAsia" w:hAnsi="Times New Roman" w:cs="Times New Roman"/>
          <w:iCs/>
          <w:color w:val="0D0D0D"/>
          <w:sz w:val="24"/>
          <w:szCs w:val="24"/>
          <w:shd w:val="clear" w:color="auto" w:fill="FFFFFF"/>
        </w:rPr>
        <w:t xml:space="preserve">implica que se trata de una variable significativa empleando un nivel </w:t>
      </w:r>
      <w:r w:rsidR="00F728FD">
        <w:rPr>
          <w:rStyle w:val="mord"/>
          <w:rFonts w:ascii="Times New Roman" w:eastAsiaTheme="minorEastAsia" w:hAnsi="Times New Roman" w:cs="Times New Roman"/>
          <w:iCs/>
          <w:color w:val="0D0D0D"/>
          <w:sz w:val="24"/>
          <w:szCs w:val="24"/>
          <w:shd w:val="clear" w:color="auto" w:fill="FFFFFF"/>
        </w:rPr>
        <w:t>de confianza</w:t>
      </w:r>
      <w:r w:rsidRPr="005F770B">
        <w:rPr>
          <w:rStyle w:val="mord"/>
          <w:rFonts w:ascii="Times New Roman" w:eastAsiaTheme="minorEastAsia" w:hAnsi="Times New Roman" w:cs="Times New Roman"/>
          <w:iCs/>
          <w:color w:val="0D0D0D"/>
          <w:sz w:val="24"/>
          <w:szCs w:val="24"/>
          <w:shd w:val="clear" w:color="auto" w:fill="FFFFFF"/>
        </w:rPr>
        <w:t xml:space="preserve"> </w:t>
      </w:r>
      <w:r w:rsidR="00EB1FC3">
        <w:rPr>
          <w:rStyle w:val="mord"/>
          <w:rFonts w:ascii="Times New Roman" w:eastAsiaTheme="minorEastAsia" w:hAnsi="Times New Roman" w:cs="Times New Roman"/>
          <w:iCs/>
          <w:color w:val="0D0D0D"/>
          <w:sz w:val="24"/>
          <w:szCs w:val="24"/>
          <w:shd w:val="clear" w:color="auto" w:fill="FFFFFF"/>
        </w:rPr>
        <w:t xml:space="preserve">del 95%. </w:t>
      </w:r>
    </w:p>
    <w:p w14:paraId="52C75FAB" w14:textId="2DEF67D8" w:rsidR="005F770B" w:rsidRPr="005F770B" w:rsidRDefault="005F770B" w:rsidP="005F770B">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5F770B">
        <w:rPr>
          <w:rStyle w:val="mord"/>
          <w:rFonts w:ascii="Times New Roman" w:eastAsiaTheme="minorEastAsia" w:hAnsi="Times New Roman" w:cs="Times New Roman"/>
          <w:iCs/>
          <w:color w:val="0D0D0D"/>
          <w:sz w:val="24"/>
          <w:szCs w:val="24"/>
          <w:shd w:val="clear" w:color="auto" w:fill="FFFFFF"/>
        </w:rPr>
        <w:lastRenderedPageBreak/>
        <w:t xml:space="preserve">El </w:t>
      </w:r>
      <w:r w:rsidR="00906D2A">
        <w:rPr>
          <w:rStyle w:val="mord"/>
          <w:rFonts w:ascii="Times New Roman" w:eastAsiaTheme="minorEastAsia" w:hAnsi="Times New Roman" w:cs="Times New Roman"/>
          <w:iCs/>
          <w:color w:val="0D0D0D"/>
          <w:sz w:val="24"/>
          <w:szCs w:val="24"/>
          <w:shd w:val="clear" w:color="auto" w:fill="FFFFFF"/>
        </w:rPr>
        <w:t xml:space="preserve">estadístico F </w:t>
      </w:r>
      <w:r w:rsidRPr="005F770B">
        <w:rPr>
          <w:rStyle w:val="mord"/>
          <w:rFonts w:ascii="Times New Roman" w:eastAsiaTheme="minorEastAsia" w:hAnsi="Times New Roman" w:cs="Times New Roman"/>
          <w:iCs/>
          <w:color w:val="0D0D0D"/>
          <w:sz w:val="24"/>
          <w:szCs w:val="24"/>
          <w:shd w:val="clear" w:color="auto" w:fill="FFFFFF"/>
        </w:rPr>
        <w:t xml:space="preserve">del modelo es </w:t>
      </w:r>
      <w:r w:rsidR="00906D2A">
        <w:rPr>
          <w:rStyle w:val="mord"/>
          <w:rFonts w:ascii="Times New Roman" w:eastAsiaTheme="minorEastAsia" w:hAnsi="Times New Roman" w:cs="Times New Roman"/>
          <w:iCs/>
          <w:color w:val="0D0D0D"/>
          <w:sz w:val="24"/>
          <w:szCs w:val="24"/>
          <w:shd w:val="clear" w:color="auto" w:fill="FFFFFF"/>
        </w:rPr>
        <w:t>4,396</w:t>
      </w:r>
      <w:r w:rsidRPr="005F770B">
        <w:rPr>
          <w:rStyle w:val="mord"/>
          <w:rFonts w:ascii="Times New Roman" w:eastAsiaTheme="minorEastAsia" w:hAnsi="Times New Roman" w:cs="Times New Roman"/>
          <w:iCs/>
          <w:color w:val="0D0D0D"/>
          <w:sz w:val="24"/>
          <w:szCs w:val="24"/>
          <w:shd w:val="clear" w:color="auto" w:fill="FFFFFF"/>
        </w:rPr>
        <w:t xml:space="preserve"> con un p-valor de 0.0</w:t>
      </w:r>
      <w:r w:rsidR="00906D2A">
        <w:rPr>
          <w:rStyle w:val="mord"/>
          <w:rFonts w:ascii="Times New Roman" w:eastAsiaTheme="minorEastAsia" w:hAnsi="Times New Roman" w:cs="Times New Roman"/>
          <w:iCs/>
          <w:color w:val="0D0D0D"/>
          <w:sz w:val="24"/>
          <w:szCs w:val="24"/>
          <w:shd w:val="clear" w:color="auto" w:fill="FFFFFF"/>
        </w:rPr>
        <w:t>467</w:t>
      </w:r>
      <w:r w:rsidRPr="005F770B">
        <w:rPr>
          <w:rStyle w:val="mord"/>
          <w:rFonts w:ascii="Times New Roman" w:eastAsiaTheme="minorEastAsia" w:hAnsi="Times New Roman" w:cs="Times New Roman"/>
          <w:iCs/>
          <w:color w:val="0D0D0D"/>
          <w:sz w:val="24"/>
          <w:szCs w:val="24"/>
          <w:shd w:val="clear" w:color="auto" w:fill="FFFFFF"/>
        </w:rPr>
        <w:t>, lo que indica que el modelo en su totalidad es significativo</w:t>
      </w:r>
      <w:r w:rsidR="00906D2A">
        <w:rPr>
          <w:rStyle w:val="mord"/>
          <w:rFonts w:ascii="Times New Roman" w:eastAsiaTheme="minorEastAsia" w:hAnsi="Times New Roman" w:cs="Times New Roman"/>
          <w:iCs/>
          <w:color w:val="0D0D0D"/>
          <w:sz w:val="24"/>
          <w:szCs w:val="24"/>
          <w:shd w:val="clear" w:color="auto" w:fill="FFFFFF"/>
        </w:rPr>
        <w:t xml:space="preserve"> a un nivel de confianza del 95%</w:t>
      </w:r>
      <w:r w:rsidRPr="005F770B">
        <w:rPr>
          <w:rStyle w:val="mord"/>
          <w:rFonts w:ascii="Times New Roman" w:eastAsiaTheme="minorEastAsia" w:hAnsi="Times New Roman" w:cs="Times New Roman"/>
          <w:iCs/>
          <w:color w:val="0D0D0D"/>
          <w:sz w:val="24"/>
          <w:szCs w:val="24"/>
          <w:shd w:val="clear" w:color="auto" w:fill="FFFFFF"/>
        </w:rPr>
        <w:t>.</w:t>
      </w:r>
    </w:p>
    <w:p w14:paraId="72F65303" w14:textId="77777777" w:rsidR="006C6DD7" w:rsidRDefault="00906D2A" w:rsidP="00906D2A">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906D2A">
        <w:rPr>
          <w:rStyle w:val="mord"/>
          <w:rFonts w:ascii="Times New Roman" w:eastAsiaTheme="minorEastAsia" w:hAnsi="Times New Roman" w:cs="Times New Roman"/>
          <w:iCs/>
          <w:color w:val="0D0D0D"/>
          <w:sz w:val="24"/>
          <w:szCs w:val="24"/>
          <w:shd w:val="clear" w:color="auto" w:fill="FFFFFF"/>
        </w:rPr>
        <w:t xml:space="preserve">En conclusión, los resultados del modelo sugieren que existe una relación positiva y estadísticamente significativa entre el porcentaje de propiedad de las grandes gestoras de fondos de gestión pasiva y la sincronicidad de las. </w:t>
      </w:r>
    </w:p>
    <w:p w14:paraId="236C67BC" w14:textId="3EF725FF" w:rsidR="006C6DD7" w:rsidRDefault="00906D2A" w:rsidP="00906D2A">
      <w:pPr>
        <w:spacing w:line="360" w:lineRule="auto"/>
        <w:jc w:val="both"/>
        <w:rPr>
          <w:rStyle w:val="Ttulo1Car"/>
          <w:rFonts w:ascii="Times New Roman" w:eastAsiaTheme="minorEastAsia" w:hAnsi="Times New Roman" w:cs="Times New Roman"/>
          <w:iCs/>
          <w:color w:val="0D0D0D"/>
          <w:sz w:val="24"/>
          <w:szCs w:val="24"/>
          <w:shd w:val="clear" w:color="auto" w:fill="FFFFFF"/>
        </w:rPr>
      </w:pPr>
      <w:r w:rsidRPr="00906D2A">
        <w:rPr>
          <w:rStyle w:val="mord"/>
          <w:rFonts w:ascii="Times New Roman" w:eastAsiaTheme="minorEastAsia" w:hAnsi="Times New Roman" w:cs="Times New Roman"/>
          <w:iCs/>
          <w:color w:val="0D0D0D"/>
          <w:sz w:val="24"/>
          <w:szCs w:val="24"/>
          <w:shd w:val="clear" w:color="auto" w:fill="FFFFFF"/>
        </w:rPr>
        <w:t xml:space="preserve">Esto </w:t>
      </w:r>
      <w:r w:rsidR="006C6DD7">
        <w:rPr>
          <w:rStyle w:val="mord"/>
          <w:rFonts w:ascii="Times New Roman" w:eastAsiaTheme="minorEastAsia" w:hAnsi="Times New Roman" w:cs="Times New Roman"/>
          <w:iCs/>
          <w:color w:val="0D0D0D"/>
          <w:sz w:val="24"/>
          <w:szCs w:val="24"/>
          <w:shd w:val="clear" w:color="auto" w:fill="FFFFFF"/>
        </w:rPr>
        <w:t>va en línea con</w:t>
      </w:r>
      <w:r w:rsidRPr="00906D2A">
        <w:rPr>
          <w:rStyle w:val="mord"/>
          <w:rFonts w:ascii="Times New Roman" w:eastAsiaTheme="minorEastAsia" w:hAnsi="Times New Roman" w:cs="Times New Roman"/>
          <w:iCs/>
          <w:color w:val="0D0D0D"/>
          <w:sz w:val="24"/>
          <w:szCs w:val="24"/>
          <w:shd w:val="clear" w:color="auto" w:fill="FFFFFF"/>
        </w:rPr>
        <w:t xml:space="preserve"> la hipótesis</w:t>
      </w:r>
      <w:r w:rsidR="006C6DD7">
        <w:rPr>
          <w:rStyle w:val="mord"/>
          <w:rFonts w:ascii="Times New Roman" w:eastAsiaTheme="minorEastAsia" w:hAnsi="Times New Roman" w:cs="Times New Roman"/>
          <w:iCs/>
          <w:color w:val="0D0D0D"/>
          <w:sz w:val="24"/>
          <w:szCs w:val="24"/>
          <w:shd w:val="clear" w:color="auto" w:fill="FFFFFF"/>
        </w:rPr>
        <w:t xml:space="preserve"> inicial</w:t>
      </w:r>
      <w:r w:rsidRPr="00906D2A">
        <w:rPr>
          <w:rStyle w:val="mord"/>
          <w:rFonts w:ascii="Times New Roman" w:eastAsiaTheme="minorEastAsia" w:hAnsi="Times New Roman" w:cs="Times New Roman"/>
          <w:iCs/>
          <w:color w:val="0D0D0D"/>
          <w:sz w:val="24"/>
          <w:szCs w:val="24"/>
          <w:shd w:val="clear" w:color="auto" w:fill="FFFFFF"/>
        </w:rPr>
        <w:t xml:space="preserve"> de que la gestión pasiva contribuye a este fenómeno. Sin embargo, el </w:t>
      </w:r>
      <w:r w:rsidRPr="003E5604">
        <w:rPr>
          <w:rFonts w:ascii="Times New Roman" w:eastAsia="Times New Roman" w:hAnsi="Times New Roman" w:cs="Times New Roman"/>
          <w:color w:val="0D0D0D"/>
          <w:kern w:val="0"/>
          <w:sz w:val="28"/>
          <w:szCs w:val="28"/>
          <w:lang w:eastAsia="es-ES"/>
          <w14:ligatures w14:val="none"/>
        </w:rPr>
        <w:t>R²</w:t>
      </w:r>
      <w:r>
        <w:rPr>
          <w:rFonts w:ascii="Times New Roman" w:eastAsia="Times New Roman" w:hAnsi="Times New Roman" w:cs="Times New Roman"/>
          <w:color w:val="0D0D0D"/>
          <w:kern w:val="0"/>
          <w:sz w:val="28"/>
          <w:szCs w:val="28"/>
          <w:lang w:eastAsia="es-ES"/>
          <w14:ligatures w14:val="none"/>
        </w:rPr>
        <w:t xml:space="preserve"> </w:t>
      </w:r>
      <w:r w:rsidRPr="00906D2A">
        <w:rPr>
          <w:rStyle w:val="mord"/>
          <w:rFonts w:ascii="Times New Roman" w:eastAsiaTheme="minorEastAsia" w:hAnsi="Times New Roman" w:cs="Times New Roman"/>
          <w:iCs/>
          <w:color w:val="0D0D0D"/>
          <w:sz w:val="24"/>
          <w:szCs w:val="24"/>
          <w:shd w:val="clear" w:color="auto" w:fill="FFFFFF"/>
        </w:rPr>
        <w:t xml:space="preserve">relativamente bajo </w:t>
      </w:r>
      <w:r w:rsidR="00284EB6">
        <w:rPr>
          <w:rStyle w:val="mord"/>
          <w:rFonts w:ascii="Times New Roman" w:eastAsiaTheme="minorEastAsia" w:hAnsi="Times New Roman" w:cs="Times New Roman"/>
          <w:iCs/>
          <w:color w:val="0D0D0D"/>
          <w:sz w:val="24"/>
          <w:szCs w:val="24"/>
          <w:shd w:val="clear" w:color="auto" w:fill="FFFFFF"/>
        </w:rPr>
        <w:t>refleja</w:t>
      </w:r>
      <w:r w:rsidRPr="00906D2A">
        <w:rPr>
          <w:rStyle w:val="mord"/>
          <w:rFonts w:ascii="Times New Roman" w:eastAsiaTheme="minorEastAsia" w:hAnsi="Times New Roman" w:cs="Times New Roman"/>
          <w:iCs/>
          <w:color w:val="0D0D0D"/>
          <w:sz w:val="24"/>
          <w:szCs w:val="24"/>
          <w:shd w:val="clear" w:color="auto" w:fill="FFFFFF"/>
        </w:rPr>
        <w:t xml:space="preserve"> que hay otros factores importantes que también influyen en la sincronicidad</w:t>
      </w:r>
      <w:r w:rsidR="006C6DD7">
        <w:rPr>
          <w:rStyle w:val="mord"/>
          <w:rFonts w:ascii="Times New Roman" w:eastAsiaTheme="minorEastAsia" w:hAnsi="Times New Roman" w:cs="Times New Roman"/>
          <w:iCs/>
          <w:color w:val="0D0D0D"/>
          <w:sz w:val="24"/>
          <w:szCs w:val="24"/>
          <w:shd w:val="clear" w:color="auto" w:fill="FFFFFF"/>
        </w:rPr>
        <w:t xml:space="preserve">, los cuales no se han tenido </w:t>
      </w:r>
      <w:r w:rsidRPr="00906D2A">
        <w:rPr>
          <w:rStyle w:val="mord"/>
          <w:rFonts w:ascii="Times New Roman" w:eastAsiaTheme="minorEastAsia" w:hAnsi="Times New Roman" w:cs="Times New Roman"/>
          <w:iCs/>
          <w:color w:val="0D0D0D"/>
          <w:sz w:val="24"/>
          <w:szCs w:val="24"/>
          <w:shd w:val="clear" w:color="auto" w:fill="FFFFFF"/>
        </w:rPr>
        <w:t xml:space="preserve">en </w:t>
      </w:r>
      <w:r w:rsidR="006C6DD7">
        <w:rPr>
          <w:rStyle w:val="mord"/>
          <w:rFonts w:ascii="Times New Roman" w:eastAsiaTheme="minorEastAsia" w:hAnsi="Times New Roman" w:cs="Times New Roman"/>
          <w:iCs/>
          <w:color w:val="0D0D0D"/>
          <w:sz w:val="24"/>
          <w:szCs w:val="24"/>
          <w:shd w:val="clear" w:color="auto" w:fill="FFFFFF"/>
        </w:rPr>
        <w:t>cuanta en el</w:t>
      </w:r>
      <w:r w:rsidRPr="00906D2A">
        <w:rPr>
          <w:rStyle w:val="mord"/>
          <w:rFonts w:ascii="Times New Roman" w:eastAsiaTheme="minorEastAsia" w:hAnsi="Times New Roman" w:cs="Times New Roman"/>
          <w:iCs/>
          <w:color w:val="0D0D0D"/>
          <w:sz w:val="24"/>
          <w:szCs w:val="24"/>
          <w:shd w:val="clear" w:color="auto" w:fill="FFFFFF"/>
        </w:rPr>
        <w:t xml:space="preserve"> modelo</w:t>
      </w:r>
      <w:r w:rsidR="006C6DD7">
        <w:rPr>
          <w:rStyle w:val="mord"/>
          <w:rFonts w:ascii="Times New Roman" w:eastAsiaTheme="minorEastAsia" w:hAnsi="Times New Roman" w:cs="Times New Roman"/>
          <w:iCs/>
          <w:color w:val="0D0D0D"/>
          <w:sz w:val="24"/>
          <w:szCs w:val="24"/>
          <w:shd w:val="clear" w:color="auto" w:fill="FFFFFF"/>
        </w:rPr>
        <w:t xml:space="preserve"> propuesto</w:t>
      </w:r>
      <w:r w:rsidRPr="00906D2A">
        <w:rPr>
          <w:rStyle w:val="mord"/>
          <w:rFonts w:ascii="Times New Roman" w:eastAsiaTheme="minorEastAsia" w:hAnsi="Times New Roman" w:cs="Times New Roman"/>
          <w:iCs/>
          <w:color w:val="0D0D0D"/>
          <w:sz w:val="24"/>
          <w:szCs w:val="24"/>
          <w:shd w:val="clear" w:color="auto" w:fill="FFFFFF"/>
        </w:rPr>
        <w:t>.</w:t>
      </w:r>
      <w:r w:rsidRPr="00906D2A">
        <w:rPr>
          <w:rStyle w:val="Ttulo1Car"/>
          <w:rFonts w:ascii="Times New Roman" w:eastAsiaTheme="minorEastAsia" w:hAnsi="Times New Roman" w:cs="Times New Roman"/>
          <w:iCs/>
          <w:color w:val="0D0D0D"/>
          <w:sz w:val="24"/>
          <w:szCs w:val="24"/>
          <w:shd w:val="clear" w:color="auto" w:fill="FFFFFF"/>
        </w:rPr>
        <w:t xml:space="preserve"> </w:t>
      </w:r>
    </w:p>
    <w:p w14:paraId="74AC9E89" w14:textId="454857BC" w:rsidR="00906D2A" w:rsidRDefault="006C6DD7" w:rsidP="00906D2A">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Por último, s</w:t>
      </w:r>
      <w:r w:rsidR="00906D2A">
        <w:rPr>
          <w:rStyle w:val="mord"/>
          <w:rFonts w:ascii="Times New Roman" w:eastAsiaTheme="minorEastAsia" w:hAnsi="Times New Roman" w:cs="Times New Roman"/>
          <w:iCs/>
          <w:color w:val="0D0D0D"/>
          <w:sz w:val="24"/>
          <w:szCs w:val="24"/>
          <w:shd w:val="clear" w:color="auto" w:fill="FFFFFF"/>
        </w:rPr>
        <w:t xml:space="preserve">i bien es cierto, que existen evidencias consistentes para determinar la significancia estadística de la variable % de propiedad sobre el S&amp;P500, </w:t>
      </w:r>
      <w:r>
        <w:rPr>
          <w:rStyle w:val="mord"/>
          <w:rFonts w:ascii="Times New Roman" w:eastAsiaTheme="minorEastAsia" w:hAnsi="Times New Roman" w:cs="Times New Roman"/>
          <w:iCs/>
          <w:color w:val="0D0D0D"/>
          <w:sz w:val="24"/>
          <w:szCs w:val="24"/>
          <w:shd w:val="clear" w:color="auto" w:fill="FFFFFF"/>
        </w:rPr>
        <w:t>es importante destacar que el periodo recogido comprende unos años muy convulsos para el mundo financiero, primero la burbuja de las .</w:t>
      </w:r>
      <w:proofErr w:type="spellStart"/>
      <w:r>
        <w:rPr>
          <w:rStyle w:val="mord"/>
          <w:rFonts w:ascii="Times New Roman" w:eastAsiaTheme="minorEastAsia" w:hAnsi="Times New Roman" w:cs="Times New Roman"/>
          <w:iCs/>
          <w:color w:val="0D0D0D"/>
          <w:sz w:val="24"/>
          <w:szCs w:val="24"/>
          <w:shd w:val="clear" w:color="auto" w:fill="FFFFFF"/>
        </w:rPr>
        <w:t>com</w:t>
      </w:r>
      <w:proofErr w:type="spellEnd"/>
      <w:r>
        <w:rPr>
          <w:rStyle w:val="mord"/>
          <w:rFonts w:ascii="Times New Roman" w:eastAsiaTheme="minorEastAsia" w:hAnsi="Times New Roman" w:cs="Times New Roman"/>
          <w:iCs/>
          <w:color w:val="0D0D0D"/>
          <w:sz w:val="24"/>
          <w:szCs w:val="24"/>
          <w:shd w:val="clear" w:color="auto" w:fill="FFFFFF"/>
        </w:rPr>
        <w:t>, seguido de la Gran Crisis del 2008</w:t>
      </w:r>
      <w:r w:rsidR="00B4500B">
        <w:rPr>
          <w:rStyle w:val="mord"/>
          <w:rFonts w:ascii="Times New Roman" w:eastAsiaTheme="minorEastAsia" w:hAnsi="Times New Roman" w:cs="Times New Roman"/>
          <w:iCs/>
          <w:color w:val="0D0D0D"/>
          <w:sz w:val="24"/>
          <w:szCs w:val="24"/>
          <w:shd w:val="clear" w:color="auto" w:fill="FFFFFF"/>
        </w:rPr>
        <w:t xml:space="preserve"> o</w:t>
      </w:r>
      <w:r>
        <w:rPr>
          <w:rStyle w:val="mord"/>
          <w:rFonts w:ascii="Times New Roman" w:eastAsiaTheme="minorEastAsia" w:hAnsi="Times New Roman" w:cs="Times New Roman"/>
          <w:iCs/>
          <w:color w:val="0D0D0D"/>
          <w:sz w:val="24"/>
          <w:szCs w:val="24"/>
          <w:shd w:val="clear" w:color="auto" w:fill="FFFFFF"/>
        </w:rPr>
        <w:t xml:space="preserve"> la crisis derivada del Covid-19, todo ello unido a la revolución digital de las finanzas. Todos estos elementos pueden provocar distorsiones a la hora de realizar</w:t>
      </w:r>
      <w:r w:rsidR="00B4500B">
        <w:rPr>
          <w:rStyle w:val="mord"/>
          <w:rFonts w:ascii="Times New Roman" w:eastAsiaTheme="minorEastAsia" w:hAnsi="Times New Roman" w:cs="Times New Roman"/>
          <w:iCs/>
          <w:color w:val="0D0D0D"/>
          <w:sz w:val="24"/>
          <w:szCs w:val="24"/>
          <w:shd w:val="clear" w:color="auto" w:fill="FFFFFF"/>
        </w:rPr>
        <w:t xml:space="preserve"> un</w:t>
      </w:r>
      <w:r>
        <w:rPr>
          <w:rStyle w:val="mord"/>
          <w:rFonts w:ascii="Times New Roman" w:eastAsiaTheme="minorEastAsia" w:hAnsi="Times New Roman" w:cs="Times New Roman"/>
          <w:iCs/>
          <w:color w:val="0D0D0D"/>
          <w:sz w:val="24"/>
          <w:szCs w:val="24"/>
          <w:shd w:val="clear" w:color="auto" w:fill="FFFFFF"/>
        </w:rPr>
        <w:t xml:space="preserve"> análisis de esta tipología y para tener una respuesta clara a la pregunta inicial convendría analizar la evolución del modelo </w:t>
      </w:r>
      <w:r w:rsidR="00284EB6">
        <w:rPr>
          <w:rStyle w:val="mord"/>
          <w:rFonts w:ascii="Times New Roman" w:eastAsiaTheme="minorEastAsia" w:hAnsi="Times New Roman" w:cs="Times New Roman"/>
          <w:iCs/>
          <w:color w:val="0D0D0D"/>
          <w:sz w:val="24"/>
          <w:szCs w:val="24"/>
          <w:shd w:val="clear" w:color="auto" w:fill="FFFFFF"/>
        </w:rPr>
        <w:t xml:space="preserve">propuesto </w:t>
      </w:r>
      <w:r>
        <w:rPr>
          <w:rStyle w:val="mord"/>
          <w:rFonts w:ascii="Times New Roman" w:eastAsiaTheme="minorEastAsia" w:hAnsi="Times New Roman" w:cs="Times New Roman"/>
          <w:iCs/>
          <w:color w:val="0D0D0D"/>
          <w:sz w:val="24"/>
          <w:szCs w:val="24"/>
          <w:shd w:val="clear" w:color="auto" w:fill="FFFFFF"/>
        </w:rPr>
        <w:t>en los años venideros.</w:t>
      </w:r>
    </w:p>
    <w:p w14:paraId="52D758BC" w14:textId="5786E5B9" w:rsidR="00F45637" w:rsidRDefault="00F45637" w:rsidP="00906D2A">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03C082A9" w14:textId="77777777" w:rsidR="00F45637" w:rsidRDefault="00F45637" w:rsidP="00906D2A">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2DF9B190" w14:textId="77777777" w:rsidR="00F45637" w:rsidRDefault="00F45637" w:rsidP="00906D2A">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3AB0B9B5" w14:textId="1D4AD28D" w:rsidR="00353D69" w:rsidRDefault="00353D69" w:rsidP="00906D2A">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79E186D0" w14:textId="77777777" w:rsidR="00353D69" w:rsidRDefault="00353D69" w:rsidP="0069607B">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33CBEF0F" w14:textId="77777777" w:rsidR="00353D69" w:rsidRDefault="00353D69" w:rsidP="0069607B">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3D2FB1E2" w14:textId="77777777" w:rsidR="00906D2A" w:rsidRDefault="00906D2A" w:rsidP="0069607B">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72FBEC74" w14:textId="77777777" w:rsidR="00E17222" w:rsidRDefault="00E17222" w:rsidP="0069607B">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4E53A356" w14:textId="77777777" w:rsidR="00E17222" w:rsidRDefault="00E17222" w:rsidP="0069607B">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21355DE1" w14:textId="77777777" w:rsidR="00EA2874" w:rsidRDefault="00EA2874" w:rsidP="0069607B">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18E21BE2" w14:textId="6809F8E2" w:rsidR="0005472D" w:rsidRDefault="00906D2A" w:rsidP="0090330A">
      <w:pPr>
        <w:spacing w:line="360" w:lineRule="auto"/>
        <w:jc w:val="both"/>
        <w:rPr>
          <w:rFonts w:ascii="Times New Roman" w:hAnsi="Times New Roman" w:cs="Times New Roman"/>
          <w:sz w:val="24"/>
          <w:szCs w:val="24"/>
          <w:u w:val="single"/>
          <w:lang w:eastAsia="es-ES"/>
        </w:rPr>
      </w:pPr>
      <w:r w:rsidRPr="00906D2A">
        <w:rPr>
          <w:rFonts w:ascii="Times New Roman" w:hAnsi="Times New Roman" w:cs="Times New Roman"/>
          <w:sz w:val="24"/>
          <w:szCs w:val="24"/>
          <w:u w:val="single"/>
          <w:lang w:eastAsia="es-ES"/>
        </w:rPr>
        <w:lastRenderedPageBreak/>
        <w:t>Análisis del impacto de los flujos monetarios hacia ETFs de gestión pasiva en las</w:t>
      </w:r>
      <w:r>
        <w:rPr>
          <w:rFonts w:ascii="Times New Roman" w:hAnsi="Times New Roman" w:cs="Times New Roman"/>
          <w:sz w:val="24"/>
          <w:szCs w:val="24"/>
          <w:u w:val="single"/>
          <w:lang w:eastAsia="es-ES"/>
        </w:rPr>
        <w:t xml:space="preserve"> </w:t>
      </w:r>
      <w:r w:rsidRPr="00906D2A">
        <w:rPr>
          <w:rFonts w:ascii="Times New Roman" w:hAnsi="Times New Roman" w:cs="Times New Roman"/>
          <w:sz w:val="24"/>
          <w:szCs w:val="24"/>
          <w:u w:val="single"/>
          <w:lang w:eastAsia="es-ES"/>
        </w:rPr>
        <w:t>valoraciones de acciones</w:t>
      </w:r>
    </w:p>
    <w:p w14:paraId="709C78DA" w14:textId="77777777" w:rsidR="009A1488" w:rsidRDefault="009A1488" w:rsidP="009A1488">
      <w:pPr>
        <w:spacing w:line="360" w:lineRule="auto"/>
        <w:jc w:val="both"/>
        <w:rPr>
          <w:rFonts w:ascii="Times New Roman" w:hAnsi="Times New Roman" w:cs="Times New Roman"/>
          <w:sz w:val="24"/>
          <w:szCs w:val="24"/>
          <w:lang w:eastAsia="es-ES"/>
        </w:rPr>
      </w:pPr>
    </w:p>
    <w:p w14:paraId="07815536" w14:textId="489DF5C7" w:rsidR="00DB07F5" w:rsidRPr="009A1488" w:rsidRDefault="009A1488" w:rsidP="009A1488">
      <w:pPr>
        <w:spacing w:line="360" w:lineRule="auto"/>
        <w:jc w:val="both"/>
        <w:rPr>
          <w:rFonts w:ascii="Times New Roman" w:hAnsi="Times New Roman" w:cs="Times New Roman"/>
          <w:sz w:val="24"/>
          <w:szCs w:val="24"/>
          <w:lang w:eastAsia="es-ES"/>
        </w:rPr>
      </w:pPr>
      <w:r w:rsidRPr="009A1488">
        <w:rPr>
          <w:rFonts w:ascii="Times New Roman" w:hAnsi="Times New Roman" w:cs="Times New Roman"/>
          <w:sz w:val="24"/>
          <w:szCs w:val="24"/>
          <w:lang w:eastAsia="es-ES"/>
        </w:rPr>
        <w:t>Tras llevar a cabo un primer análisis cuantitativo sobre el efecto de la gestión pasiva en la sincronicidad de las acciones del S&amp;P 500</w:t>
      </w:r>
      <w:r>
        <w:rPr>
          <w:rFonts w:ascii="Times New Roman" w:hAnsi="Times New Roman" w:cs="Times New Roman"/>
          <w:sz w:val="24"/>
          <w:szCs w:val="24"/>
          <w:lang w:eastAsia="es-ES"/>
        </w:rPr>
        <w:t xml:space="preserve"> y descubrir que en cierta medida el auge de la gestión pasiva está teniendo un impacto significativo en una métrica tan relevante como es la sincronicidad</w:t>
      </w:r>
      <w:r w:rsidRPr="009A1488">
        <w:rPr>
          <w:rFonts w:ascii="Times New Roman" w:hAnsi="Times New Roman" w:cs="Times New Roman"/>
          <w:sz w:val="24"/>
          <w:szCs w:val="24"/>
          <w:lang w:eastAsia="es-ES"/>
        </w:rPr>
        <w:t>,</w:t>
      </w:r>
      <w:r>
        <w:rPr>
          <w:rFonts w:ascii="Times New Roman" w:hAnsi="Times New Roman" w:cs="Times New Roman"/>
          <w:sz w:val="24"/>
          <w:szCs w:val="24"/>
          <w:lang w:eastAsia="es-ES"/>
        </w:rPr>
        <w:t xml:space="preserve"> toca extender el análisis. Para ello,</w:t>
      </w:r>
      <w:r w:rsidRPr="009A1488">
        <w:rPr>
          <w:rFonts w:ascii="Times New Roman" w:hAnsi="Times New Roman" w:cs="Times New Roman"/>
          <w:sz w:val="24"/>
          <w:szCs w:val="24"/>
          <w:lang w:eastAsia="es-ES"/>
        </w:rPr>
        <w:t xml:space="preserve"> es necesario profundizar en otro aspecto crucial del mercado: la negociación de las acciones y la formación de precios. La creciente popularidad de los ETFs de </w:t>
      </w:r>
      <w:r>
        <w:rPr>
          <w:rFonts w:ascii="Times New Roman" w:hAnsi="Times New Roman" w:cs="Times New Roman"/>
          <w:sz w:val="24"/>
          <w:szCs w:val="24"/>
          <w:lang w:eastAsia="es-ES"/>
        </w:rPr>
        <w:t xml:space="preserve">la </w:t>
      </w:r>
      <w:r w:rsidRPr="009A1488">
        <w:rPr>
          <w:rFonts w:ascii="Times New Roman" w:hAnsi="Times New Roman" w:cs="Times New Roman"/>
          <w:sz w:val="24"/>
          <w:szCs w:val="24"/>
          <w:lang w:eastAsia="es-ES"/>
        </w:rPr>
        <w:t>gestión pasiva</w:t>
      </w:r>
      <w:r>
        <w:rPr>
          <w:rFonts w:ascii="Times New Roman" w:hAnsi="Times New Roman" w:cs="Times New Roman"/>
          <w:sz w:val="24"/>
          <w:szCs w:val="24"/>
          <w:lang w:eastAsia="es-ES"/>
        </w:rPr>
        <w:t xml:space="preserve"> tiene el potencial de cambiar radicalmente algunos mecanismos que tradicionalmente han operado en los mercados financieros. </w:t>
      </w:r>
      <w:r w:rsidR="00EE1EC0">
        <w:rPr>
          <w:rFonts w:ascii="Times New Roman" w:hAnsi="Times New Roman" w:cs="Times New Roman"/>
          <w:sz w:val="24"/>
          <w:szCs w:val="24"/>
          <w:lang w:eastAsia="es-ES"/>
        </w:rPr>
        <w:t xml:space="preserve">El </w:t>
      </w:r>
      <w:r>
        <w:rPr>
          <w:rFonts w:ascii="Times New Roman" w:hAnsi="Times New Roman" w:cs="Times New Roman"/>
          <w:sz w:val="24"/>
          <w:szCs w:val="24"/>
          <w:lang w:eastAsia="es-ES"/>
        </w:rPr>
        <w:t xml:space="preserve">análisis anterior, se ha centrado en la propiedad de las grandes gestoras de fondos pasivo como </w:t>
      </w:r>
      <w:r w:rsidR="00011CE3">
        <w:rPr>
          <w:rFonts w:ascii="Times New Roman" w:hAnsi="Times New Roman" w:cs="Times New Roman"/>
          <w:sz w:val="24"/>
          <w:szCs w:val="24"/>
          <w:lang w:eastAsia="es-ES"/>
        </w:rPr>
        <w:t>“</w:t>
      </w:r>
      <w:r>
        <w:rPr>
          <w:rFonts w:ascii="Times New Roman" w:hAnsi="Times New Roman" w:cs="Times New Roman"/>
          <w:sz w:val="24"/>
          <w:szCs w:val="24"/>
          <w:lang w:eastAsia="es-ES"/>
        </w:rPr>
        <w:t>proxy</w:t>
      </w:r>
      <w:r w:rsidR="00011CE3">
        <w:rPr>
          <w:rFonts w:ascii="Times New Roman" w:hAnsi="Times New Roman" w:cs="Times New Roman"/>
          <w:sz w:val="24"/>
          <w:szCs w:val="24"/>
          <w:lang w:eastAsia="es-ES"/>
        </w:rPr>
        <w:t>”</w:t>
      </w:r>
      <w:r>
        <w:rPr>
          <w:rFonts w:ascii="Times New Roman" w:hAnsi="Times New Roman" w:cs="Times New Roman"/>
          <w:sz w:val="24"/>
          <w:szCs w:val="24"/>
          <w:lang w:eastAsia="es-ES"/>
        </w:rPr>
        <w:t xml:space="preserve"> del auge de esta modalidad de inversión</w:t>
      </w:r>
      <w:r w:rsidRPr="009A1488">
        <w:rPr>
          <w:rFonts w:ascii="Times New Roman" w:hAnsi="Times New Roman" w:cs="Times New Roman"/>
          <w:sz w:val="24"/>
          <w:szCs w:val="24"/>
          <w:lang w:eastAsia="es-ES"/>
        </w:rPr>
        <w:t>.</w:t>
      </w:r>
      <w:r>
        <w:rPr>
          <w:rFonts w:ascii="Times New Roman" w:hAnsi="Times New Roman" w:cs="Times New Roman"/>
          <w:sz w:val="24"/>
          <w:szCs w:val="24"/>
          <w:lang w:eastAsia="es-ES"/>
        </w:rPr>
        <w:t xml:space="preserve"> Para este segundo análisis se tomarán como referencia los flujos monetarios hacia los ETFs de gestión pasiva.</w:t>
      </w:r>
    </w:p>
    <w:p w14:paraId="49767832" w14:textId="431F6418" w:rsidR="00DB07F5" w:rsidRPr="009A1488" w:rsidRDefault="009A1488" w:rsidP="009A1488">
      <w:pPr>
        <w:spacing w:line="360" w:lineRule="auto"/>
        <w:jc w:val="both"/>
        <w:rPr>
          <w:rFonts w:ascii="Times New Roman" w:hAnsi="Times New Roman" w:cs="Times New Roman"/>
          <w:sz w:val="24"/>
          <w:szCs w:val="24"/>
          <w:lang w:eastAsia="es-ES"/>
        </w:rPr>
      </w:pPr>
      <w:r w:rsidRPr="009A1488">
        <w:rPr>
          <w:rFonts w:ascii="Times New Roman" w:hAnsi="Times New Roman" w:cs="Times New Roman"/>
          <w:sz w:val="24"/>
          <w:szCs w:val="24"/>
          <w:lang w:eastAsia="es-ES"/>
        </w:rPr>
        <w:t>El objetivo de este análisis es determinar si los flujos de capital hacia los ETFs de gestión pasiva tienen un impacto significativo en los rendimientos de las acciones del S&amp;P 500. Este enfoque complementará nuestro análisis previo sobre la sincronicidad, proporcionando una visión más completa de cómo la gestión pasiva puede influir en la estructura y el comportamiento del mercado.</w:t>
      </w:r>
    </w:p>
    <w:p w14:paraId="14A00912" w14:textId="264FD7A5" w:rsidR="009A1488" w:rsidRPr="009A1488" w:rsidRDefault="00DB07F5" w:rsidP="009A1488">
      <w:pPr>
        <w:spacing w:line="360"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Como recordatorio a lo expuesto anteriormente, la hipótesis central de este estudio es la siguiente</w:t>
      </w:r>
      <w:r w:rsidR="009A1488" w:rsidRPr="009A1488">
        <w:rPr>
          <w:rFonts w:ascii="Times New Roman" w:hAnsi="Times New Roman" w:cs="Times New Roman"/>
          <w:sz w:val="24"/>
          <w:szCs w:val="24"/>
          <w:lang w:eastAsia="es-ES"/>
        </w:rPr>
        <w:t xml:space="preserve">: </w:t>
      </w:r>
      <w:r>
        <w:rPr>
          <w:rFonts w:ascii="Times New Roman" w:hAnsi="Times New Roman" w:cs="Times New Roman"/>
          <w:sz w:val="24"/>
          <w:szCs w:val="24"/>
          <w:lang w:eastAsia="es-ES"/>
        </w:rPr>
        <w:t>l</w:t>
      </w:r>
      <w:r w:rsidRPr="003C3947">
        <w:rPr>
          <w:rFonts w:ascii="Times New Roman" w:hAnsi="Times New Roman" w:cs="Times New Roman"/>
          <w:sz w:val="24"/>
          <w:szCs w:val="24"/>
          <w:lang w:eastAsia="es-ES"/>
        </w:rPr>
        <w:t xml:space="preserve">os flujos de fondos hacia los ETFs son un factor significativo en los rendimientos de las acciones, indicando que la gestión pasiva está influyendo en las valoraciones de </w:t>
      </w:r>
      <w:r>
        <w:rPr>
          <w:rFonts w:ascii="Times New Roman" w:hAnsi="Times New Roman" w:cs="Times New Roman"/>
          <w:sz w:val="24"/>
          <w:szCs w:val="24"/>
          <w:lang w:eastAsia="es-ES"/>
        </w:rPr>
        <w:t>determinadas</w:t>
      </w:r>
      <w:r w:rsidRPr="003C3947">
        <w:rPr>
          <w:rFonts w:ascii="Times New Roman" w:hAnsi="Times New Roman" w:cs="Times New Roman"/>
          <w:sz w:val="24"/>
          <w:szCs w:val="24"/>
          <w:lang w:eastAsia="es-ES"/>
        </w:rPr>
        <w:t xml:space="preserve"> acciones.</w:t>
      </w:r>
    </w:p>
    <w:p w14:paraId="559DE5A0" w14:textId="5EDFE2B8" w:rsidR="0005472D" w:rsidRPr="009A1488" w:rsidRDefault="0090330A" w:rsidP="00906D2A">
      <w:pPr>
        <w:spacing w:line="360"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 xml:space="preserve">Este análisis es crucial debido a </w:t>
      </w:r>
      <w:r w:rsidR="009A1488" w:rsidRPr="009A1488">
        <w:rPr>
          <w:rFonts w:ascii="Times New Roman" w:hAnsi="Times New Roman" w:cs="Times New Roman"/>
          <w:sz w:val="24"/>
          <w:szCs w:val="24"/>
          <w:lang w:eastAsia="es-ES"/>
        </w:rPr>
        <w:t xml:space="preserve">la capacidad de los ETFs de gestión pasiva para atraer grandes cantidades de capital de manera rápida y eficiente, lo cual puede tener implicaciones significativas para la liquidez del mercado, la volatilidad y, en última instancia, para la valoración de las acciones individuales. </w:t>
      </w:r>
      <w:r>
        <w:rPr>
          <w:rFonts w:ascii="Times New Roman" w:hAnsi="Times New Roman" w:cs="Times New Roman"/>
          <w:sz w:val="24"/>
          <w:szCs w:val="24"/>
          <w:lang w:eastAsia="es-ES"/>
        </w:rPr>
        <w:t>El desarrollo de internet y concretamente el ecosistema Fintech, ha permitido democratizar el acceso a herramientas y vehículos de inversión en unos términos nunca</w:t>
      </w:r>
      <w:r w:rsidR="00613873">
        <w:rPr>
          <w:rFonts w:ascii="Times New Roman" w:hAnsi="Times New Roman" w:cs="Times New Roman"/>
          <w:sz w:val="24"/>
          <w:szCs w:val="24"/>
          <w:lang w:eastAsia="es-ES"/>
        </w:rPr>
        <w:t xml:space="preserve"> </w:t>
      </w:r>
      <w:r>
        <w:rPr>
          <w:rFonts w:ascii="Times New Roman" w:hAnsi="Times New Roman" w:cs="Times New Roman"/>
          <w:sz w:val="24"/>
          <w:szCs w:val="24"/>
          <w:lang w:eastAsia="es-ES"/>
        </w:rPr>
        <w:t>vistos. También se ha acelerado notablemente la velocidad a la que se mueve el dinero. Esto se ha podido comprobar muy claramente con las subidas de tipos de interés, la</w:t>
      </w:r>
      <w:r w:rsidR="00011CE3">
        <w:rPr>
          <w:rFonts w:ascii="Times New Roman" w:hAnsi="Times New Roman" w:cs="Times New Roman"/>
          <w:sz w:val="24"/>
          <w:szCs w:val="24"/>
          <w:lang w:eastAsia="es-ES"/>
        </w:rPr>
        <w:t>s</w:t>
      </w:r>
      <w:r>
        <w:rPr>
          <w:rFonts w:ascii="Times New Roman" w:hAnsi="Times New Roman" w:cs="Times New Roman"/>
          <w:sz w:val="24"/>
          <w:szCs w:val="24"/>
          <w:lang w:eastAsia="es-ES"/>
        </w:rPr>
        <w:t xml:space="preserve"> cual</w:t>
      </w:r>
      <w:r w:rsidR="00011CE3">
        <w:rPr>
          <w:rFonts w:ascii="Times New Roman" w:hAnsi="Times New Roman" w:cs="Times New Roman"/>
          <w:sz w:val="24"/>
          <w:szCs w:val="24"/>
          <w:lang w:eastAsia="es-ES"/>
        </w:rPr>
        <w:t>es</w:t>
      </w:r>
      <w:r>
        <w:rPr>
          <w:rFonts w:ascii="Times New Roman" w:hAnsi="Times New Roman" w:cs="Times New Roman"/>
          <w:sz w:val="24"/>
          <w:szCs w:val="24"/>
          <w:lang w:eastAsia="es-ES"/>
        </w:rPr>
        <w:t xml:space="preserve"> produj</w:t>
      </w:r>
      <w:r w:rsidR="00011CE3">
        <w:rPr>
          <w:rFonts w:ascii="Times New Roman" w:hAnsi="Times New Roman" w:cs="Times New Roman"/>
          <w:sz w:val="24"/>
          <w:szCs w:val="24"/>
          <w:lang w:eastAsia="es-ES"/>
        </w:rPr>
        <w:t>eron</w:t>
      </w:r>
      <w:r>
        <w:rPr>
          <w:rFonts w:ascii="Times New Roman" w:hAnsi="Times New Roman" w:cs="Times New Roman"/>
          <w:sz w:val="24"/>
          <w:szCs w:val="24"/>
          <w:lang w:eastAsia="es-ES"/>
        </w:rPr>
        <w:t xml:space="preserve"> una veloz y masiva huida de capitales desde la renta variable hacia la renta fija.</w:t>
      </w:r>
    </w:p>
    <w:p w14:paraId="0A15A632" w14:textId="1BDF7247" w:rsidR="00DB07F5" w:rsidRPr="00DB07F5" w:rsidRDefault="00DB07F5" w:rsidP="00DB07F5">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DB07F5">
        <w:rPr>
          <w:rStyle w:val="mord"/>
          <w:rFonts w:ascii="Times New Roman" w:eastAsiaTheme="minorEastAsia" w:hAnsi="Times New Roman" w:cs="Times New Roman"/>
          <w:iCs/>
          <w:color w:val="0D0D0D"/>
          <w:sz w:val="24"/>
          <w:szCs w:val="24"/>
          <w:shd w:val="clear" w:color="auto" w:fill="FFFFFF"/>
        </w:rPr>
        <w:lastRenderedPageBreak/>
        <w:t xml:space="preserve">Es </w:t>
      </w:r>
      <w:r w:rsidR="0090330A">
        <w:rPr>
          <w:rStyle w:val="mord"/>
          <w:rFonts w:ascii="Times New Roman" w:eastAsiaTheme="minorEastAsia" w:hAnsi="Times New Roman" w:cs="Times New Roman"/>
          <w:iCs/>
          <w:color w:val="0D0D0D"/>
          <w:sz w:val="24"/>
          <w:szCs w:val="24"/>
          <w:shd w:val="clear" w:color="auto" w:fill="FFFFFF"/>
        </w:rPr>
        <w:t xml:space="preserve">importante, </w:t>
      </w:r>
      <w:r w:rsidRPr="00DB07F5">
        <w:rPr>
          <w:rStyle w:val="mord"/>
          <w:rFonts w:ascii="Times New Roman" w:eastAsiaTheme="minorEastAsia" w:hAnsi="Times New Roman" w:cs="Times New Roman"/>
          <w:iCs/>
          <w:color w:val="0D0D0D"/>
          <w:sz w:val="24"/>
          <w:szCs w:val="24"/>
          <w:shd w:val="clear" w:color="auto" w:fill="FFFFFF"/>
        </w:rPr>
        <w:t>contextualizar este análisis en el marco de la "</w:t>
      </w:r>
      <w:proofErr w:type="spellStart"/>
      <w:r w:rsidRPr="00DB07F5">
        <w:rPr>
          <w:rStyle w:val="mord"/>
          <w:rFonts w:ascii="Times New Roman" w:eastAsiaTheme="minorEastAsia" w:hAnsi="Times New Roman" w:cs="Times New Roman"/>
          <w:iCs/>
          <w:color w:val="0D0D0D"/>
          <w:sz w:val="24"/>
          <w:szCs w:val="24"/>
          <w:shd w:val="clear" w:color="auto" w:fill="FFFFFF"/>
        </w:rPr>
        <w:t>Inelastic</w:t>
      </w:r>
      <w:proofErr w:type="spellEnd"/>
      <w:r w:rsidRPr="00DB07F5">
        <w:rPr>
          <w:rStyle w:val="mord"/>
          <w:rFonts w:ascii="Times New Roman" w:eastAsiaTheme="minorEastAsia" w:hAnsi="Times New Roman" w:cs="Times New Roman"/>
          <w:iCs/>
          <w:color w:val="0D0D0D"/>
          <w:sz w:val="24"/>
          <w:szCs w:val="24"/>
          <w:shd w:val="clear" w:color="auto" w:fill="FFFFFF"/>
        </w:rPr>
        <w:t xml:space="preserve"> </w:t>
      </w:r>
      <w:proofErr w:type="spellStart"/>
      <w:r w:rsidRPr="00DB07F5">
        <w:rPr>
          <w:rStyle w:val="mord"/>
          <w:rFonts w:ascii="Times New Roman" w:eastAsiaTheme="minorEastAsia" w:hAnsi="Times New Roman" w:cs="Times New Roman"/>
          <w:iCs/>
          <w:color w:val="0D0D0D"/>
          <w:sz w:val="24"/>
          <w:szCs w:val="24"/>
          <w:shd w:val="clear" w:color="auto" w:fill="FFFFFF"/>
        </w:rPr>
        <w:t>Market</w:t>
      </w:r>
      <w:proofErr w:type="spellEnd"/>
      <w:r w:rsidRPr="00DB07F5">
        <w:rPr>
          <w:rStyle w:val="mord"/>
          <w:rFonts w:ascii="Times New Roman" w:eastAsiaTheme="minorEastAsia" w:hAnsi="Times New Roman" w:cs="Times New Roman"/>
          <w:iCs/>
          <w:color w:val="0D0D0D"/>
          <w:sz w:val="24"/>
          <w:szCs w:val="24"/>
          <w:shd w:val="clear" w:color="auto" w:fill="FFFFFF"/>
        </w:rPr>
        <w:t xml:space="preserve"> </w:t>
      </w:r>
      <w:proofErr w:type="spellStart"/>
      <w:r w:rsidRPr="00DB07F5">
        <w:rPr>
          <w:rStyle w:val="mord"/>
          <w:rFonts w:ascii="Times New Roman" w:eastAsiaTheme="minorEastAsia" w:hAnsi="Times New Roman" w:cs="Times New Roman"/>
          <w:iCs/>
          <w:color w:val="0D0D0D"/>
          <w:sz w:val="24"/>
          <w:szCs w:val="24"/>
          <w:shd w:val="clear" w:color="auto" w:fill="FFFFFF"/>
        </w:rPr>
        <w:t>Hypothesis</w:t>
      </w:r>
      <w:proofErr w:type="spellEnd"/>
      <w:r w:rsidRPr="00DB07F5">
        <w:rPr>
          <w:rStyle w:val="mord"/>
          <w:rFonts w:ascii="Times New Roman" w:eastAsiaTheme="minorEastAsia" w:hAnsi="Times New Roman" w:cs="Times New Roman"/>
          <w:iCs/>
          <w:color w:val="0D0D0D"/>
          <w:sz w:val="24"/>
          <w:szCs w:val="24"/>
          <w:shd w:val="clear" w:color="auto" w:fill="FFFFFF"/>
        </w:rPr>
        <w:t xml:space="preserve">", propuesta por Xavier </w:t>
      </w:r>
      <w:proofErr w:type="spellStart"/>
      <w:r w:rsidRPr="00DB07F5">
        <w:rPr>
          <w:rStyle w:val="mord"/>
          <w:rFonts w:ascii="Times New Roman" w:eastAsiaTheme="minorEastAsia" w:hAnsi="Times New Roman" w:cs="Times New Roman"/>
          <w:iCs/>
          <w:color w:val="0D0D0D"/>
          <w:sz w:val="24"/>
          <w:szCs w:val="24"/>
          <w:shd w:val="clear" w:color="auto" w:fill="FFFFFF"/>
        </w:rPr>
        <w:t>Gabaix</w:t>
      </w:r>
      <w:proofErr w:type="spellEnd"/>
      <w:r w:rsidRPr="00DB07F5">
        <w:rPr>
          <w:rStyle w:val="mord"/>
          <w:rFonts w:ascii="Times New Roman" w:eastAsiaTheme="minorEastAsia" w:hAnsi="Times New Roman" w:cs="Times New Roman"/>
          <w:iCs/>
          <w:color w:val="0D0D0D"/>
          <w:sz w:val="24"/>
          <w:szCs w:val="24"/>
          <w:shd w:val="clear" w:color="auto" w:fill="FFFFFF"/>
        </w:rPr>
        <w:t xml:space="preserve"> y Ralph </w:t>
      </w:r>
      <w:proofErr w:type="spellStart"/>
      <w:r w:rsidRPr="00DB07F5">
        <w:rPr>
          <w:rStyle w:val="mord"/>
          <w:rFonts w:ascii="Times New Roman" w:eastAsiaTheme="minorEastAsia" w:hAnsi="Times New Roman" w:cs="Times New Roman"/>
          <w:iCs/>
          <w:color w:val="0D0D0D"/>
          <w:sz w:val="24"/>
          <w:szCs w:val="24"/>
          <w:shd w:val="clear" w:color="auto" w:fill="FFFFFF"/>
        </w:rPr>
        <w:t>Koijen</w:t>
      </w:r>
      <w:proofErr w:type="spellEnd"/>
      <w:r w:rsidRPr="00DB07F5">
        <w:rPr>
          <w:rStyle w:val="mord"/>
          <w:rFonts w:ascii="Times New Roman" w:eastAsiaTheme="minorEastAsia" w:hAnsi="Times New Roman" w:cs="Times New Roman"/>
          <w:iCs/>
          <w:color w:val="0D0D0D"/>
          <w:sz w:val="24"/>
          <w:szCs w:val="24"/>
          <w:shd w:val="clear" w:color="auto" w:fill="FFFFFF"/>
        </w:rPr>
        <w:t>. Según est</w:t>
      </w:r>
      <w:r w:rsidR="00613873">
        <w:rPr>
          <w:rStyle w:val="mord"/>
          <w:rFonts w:ascii="Times New Roman" w:eastAsiaTheme="minorEastAsia" w:hAnsi="Times New Roman" w:cs="Times New Roman"/>
          <w:iCs/>
          <w:color w:val="0D0D0D"/>
          <w:sz w:val="24"/>
          <w:szCs w:val="24"/>
          <w:shd w:val="clear" w:color="auto" w:fill="FFFFFF"/>
        </w:rPr>
        <w:t>e estudio</w:t>
      </w:r>
      <w:r w:rsidRPr="00DB07F5">
        <w:rPr>
          <w:rStyle w:val="mord"/>
          <w:rFonts w:ascii="Times New Roman" w:eastAsiaTheme="minorEastAsia" w:hAnsi="Times New Roman" w:cs="Times New Roman"/>
          <w:iCs/>
          <w:color w:val="0D0D0D"/>
          <w:sz w:val="24"/>
          <w:szCs w:val="24"/>
          <w:shd w:val="clear" w:color="auto" w:fill="FFFFFF"/>
        </w:rPr>
        <w:t>,</w:t>
      </w:r>
      <w:r w:rsidR="0090330A">
        <w:rPr>
          <w:rStyle w:val="mord"/>
          <w:rFonts w:ascii="Times New Roman" w:eastAsiaTheme="minorEastAsia" w:hAnsi="Times New Roman" w:cs="Times New Roman"/>
          <w:iCs/>
          <w:color w:val="0D0D0D"/>
          <w:sz w:val="24"/>
          <w:szCs w:val="24"/>
          <w:shd w:val="clear" w:color="auto" w:fill="FFFFFF"/>
        </w:rPr>
        <w:t xml:space="preserve"> los mercados de renta variable no son perfectamente elásticos como tradicionalmente se pensaba</w:t>
      </w:r>
      <w:r w:rsidR="00613873">
        <w:rPr>
          <w:rStyle w:val="mord"/>
          <w:rFonts w:ascii="Times New Roman" w:eastAsiaTheme="minorEastAsia" w:hAnsi="Times New Roman" w:cs="Times New Roman"/>
          <w:iCs/>
          <w:color w:val="0D0D0D"/>
          <w:sz w:val="24"/>
          <w:szCs w:val="24"/>
          <w:shd w:val="clear" w:color="auto" w:fill="FFFFFF"/>
        </w:rPr>
        <w:t>,</w:t>
      </w:r>
      <w:r w:rsidRPr="00DB07F5">
        <w:rPr>
          <w:rStyle w:val="mord"/>
          <w:rFonts w:ascii="Times New Roman" w:eastAsiaTheme="minorEastAsia" w:hAnsi="Times New Roman" w:cs="Times New Roman"/>
          <w:iCs/>
          <w:color w:val="0D0D0D"/>
          <w:sz w:val="24"/>
          <w:szCs w:val="24"/>
          <w:shd w:val="clear" w:color="auto" w:fill="FFFFFF"/>
        </w:rPr>
        <w:t xml:space="preserve"> es decir, los precios de las acciones no se ajustan instantáneamente y de manera proporcional a los cambios en la demanda. En un mercado inelástico, un aumento en la demanda de acciones (por ejemplo, a través de flujos de capital hacia ETFs de gestión pasiva) puede provocar aumentos significativos en los precios de las acciones porque no hay suficiente liquidez para absorber la demanda adicional sin un ajuste de precios.</w:t>
      </w:r>
      <w:r w:rsidR="0090330A">
        <w:rPr>
          <w:rStyle w:val="mord"/>
          <w:rFonts w:ascii="Times New Roman" w:eastAsiaTheme="minorEastAsia" w:hAnsi="Times New Roman" w:cs="Times New Roman"/>
          <w:iCs/>
          <w:color w:val="0D0D0D"/>
          <w:sz w:val="24"/>
          <w:szCs w:val="24"/>
          <w:shd w:val="clear" w:color="auto" w:fill="FFFFFF"/>
        </w:rPr>
        <w:t xml:space="preserve"> Precisamente</w:t>
      </w:r>
      <w:r w:rsidR="00613873">
        <w:rPr>
          <w:rStyle w:val="mord"/>
          <w:rFonts w:ascii="Times New Roman" w:eastAsiaTheme="minorEastAsia" w:hAnsi="Times New Roman" w:cs="Times New Roman"/>
          <w:iCs/>
          <w:color w:val="0D0D0D"/>
          <w:sz w:val="24"/>
          <w:szCs w:val="24"/>
          <w:shd w:val="clear" w:color="auto" w:fill="FFFFFF"/>
        </w:rPr>
        <w:t xml:space="preserve">, </w:t>
      </w:r>
      <w:r w:rsidR="0090330A">
        <w:rPr>
          <w:rStyle w:val="mord"/>
          <w:rFonts w:ascii="Times New Roman" w:eastAsiaTheme="minorEastAsia" w:hAnsi="Times New Roman" w:cs="Times New Roman"/>
          <w:iCs/>
          <w:color w:val="0D0D0D"/>
          <w:sz w:val="24"/>
          <w:szCs w:val="24"/>
          <w:shd w:val="clear" w:color="auto" w:fill="FFFFFF"/>
        </w:rPr>
        <w:t xml:space="preserve">uno de los motivos que </w:t>
      </w:r>
      <w:r w:rsidR="00613873" w:rsidRPr="00DB07F5">
        <w:rPr>
          <w:rStyle w:val="mord"/>
          <w:rFonts w:ascii="Times New Roman" w:eastAsiaTheme="minorEastAsia" w:hAnsi="Times New Roman" w:cs="Times New Roman"/>
          <w:iCs/>
          <w:color w:val="0D0D0D"/>
          <w:sz w:val="24"/>
          <w:szCs w:val="24"/>
          <w:shd w:val="clear" w:color="auto" w:fill="FFFFFF"/>
        </w:rPr>
        <w:t xml:space="preserve">Xavier </w:t>
      </w:r>
      <w:proofErr w:type="spellStart"/>
      <w:r w:rsidR="00613873" w:rsidRPr="00DB07F5">
        <w:rPr>
          <w:rStyle w:val="mord"/>
          <w:rFonts w:ascii="Times New Roman" w:eastAsiaTheme="minorEastAsia" w:hAnsi="Times New Roman" w:cs="Times New Roman"/>
          <w:iCs/>
          <w:color w:val="0D0D0D"/>
          <w:sz w:val="24"/>
          <w:szCs w:val="24"/>
          <w:shd w:val="clear" w:color="auto" w:fill="FFFFFF"/>
        </w:rPr>
        <w:t>Gabaix</w:t>
      </w:r>
      <w:proofErr w:type="spellEnd"/>
      <w:r w:rsidR="00613873" w:rsidRPr="00DB07F5">
        <w:rPr>
          <w:rStyle w:val="mord"/>
          <w:rFonts w:ascii="Times New Roman" w:eastAsiaTheme="minorEastAsia" w:hAnsi="Times New Roman" w:cs="Times New Roman"/>
          <w:iCs/>
          <w:color w:val="0D0D0D"/>
          <w:sz w:val="24"/>
          <w:szCs w:val="24"/>
          <w:shd w:val="clear" w:color="auto" w:fill="FFFFFF"/>
        </w:rPr>
        <w:t xml:space="preserve"> y Ralph </w:t>
      </w:r>
      <w:proofErr w:type="spellStart"/>
      <w:r w:rsidR="00613873" w:rsidRPr="00DB07F5">
        <w:rPr>
          <w:rStyle w:val="mord"/>
          <w:rFonts w:ascii="Times New Roman" w:eastAsiaTheme="minorEastAsia" w:hAnsi="Times New Roman" w:cs="Times New Roman"/>
          <w:iCs/>
          <w:color w:val="0D0D0D"/>
          <w:sz w:val="24"/>
          <w:szCs w:val="24"/>
          <w:shd w:val="clear" w:color="auto" w:fill="FFFFFF"/>
        </w:rPr>
        <w:t>Koijen</w:t>
      </w:r>
      <w:proofErr w:type="spellEnd"/>
      <w:r w:rsidR="00613873">
        <w:rPr>
          <w:rStyle w:val="mord"/>
          <w:rFonts w:ascii="Times New Roman" w:eastAsiaTheme="minorEastAsia" w:hAnsi="Times New Roman" w:cs="Times New Roman"/>
          <w:iCs/>
          <w:color w:val="0D0D0D"/>
          <w:sz w:val="24"/>
          <w:szCs w:val="24"/>
          <w:shd w:val="clear" w:color="auto" w:fill="FFFFFF"/>
        </w:rPr>
        <w:t xml:space="preserve"> señalan en su estudio como responsables de esta realidad, es la presencia de agentes insensibles a los precios como son los fondos de gestión pasiva.</w:t>
      </w:r>
    </w:p>
    <w:p w14:paraId="2EFE62E4" w14:textId="6AD11741" w:rsidR="00DB07F5" w:rsidRPr="00DB07F5" w:rsidRDefault="00613873" w:rsidP="00DB07F5">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 xml:space="preserve">En base a </w:t>
      </w:r>
      <w:r w:rsidRPr="00DB07F5">
        <w:rPr>
          <w:rStyle w:val="mord"/>
          <w:rFonts w:ascii="Times New Roman" w:eastAsiaTheme="minorEastAsia" w:hAnsi="Times New Roman" w:cs="Times New Roman"/>
          <w:iCs/>
          <w:color w:val="0D0D0D"/>
          <w:sz w:val="24"/>
          <w:szCs w:val="24"/>
          <w:shd w:val="clear" w:color="auto" w:fill="FFFFFF"/>
        </w:rPr>
        <w:t>esta</w:t>
      </w:r>
      <w:r>
        <w:rPr>
          <w:rStyle w:val="mord"/>
          <w:rFonts w:ascii="Times New Roman" w:eastAsiaTheme="minorEastAsia" w:hAnsi="Times New Roman" w:cs="Times New Roman"/>
          <w:iCs/>
          <w:color w:val="0D0D0D"/>
          <w:sz w:val="24"/>
          <w:szCs w:val="24"/>
          <w:shd w:val="clear" w:color="auto" w:fill="FFFFFF"/>
        </w:rPr>
        <w:t xml:space="preserve"> teoría, se puede inferir </w:t>
      </w:r>
      <w:r w:rsidR="00DB07F5" w:rsidRPr="00DB07F5">
        <w:rPr>
          <w:rStyle w:val="mord"/>
          <w:rFonts w:ascii="Times New Roman" w:eastAsiaTheme="minorEastAsia" w:hAnsi="Times New Roman" w:cs="Times New Roman"/>
          <w:iCs/>
          <w:color w:val="0D0D0D"/>
          <w:sz w:val="24"/>
          <w:szCs w:val="24"/>
          <w:shd w:val="clear" w:color="auto" w:fill="FFFFFF"/>
        </w:rPr>
        <w:t xml:space="preserve">que los flujos de capital hacia los ETFs de gestión </w:t>
      </w:r>
      <w:r w:rsidRPr="00DB07F5">
        <w:rPr>
          <w:rStyle w:val="mord"/>
          <w:rFonts w:ascii="Times New Roman" w:eastAsiaTheme="minorEastAsia" w:hAnsi="Times New Roman" w:cs="Times New Roman"/>
          <w:iCs/>
          <w:color w:val="0D0D0D"/>
          <w:sz w:val="24"/>
          <w:szCs w:val="24"/>
          <w:shd w:val="clear" w:color="auto" w:fill="FFFFFF"/>
        </w:rPr>
        <w:t>pasiva</w:t>
      </w:r>
      <w:r>
        <w:rPr>
          <w:rStyle w:val="mord"/>
          <w:rFonts w:ascii="Times New Roman" w:eastAsiaTheme="minorEastAsia" w:hAnsi="Times New Roman" w:cs="Times New Roman"/>
          <w:iCs/>
          <w:color w:val="0D0D0D"/>
          <w:sz w:val="24"/>
          <w:szCs w:val="24"/>
          <w:shd w:val="clear" w:color="auto" w:fill="FFFFFF"/>
        </w:rPr>
        <w:t xml:space="preserve"> tienen el potencial de </w:t>
      </w:r>
      <w:r w:rsidR="00DB07F5" w:rsidRPr="00DB07F5">
        <w:rPr>
          <w:rStyle w:val="mord"/>
          <w:rFonts w:ascii="Times New Roman" w:eastAsiaTheme="minorEastAsia" w:hAnsi="Times New Roman" w:cs="Times New Roman"/>
          <w:iCs/>
          <w:color w:val="0D0D0D"/>
          <w:sz w:val="24"/>
          <w:szCs w:val="24"/>
          <w:shd w:val="clear" w:color="auto" w:fill="FFFFFF"/>
        </w:rPr>
        <w:t xml:space="preserve">tener un impacto desproporcionado en los precios de las acciones, incrementando su valoración más allá de lo que justificarían los fundamentales económicos. Esto se debe a la limitada capacidad del mercado para absorber cambios en la demanda sin grandes fluctuaciones en los precios. </w:t>
      </w:r>
    </w:p>
    <w:p w14:paraId="520CD1D7" w14:textId="7661FA62" w:rsidR="00353D69" w:rsidRDefault="00F45637" w:rsidP="0069607B">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 xml:space="preserve">Antes de introducir el modelo empleado para este estudio, es importante destacar que la dificultad y coste de acceso a datos financieros ha sido un factor influyente, por este motivo la estrategia de recolección de datos se ha centrado en optimizar la relevancia de los datos en relación con su coste de obtención. Los datos más complejos de obtener han sido los flujos monetarios hacia los fondos de gestión pasiva. Para simplificar la tarea, se ha optado por recopilar datos sobre los 3 principales ETFs que tratan de replicar el S&amp;P 500, estos son: </w:t>
      </w:r>
      <w:r w:rsidRPr="00146D7F">
        <w:rPr>
          <w:rStyle w:val="mord"/>
          <w:rFonts w:ascii="Times New Roman" w:eastAsiaTheme="minorEastAsia" w:hAnsi="Times New Roman" w:cs="Times New Roman"/>
          <w:iCs/>
          <w:color w:val="0D0D0D"/>
          <w:sz w:val="24"/>
          <w:szCs w:val="24"/>
          <w:shd w:val="clear" w:color="auto" w:fill="FFFFFF"/>
        </w:rPr>
        <w:t xml:space="preserve">SPDR S&amp;P 500 ETF Trust (SPY), SPDR S&amp;P 500 ETF Trust (IVV) y </w:t>
      </w:r>
      <w:proofErr w:type="spellStart"/>
      <w:r w:rsidRPr="00146D7F">
        <w:rPr>
          <w:rStyle w:val="mord"/>
          <w:rFonts w:ascii="Times New Roman" w:eastAsiaTheme="minorEastAsia" w:hAnsi="Times New Roman" w:cs="Times New Roman"/>
          <w:iCs/>
          <w:color w:val="0D0D0D"/>
          <w:sz w:val="24"/>
          <w:szCs w:val="24"/>
          <w:shd w:val="clear" w:color="auto" w:fill="FFFFFF"/>
        </w:rPr>
        <w:t>Vanguard</w:t>
      </w:r>
      <w:proofErr w:type="spellEnd"/>
      <w:r w:rsidRPr="00146D7F">
        <w:rPr>
          <w:rStyle w:val="mord"/>
          <w:rFonts w:ascii="Times New Roman" w:eastAsiaTheme="minorEastAsia" w:hAnsi="Times New Roman" w:cs="Times New Roman"/>
          <w:iCs/>
          <w:color w:val="0D0D0D"/>
          <w:sz w:val="24"/>
          <w:szCs w:val="24"/>
          <w:shd w:val="clear" w:color="auto" w:fill="FFFFFF"/>
        </w:rPr>
        <w:t xml:space="preserve"> S&amp;P 500 ETF (</w:t>
      </w:r>
      <w:r w:rsidRPr="00146D7F">
        <w:rPr>
          <w:rFonts w:ascii="Times New Roman" w:hAnsi="Times New Roman" w:cs="Times New Roman"/>
          <w:sz w:val="24"/>
          <w:szCs w:val="24"/>
          <w:shd w:val="clear" w:color="auto" w:fill="FFFFFF"/>
        </w:rPr>
        <w:t>VOO</w:t>
      </w:r>
      <w:r w:rsidRPr="00146D7F">
        <w:rPr>
          <w:rStyle w:val="mord"/>
          <w:rFonts w:ascii="Times New Roman" w:eastAsiaTheme="minorEastAsia" w:hAnsi="Times New Roman" w:cs="Times New Roman"/>
          <w:iCs/>
          <w:color w:val="0D0D0D"/>
          <w:sz w:val="24"/>
          <w:szCs w:val="24"/>
          <w:shd w:val="clear" w:color="auto" w:fill="FFFFFF"/>
        </w:rPr>
        <w:t>).</w:t>
      </w:r>
      <w:r w:rsidR="003B3576">
        <w:rPr>
          <w:rStyle w:val="mord"/>
          <w:rFonts w:ascii="Times New Roman" w:eastAsiaTheme="minorEastAsia" w:hAnsi="Times New Roman" w:cs="Times New Roman"/>
          <w:iCs/>
          <w:color w:val="0D0D0D"/>
          <w:sz w:val="24"/>
          <w:szCs w:val="24"/>
          <w:shd w:val="clear" w:color="auto" w:fill="FFFFFF"/>
        </w:rPr>
        <w:t xml:space="preserve"> Estos tres fondos unidos gestionan más de 1,5 billones de dólares en activos del S&amp;P 500, lo cual representa aproximadamente en torno al 30% del total de activos gestionados pasivamente en el S&amp;P 500. Este volumen </w:t>
      </w:r>
      <w:r w:rsidR="008515AA">
        <w:rPr>
          <w:rStyle w:val="mord"/>
          <w:rFonts w:ascii="Times New Roman" w:eastAsiaTheme="minorEastAsia" w:hAnsi="Times New Roman" w:cs="Times New Roman"/>
          <w:iCs/>
          <w:color w:val="0D0D0D"/>
          <w:sz w:val="24"/>
          <w:szCs w:val="24"/>
          <w:shd w:val="clear" w:color="auto" w:fill="FFFFFF"/>
        </w:rPr>
        <w:t>supone</w:t>
      </w:r>
      <w:r w:rsidR="003B3576">
        <w:rPr>
          <w:rStyle w:val="mord"/>
          <w:rFonts w:ascii="Times New Roman" w:eastAsiaTheme="minorEastAsia" w:hAnsi="Times New Roman" w:cs="Times New Roman"/>
          <w:iCs/>
          <w:color w:val="0D0D0D"/>
          <w:sz w:val="24"/>
          <w:szCs w:val="24"/>
          <w:shd w:val="clear" w:color="auto" w:fill="FFFFFF"/>
        </w:rPr>
        <w:t xml:space="preserve"> una cantidad representativa del mercado, no obstante, hay que tener en cuenta que una mayor facilidad de acceso a los datos tiene el potencial de mejorar la precisión de este análisis.</w:t>
      </w:r>
    </w:p>
    <w:p w14:paraId="7EFE6E41" w14:textId="73D79350" w:rsidR="00353D69" w:rsidRDefault="00353D69" w:rsidP="00353D69">
      <w:pPr>
        <w:spacing w:line="360" w:lineRule="auto"/>
        <w:jc w:val="center"/>
        <w:rPr>
          <w:rStyle w:val="mord"/>
          <w:rFonts w:ascii="Times New Roman" w:eastAsiaTheme="minorEastAsia" w:hAnsi="Times New Roman" w:cs="Times New Roman"/>
          <w:iCs/>
          <w:color w:val="0D0D0D"/>
          <w:sz w:val="24"/>
          <w:szCs w:val="24"/>
          <w:shd w:val="clear" w:color="auto" w:fill="FFFFFF"/>
        </w:rPr>
      </w:pPr>
    </w:p>
    <w:p w14:paraId="26848415" w14:textId="77777777" w:rsidR="003B3576" w:rsidRDefault="003B3576" w:rsidP="00353D69">
      <w:pPr>
        <w:spacing w:line="360" w:lineRule="auto"/>
        <w:jc w:val="center"/>
        <w:rPr>
          <w:rStyle w:val="mord"/>
          <w:rFonts w:ascii="Times New Roman" w:eastAsiaTheme="minorEastAsia" w:hAnsi="Times New Roman" w:cs="Times New Roman"/>
          <w:iCs/>
          <w:color w:val="0D0D0D"/>
          <w:sz w:val="24"/>
          <w:szCs w:val="24"/>
          <w:shd w:val="clear" w:color="auto" w:fill="FFFFFF"/>
        </w:rPr>
      </w:pPr>
    </w:p>
    <w:p w14:paraId="5CA77287" w14:textId="77777777" w:rsidR="003B3576" w:rsidRDefault="003B3576" w:rsidP="00353D69">
      <w:pPr>
        <w:spacing w:line="360" w:lineRule="auto"/>
        <w:jc w:val="center"/>
        <w:rPr>
          <w:rStyle w:val="mord"/>
          <w:rFonts w:ascii="Times New Roman" w:eastAsiaTheme="minorEastAsia" w:hAnsi="Times New Roman" w:cs="Times New Roman"/>
          <w:iCs/>
          <w:color w:val="0D0D0D"/>
          <w:sz w:val="24"/>
          <w:szCs w:val="24"/>
          <w:shd w:val="clear" w:color="auto" w:fill="FFFFFF"/>
        </w:rPr>
      </w:pPr>
    </w:p>
    <w:p w14:paraId="5190FEA6" w14:textId="5D4F97B1" w:rsidR="003D1F10" w:rsidRPr="003B3576" w:rsidRDefault="003B3576" w:rsidP="003B3576">
      <w:pPr>
        <w:spacing w:line="360" w:lineRule="auto"/>
        <w:jc w:val="both"/>
        <w:rPr>
          <w:rFonts w:ascii="Times New Roman" w:hAnsi="Times New Roman" w:cs="Times New Roman"/>
          <w:b/>
          <w:bCs/>
          <w:sz w:val="24"/>
          <w:szCs w:val="24"/>
          <w:lang w:eastAsia="es-ES"/>
        </w:rPr>
      </w:pPr>
      <w:r w:rsidRPr="003B3576">
        <w:rPr>
          <w:rFonts w:ascii="Times New Roman" w:hAnsi="Times New Roman" w:cs="Times New Roman"/>
          <w:b/>
          <w:bCs/>
          <w:sz w:val="24"/>
          <w:szCs w:val="24"/>
          <w:lang w:eastAsia="es-ES"/>
        </w:rPr>
        <w:lastRenderedPageBreak/>
        <w:t>Introducción del modelo</w:t>
      </w:r>
    </w:p>
    <w:p w14:paraId="4B01652B" w14:textId="0D81A909" w:rsidR="00D52446" w:rsidRPr="003D1F10" w:rsidRDefault="003D1F10" w:rsidP="003D1F10">
      <w:pPr>
        <w:spacing w:line="360" w:lineRule="auto"/>
        <w:jc w:val="both"/>
        <w:rPr>
          <w:rStyle w:val="mord"/>
          <w:rFonts w:ascii="Times New Roman" w:eastAsiaTheme="minorEastAsia" w:hAnsi="Times New Roman" w:cs="Times New Roman"/>
          <w:iCs/>
          <w:color w:val="0D0D0D"/>
          <w:sz w:val="24"/>
          <w:szCs w:val="24"/>
          <w:shd w:val="clear" w:color="auto" w:fill="FFFFFF"/>
        </w:rPr>
      </w:pPr>
      <w:r w:rsidRPr="003D1F10">
        <w:rPr>
          <w:rStyle w:val="mord"/>
          <w:rFonts w:ascii="Times New Roman" w:eastAsiaTheme="minorEastAsia" w:hAnsi="Times New Roman" w:cs="Times New Roman"/>
          <w:iCs/>
          <w:color w:val="0D0D0D"/>
          <w:sz w:val="24"/>
          <w:szCs w:val="24"/>
          <w:shd w:val="clear" w:color="auto" w:fill="FFFFFF"/>
        </w:rPr>
        <w:t>Para desarrollar el análisis</w:t>
      </w:r>
      <w:r>
        <w:rPr>
          <w:rStyle w:val="mord"/>
          <w:rFonts w:ascii="Times New Roman" w:eastAsiaTheme="minorEastAsia" w:hAnsi="Times New Roman" w:cs="Times New Roman"/>
          <w:iCs/>
          <w:color w:val="0D0D0D"/>
          <w:sz w:val="24"/>
          <w:szCs w:val="24"/>
          <w:shd w:val="clear" w:color="auto" w:fill="FFFFFF"/>
        </w:rPr>
        <w:t>, se ha</w:t>
      </w:r>
      <w:r w:rsidRPr="003D1F10">
        <w:rPr>
          <w:rStyle w:val="mord"/>
          <w:rFonts w:ascii="Times New Roman" w:eastAsiaTheme="minorEastAsia" w:hAnsi="Times New Roman" w:cs="Times New Roman"/>
          <w:iCs/>
          <w:color w:val="0D0D0D"/>
          <w:sz w:val="24"/>
          <w:szCs w:val="24"/>
          <w:shd w:val="clear" w:color="auto" w:fill="FFFFFF"/>
        </w:rPr>
        <w:t xml:space="preserve"> empleado un modelo</w:t>
      </w:r>
      <w:r>
        <w:rPr>
          <w:rStyle w:val="mord"/>
          <w:rFonts w:ascii="Times New Roman" w:eastAsiaTheme="minorEastAsia" w:hAnsi="Times New Roman" w:cs="Times New Roman"/>
          <w:iCs/>
          <w:color w:val="0D0D0D"/>
          <w:sz w:val="24"/>
          <w:szCs w:val="24"/>
          <w:shd w:val="clear" w:color="auto" w:fill="FFFFFF"/>
        </w:rPr>
        <w:t xml:space="preserve"> </w:t>
      </w:r>
      <w:r w:rsidRPr="003D1F10">
        <w:rPr>
          <w:rStyle w:val="mord"/>
          <w:rFonts w:ascii="Times New Roman" w:eastAsiaTheme="minorEastAsia" w:hAnsi="Times New Roman" w:cs="Times New Roman"/>
          <w:iCs/>
          <w:color w:val="0D0D0D"/>
          <w:sz w:val="24"/>
          <w:szCs w:val="24"/>
          <w:shd w:val="clear" w:color="auto" w:fill="FFFFFF"/>
        </w:rPr>
        <w:t>basado en el conocido modelo Fama-French de tres factores</w:t>
      </w:r>
      <w:r>
        <w:rPr>
          <w:rStyle w:val="mord"/>
          <w:rFonts w:ascii="Times New Roman" w:eastAsiaTheme="minorEastAsia" w:hAnsi="Times New Roman" w:cs="Times New Roman"/>
          <w:iCs/>
          <w:color w:val="0D0D0D"/>
          <w:sz w:val="24"/>
          <w:szCs w:val="24"/>
          <w:shd w:val="clear" w:color="auto" w:fill="FFFFFF"/>
        </w:rPr>
        <w:t xml:space="preserve"> semanal</w:t>
      </w:r>
      <w:r w:rsidRPr="003D1F10">
        <w:rPr>
          <w:rStyle w:val="mord"/>
          <w:rFonts w:ascii="Times New Roman" w:eastAsiaTheme="minorEastAsia" w:hAnsi="Times New Roman" w:cs="Times New Roman"/>
          <w:iCs/>
          <w:color w:val="0D0D0D"/>
          <w:sz w:val="24"/>
          <w:szCs w:val="24"/>
          <w:shd w:val="clear" w:color="auto" w:fill="FFFFFF"/>
        </w:rPr>
        <w:t>, pero con una modificación clave: la incorporación de un nuevo factor que incluye la variación de los flujos monetarios netos hacia los ETFs de gestión pasiva.</w:t>
      </w:r>
      <w:r w:rsidR="00D52446">
        <w:rPr>
          <w:rStyle w:val="mord"/>
          <w:rFonts w:ascii="Times New Roman" w:eastAsiaTheme="minorEastAsia" w:hAnsi="Times New Roman" w:cs="Times New Roman"/>
          <w:iCs/>
          <w:color w:val="0D0D0D"/>
          <w:sz w:val="24"/>
          <w:szCs w:val="24"/>
          <w:shd w:val="clear" w:color="auto" w:fill="FFFFFF"/>
        </w:rPr>
        <w:t xml:space="preserve"> </w:t>
      </w:r>
      <w:r w:rsidRPr="003D1F10">
        <w:rPr>
          <w:rStyle w:val="mord"/>
          <w:rFonts w:ascii="Times New Roman" w:eastAsiaTheme="minorEastAsia" w:hAnsi="Times New Roman" w:cs="Times New Roman"/>
          <w:iCs/>
          <w:color w:val="0D0D0D"/>
          <w:sz w:val="24"/>
          <w:szCs w:val="24"/>
          <w:shd w:val="clear" w:color="auto" w:fill="FFFFFF"/>
        </w:rPr>
        <w:t xml:space="preserve">El modelo Fama-French de tres factores es una herramienta ampliamente utilizada en finanzas para explicar los rendimientos de las acciones. Este modelo extiende el Capital </w:t>
      </w:r>
      <w:proofErr w:type="spellStart"/>
      <w:r w:rsidRPr="003D1F10">
        <w:rPr>
          <w:rStyle w:val="mord"/>
          <w:rFonts w:ascii="Times New Roman" w:eastAsiaTheme="minorEastAsia" w:hAnsi="Times New Roman" w:cs="Times New Roman"/>
          <w:iCs/>
          <w:color w:val="0D0D0D"/>
          <w:sz w:val="24"/>
          <w:szCs w:val="24"/>
          <w:shd w:val="clear" w:color="auto" w:fill="FFFFFF"/>
        </w:rPr>
        <w:t>Asset</w:t>
      </w:r>
      <w:proofErr w:type="spellEnd"/>
      <w:r w:rsidRPr="003D1F10">
        <w:rPr>
          <w:rStyle w:val="mord"/>
          <w:rFonts w:ascii="Times New Roman" w:eastAsiaTheme="minorEastAsia" w:hAnsi="Times New Roman" w:cs="Times New Roman"/>
          <w:iCs/>
          <w:color w:val="0D0D0D"/>
          <w:sz w:val="24"/>
          <w:szCs w:val="24"/>
          <w:shd w:val="clear" w:color="auto" w:fill="FFFFFF"/>
        </w:rPr>
        <w:t xml:space="preserve"> </w:t>
      </w:r>
      <w:proofErr w:type="spellStart"/>
      <w:r w:rsidRPr="003D1F10">
        <w:rPr>
          <w:rStyle w:val="mord"/>
          <w:rFonts w:ascii="Times New Roman" w:eastAsiaTheme="minorEastAsia" w:hAnsi="Times New Roman" w:cs="Times New Roman"/>
          <w:iCs/>
          <w:color w:val="0D0D0D"/>
          <w:sz w:val="24"/>
          <w:szCs w:val="24"/>
          <w:shd w:val="clear" w:color="auto" w:fill="FFFFFF"/>
        </w:rPr>
        <w:t>Pricing</w:t>
      </w:r>
      <w:proofErr w:type="spellEnd"/>
      <w:r w:rsidRPr="003D1F10">
        <w:rPr>
          <w:rStyle w:val="mord"/>
          <w:rFonts w:ascii="Times New Roman" w:eastAsiaTheme="minorEastAsia" w:hAnsi="Times New Roman" w:cs="Times New Roman"/>
          <w:iCs/>
          <w:color w:val="0D0D0D"/>
          <w:sz w:val="24"/>
          <w:szCs w:val="24"/>
          <w:shd w:val="clear" w:color="auto" w:fill="FFFFFF"/>
        </w:rPr>
        <w:t xml:space="preserve"> </w:t>
      </w:r>
      <w:proofErr w:type="spellStart"/>
      <w:r w:rsidRPr="003D1F10">
        <w:rPr>
          <w:rStyle w:val="mord"/>
          <w:rFonts w:ascii="Times New Roman" w:eastAsiaTheme="minorEastAsia" w:hAnsi="Times New Roman" w:cs="Times New Roman"/>
          <w:iCs/>
          <w:color w:val="0D0D0D"/>
          <w:sz w:val="24"/>
          <w:szCs w:val="24"/>
          <w:shd w:val="clear" w:color="auto" w:fill="FFFFFF"/>
        </w:rPr>
        <w:t>Model</w:t>
      </w:r>
      <w:proofErr w:type="spellEnd"/>
      <w:r w:rsidRPr="003D1F10">
        <w:rPr>
          <w:rStyle w:val="mord"/>
          <w:rFonts w:ascii="Times New Roman" w:eastAsiaTheme="minorEastAsia" w:hAnsi="Times New Roman" w:cs="Times New Roman"/>
          <w:iCs/>
          <w:color w:val="0D0D0D"/>
          <w:sz w:val="24"/>
          <w:szCs w:val="24"/>
          <w:shd w:val="clear" w:color="auto" w:fill="FFFFFF"/>
        </w:rPr>
        <w:t xml:space="preserve"> (CAPM) al incluir</w:t>
      </w:r>
      <w:r>
        <w:rPr>
          <w:rStyle w:val="mord"/>
          <w:rFonts w:ascii="Times New Roman" w:eastAsiaTheme="minorEastAsia" w:hAnsi="Times New Roman" w:cs="Times New Roman"/>
          <w:iCs/>
          <w:color w:val="0D0D0D"/>
          <w:sz w:val="24"/>
          <w:szCs w:val="24"/>
          <w:shd w:val="clear" w:color="auto" w:fill="FFFFFF"/>
        </w:rPr>
        <w:t xml:space="preserve"> dos factores adicionales</w:t>
      </w:r>
      <w:r w:rsidRPr="003D1F10">
        <w:rPr>
          <w:rStyle w:val="mord"/>
          <w:rFonts w:ascii="Times New Roman" w:eastAsiaTheme="minorEastAsia" w:hAnsi="Times New Roman" w:cs="Times New Roman"/>
          <w:iCs/>
          <w:color w:val="0D0D0D"/>
          <w:sz w:val="24"/>
          <w:szCs w:val="24"/>
          <w:shd w:val="clear" w:color="auto" w:fill="FFFFFF"/>
        </w:rPr>
        <w:t xml:space="preserve">: </w:t>
      </w:r>
      <w:r>
        <w:rPr>
          <w:rStyle w:val="mord"/>
          <w:rFonts w:ascii="Times New Roman" w:eastAsiaTheme="minorEastAsia" w:hAnsi="Times New Roman" w:cs="Times New Roman"/>
          <w:iCs/>
          <w:color w:val="0D0D0D"/>
          <w:sz w:val="24"/>
          <w:szCs w:val="24"/>
          <w:shd w:val="clear" w:color="auto" w:fill="FFFFFF"/>
        </w:rPr>
        <w:t xml:space="preserve">la prima de rentabilidad de las acciones pequeñas con respecto a las grandes </w:t>
      </w:r>
      <w:r w:rsidRPr="003D1F10">
        <w:rPr>
          <w:rStyle w:val="mord"/>
          <w:rFonts w:ascii="Times New Roman" w:eastAsiaTheme="minorEastAsia" w:hAnsi="Times New Roman" w:cs="Times New Roman"/>
          <w:iCs/>
          <w:color w:val="0D0D0D"/>
          <w:sz w:val="24"/>
          <w:szCs w:val="24"/>
          <w:shd w:val="clear" w:color="auto" w:fill="FFFFFF"/>
        </w:rPr>
        <w:t xml:space="preserve">(SMB), y </w:t>
      </w:r>
      <w:r>
        <w:rPr>
          <w:rStyle w:val="mord"/>
          <w:rFonts w:ascii="Times New Roman" w:eastAsiaTheme="minorEastAsia" w:hAnsi="Times New Roman" w:cs="Times New Roman"/>
          <w:iCs/>
          <w:color w:val="0D0D0D"/>
          <w:sz w:val="24"/>
          <w:szCs w:val="24"/>
          <w:shd w:val="clear" w:color="auto" w:fill="FFFFFF"/>
        </w:rPr>
        <w:t>la prima en la rentabilidad de las empresas “</w:t>
      </w:r>
      <w:proofErr w:type="spellStart"/>
      <w:r>
        <w:rPr>
          <w:rStyle w:val="mord"/>
          <w:rFonts w:ascii="Times New Roman" w:eastAsiaTheme="minorEastAsia" w:hAnsi="Times New Roman" w:cs="Times New Roman"/>
          <w:iCs/>
          <w:color w:val="0D0D0D"/>
          <w:sz w:val="24"/>
          <w:szCs w:val="24"/>
          <w:shd w:val="clear" w:color="auto" w:fill="FFFFFF"/>
        </w:rPr>
        <w:t>value</w:t>
      </w:r>
      <w:proofErr w:type="spellEnd"/>
      <w:r>
        <w:rPr>
          <w:rStyle w:val="mord"/>
          <w:rFonts w:ascii="Times New Roman" w:eastAsiaTheme="minorEastAsia" w:hAnsi="Times New Roman" w:cs="Times New Roman"/>
          <w:iCs/>
          <w:color w:val="0D0D0D"/>
          <w:sz w:val="24"/>
          <w:szCs w:val="24"/>
          <w:shd w:val="clear" w:color="auto" w:fill="FFFFFF"/>
        </w:rPr>
        <w:t>” con respecto a las “</w:t>
      </w:r>
      <w:proofErr w:type="spellStart"/>
      <w:r>
        <w:rPr>
          <w:rStyle w:val="mord"/>
          <w:rFonts w:ascii="Times New Roman" w:eastAsiaTheme="minorEastAsia" w:hAnsi="Times New Roman" w:cs="Times New Roman"/>
          <w:iCs/>
          <w:color w:val="0D0D0D"/>
          <w:sz w:val="24"/>
          <w:szCs w:val="24"/>
          <w:shd w:val="clear" w:color="auto" w:fill="FFFFFF"/>
        </w:rPr>
        <w:t>growth</w:t>
      </w:r>
      <w:proofErr w:type="spellEnd"/>
      <w:r>
        <w:rPr>
          <w:rStyle w:val="mord"/>
          <w:rFonts w:ascii="Times New Roman" w:eastAsiaTheme="minorEastAsia" w:hAnsi="Times New Roman" w:cs="Times New Roman"/>
          <w:iCs/>
          <w:color w:val="0D0D0D"/>
          <w:sz w:val="24"/>
          <w:szCs w:val="24"/>
          <w:shd w:val="clear" w:color="auto" w:fill="FFFFFF"/>
        </w:rPr>
        <w:t xml:space="preserve">” </w:t>
      </w:r>
      <w:r w:rsidRPr="003D1F10">
        <w:rPr>
          <w:rStyle w:val="mord"/>
          <w:rFonts w:ascii="Times New Roman" w:eastAsiaTheme="minorEastAsia" w:hAnsi="Times New Roman" w:cs="Times New Roman"/>
          <w:iCs/>
          <w:color w:val="0D0D0D"/>
          <w:sz w:val="24"/>
          <w:szCs w:val="24"/>
          <w:shd w:val="clear" w:color="auto" w:fill="FFFFFF"/>
        </w:rPr>
        <w:t>(HML). Estos factores ayudan a capturar las variaciones en los rendimientos que no pueden ser explicadas solo por el rendimiento del mercado.</w:t>
      </w:r>
    </w:p>
    <w:p w14:paraId="4C856D7F" w14:textId="0AB20FA2" w:rsidR="003B3576" w:rsidRDefault="003D1F10" w:rsidP="003D1F10">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En el modelo propuesto</w:t>
      </w:r>
      <w:r w:rsidRPr="003D1F10">
        <w:rPr>
          <w:rStyle w:val="mord"/>
          <w:rFonts w:ascii="Times New Roman" w:eastAsiaTheme="minorEastAsia" w:hAnsi="Times New Roman" w:cs="Times New Roman"/>
          <w:iCs/>
          <w:color w:val="0D0D0D"/>
          <w:sz w:val="24"/>
          <w:szCs w:val="24"/>
          <w:shd w:val="clear" w:color="auto" w:fill="FFFFFF"/>
        </w:rPr>
        <w:t xml:space="preserve">, </w:t>
      </w:r>
      <w:r>
        <w:rPr>
          <w:rStyle w:val="mord"/>
          <w:rFonts w:ascii="Times New Roman" w:eastAsiaTheme="minorEastAsia" w:hAnsi="Times New Roman" w:cs="Times New Roman"/>
          <w:iCs/>
          <w:color w:val="0D0D0D"/>
          <w:sz w:val="24"/>
          <w:szCs w:val="24"/>
          <w:shd w:val="clear" w:color="auto" w:fill="FFFFFF"/>
        </w:rPr>
        <w:t xml:space="preserve">se ha </w:t>
      </w:r>
      <w:r w:rsidRPr="003D1F10">
        <w:rPr>
          <w:rStyle w:val="mord"/>
          <w:rFonts w:ascii="Times New Roman" w:eastAsiaTheme="minorEastAsia" w:hAnsi="Times New Roman" w:cs="Times New Roman"/>
          <w:iCs/>
          <w:color w:val="0D0D0D"/>
          <w:sz w:val="24"/>
          <w:szCs w:val="24"/>
          <w:shd w:val="clear" w:color="auto" w:fill="FFFFFF"/>
        </w:rPr>
        <w:t>incluido un cuarto factor que representa la variación de los flujos monetarios netos hacia los ETFs de gestión pasiva. Este factor adicional nos permite investigar si los flujos de capital hacia estos ETFs tienen un impacto directo en los rendimientos de las acciones del S&amp;P 500.</w:t>
      </w:r>
    </w:p>
    <w:p w14:paraId="7FA1EB67" w14:textId="211D595A" w:rsidR="003D1F10" w:rsidRDefault="00D52446" w:rsidP="003D1F10">
      <w:pPr>
        <w:spacing w:line="360" w:lineRule="auto"/>
        <w:jc w:val="both"/>
        <w:rPr>
          <w:rStyle w:val="mord"/>
          <w:rFonts w:ascii="Times New Roman" w:eastAsiaTheme="minorEastAsia" w:hAnsi="Times New Roman" w:cs="Times New Roman"/>
          <w:iCs/>
          <w:color w:val="0D0D0D"/>
          <w:sz w:val="24"/>
          <w:szCs w:val="24"/>
          <w:shd w:val="clear" w:color="auto" w:fill="FFFFFF"/>
        </w:rPr>
      </w:pPr>
      <w:r>
        <w:rPr>
          <w:rStyle w:val="mord"/>
          <w:rFonts w:ascii="Times New Roman" w:eastAsiaTheme="minorEastAsia" w:hAnsi="Times New Roman" w:cs="Times New Roman"/>
          <w:iCs/>
          <w:color w:val="0D0D0D"/>
          <w:sz w:val="24"/>
          <w:szCs w:val="24"/>
          <w:shd w:val="clear" w:color="auto" w:fill="FFFFFF"/>
        </w:rPr>
        <w:t>A continuación, se expone el modelo empleado:</w:t>
      </w:r>
    </w:p>
    <w:p w14:paraId="101B471C" w14:textId="4D88B276" w:rsidR="003D1F10" w:rsidRPr="00D52446" w:rsidRDefault="003D1F10" w:rsidP="00D5244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center"/>
        <w:rPr>
          <w:color w:val="0D0D0D"/>
          <w14:ligatures w14:val="none"/>
        </w:rPr>
      </w:pPr>
      <w:proofErr w:type="spellStart"/>
      <w:r w:rsidRPr="00D52446">
        <w:rPr>
          <w:i/>
          <w:iCs/>
          <w:color w:val="0D0D0D"/>
          <w:bdr w:val="single" w:sz="2" w:space="0" w:color="E3E3E3" w:frame="1"/>
          <w14:ligatures w14:val="none"/>
        </w:rPr>
        <w:t>Ri</w:t>
      </w:r>
      <w:proofErr w:type="spellEnd"/>
      <w:r w:rsidRPr="00D52446">
        <w:rPr>
          <w:color w:val="0D0D0D"/>
          <w:bdr w:val="single" w:sz="2" w:space="0" w:color="E3E3E3" w:frame="1"/>
          <w14:ligatures w14:val="none"/>
        </w:rPr>
        <w:t>​−</w:t>
      </w:r>
      <w:r w:rsidRPr="00D52446">
        <w:rPr>
          <w:i/>
          <w:iCs/>
          <w:color w:val="0D0D0D"/>
          <w:bdr w:val="single" w:sz="2" w:space="0" w:color="E3E3E3" w:frame="1"/>
          <w14:ligatures w14:val="none"/>
        </w:rPr>
        <w:t>Rf</w:t>
      </w:r>
      <w:r w:rsidRPr="00D52446">
        <w:rPr>
          <w:color w:val="0D0D0D"/>
          <w:bdr w:val="single" w:sz="2" w:space="0" w:color="E3E3E3" w:frame="1"/>
          <w14:ligatures w14:val="none"/>
        </w:rPr>
        <w:t>​=</w:t>
      </w:r>
      <w:r w:rsidRPr="00D52446">
        <w:rPr>
          <w:i/>
          <w:iCs/>
          <w:color w:val="0D0D0D"/>
          <w:bdr w:val="single" w:sz="2" w:space="0" w:color="E3E3E3" w:frame="1"/>
          <w14:ligatures w14:val="none"/>
        </w:rPr>
        <w:t>α</w:t>
      </w:r>
      <w:r w:rsidRPr="00D52446">
        <w:rPr>
          <w:color w:val="0D0D0D"/>
          <w:bdr w:val="single" w:sz="2" w:space="0" w:color="E3E3E3" w:frame="1"/>
          <w14:ligatures w14:val="none"/>
        </w:rPr>
        <w:t>+</w:t>
      </w:r>
      <w:r w:rsidRPr="00D52446">
        <w:rPr>
          <w:i/>
          <w:iCs/>
          <w:color w:val="0D0D0D"/>
          <w:bdr w:val="single" w:sz="2" w:space="0" w:color="E3E3E3" w:frame="1"/>
          <w14:ligatures w14:val="none"/>
        </w:rPr>
        <w:t>β</w:t>
      </w:r>
      <w:r w:rsidRPr="00D52446">
        <w:rPr>
          <w:color w:val="0D0D0D"/>
          <w:bdr w:val="single" w:sz="2" w:space="0" w:color="E3E3E3" w:frame="1"/>
          <w14:ligatures w14:val="none"/>
        </w:rPr>
        <w:t>1​(</w:t>
      </w:r>
      <w:proofErr w:type="spellStart"/>
      <w:r w:rsidRPr="00D52446">
        <w:rPr>
          <w:i/>
          <w:iCs/>
          <w:color w:val="0D0D0D"/>
          <w:bdr w:val="single" w:sz="2" w:space="0" w:color="E3E3E3" w:frame="1"/>
          <w14:ligatures w14:val="none"/>
        </w:rPr>
        <w:t>Rm</w:t>
      </w:r>
      <w:proofErr w:type="spellEnd"/>
      <w:r w:rsidRPr="00D52446">
        <w:rPr>
          <w:color w:val="0D0D0D"/>
          <w:bdr w:val="single" w:sz="2" w:space="0" w:color="E3E3E3" w:frame="1"/>
          <w14:ligatures w14:val="none"/>
        </w:rPr>
        <w:t>​−</w:t>
      </w:r>
      <w:r w:rsidRPr="00D52446">
        <w:rPr>
          <w:i/>
          <w:iCs/>
          <w:color w:val="0D0D0D"/>
          <w:bdr w:val="single" w:sz="2" w:space="0" w:color="E3E3E3" w:frame="1"/>
          <w14:ligatures w14:val="none"/>
        </w:rPr>
        <w:t>Rf</w:t>
      </w:r>
      <w:r w:rsidRPr="00D52446">
        <w:rPr>
          <w:color w:val="0D0D0D"/>
          <w:bdr w:val="single" w:sz="2" w:space="0" w:color="E3E3E3" w:frame="1"/>
          <w14:ligatures w14:val="none"/>
        </w:rPr>
        <w:t>​)+</w:t>
      </w:r>
      <w:r w:rsidRPr="00D52446">
        <w:rPr>
          <w:i/>
          <w:iCs/>
          <w:color w:val="0D0D0D"/>
          <w:bdr w:val="single" w:sz="2" w:space="0" w:color="E3E3E3" w:frame="1"/>
          <w14:ligatures w14:val="none"/>
        </w:rPr>
        <w:t>β</w:t>
      </w:r>
      <w:r w:rsidRPr="00D52446">
        <w:rPr>
          <w:color w:val="0D0D0D"/>
          <w:bdr w:val="single" w:sz="2" w:space="0" w:color="E3E3E3" w:frame="1"/>
          <w14:ligatures w14:val="none"/>
        </w:rPr>
        <w:t>2​</w:t>
      </w:r>
      <w:r w:rsidRPr="00D52446">
        <w:rPr>
          <w:i/>
          <w:iCs/>
          <w:color w:val="0D0D0D"/>
          <w:bdr w:val="single" w:sz="2" w:space="0" w:color="E3E3E3" w:frame="1"/>
          <w14:ligatures w14:val="none"/>
        </w:rPr>
        <w:t>SMB</w:t>
      </w:r>
      <w:r w:rsidRPr="00D52446">
        <w:rPr>
          <w:color w:val="0D0D0D"/>
          <w:bdr w:val="single" w:sz="2" w:space="0" w:color="E3E3E3" w:frame="1"/>
          <w14:ligatures w14:val="none"/>
        </w:rPr>
        <w:t>+</w:t>
      </w:r>
      <w:r w:rsidRPr="00D52446">
        <w:rPr>
          <w:i/>
          <w:iCs/>
          <w:color w:val="0D0D0D"/>
          <w:bdr w:val="single" w:sz="2" w:space="0" w:color="E3E3E3" w:frame="1"/>
          <w14:ligatures w14:val="none"/>
        </w:rPr>
        <w:t>β</w:t>
      </w:r>
      <w:r w:rsidRPr="00D52446">
        <w:rPr>
          <w:color w:val="0D0D0D"/>
          <w:bdr w:val="single" w:sz="2" w:space="0" w:color="E3E3E3" w:frame="1"/>
          <w14:ligatures w14:val="none"/>
        </w:rPr>
        <w:t>3​</w:t>
      </w:r>
      <w:r w:rsidRPr="00D52446">
        <w:rPr>
          <w:i/>
          <w:iCs/>
          <w:color w:val="0D0D0D"/>
          <w:bdr w:val="single" w:sz="2" w:space="0" w:color="E3E3E3" w:frame="1"/>
          <w14:ligatures w14:val="none"/>
        </w:rPr>
        <w:t>HML</w:t>
      </w:r>
      <w:r w:rsidRPr="00D52446">
        <w:rPr>
          <w:color w:val="0D0D0D"/>
          <w:bdr w:val="single" w:sz="2" w:space="0" w:color="E3E3E3" w:frame="1"/>
          <w14:ligatures w14:val="none"/>
        </w:rPr>
        <w:t>+</w:t>
      </w:r>
      <w:r w:rsidRPr="00D52446">
        <w:rPr>
          <w:i/>
          <w:iCs/>
          <w:color w:val="0D0D0D"/>
          <w:bdr w:val="single" w:sz="2" w:space="0" w:color="E3E3E3" w:frame="1"/>
          <w14:ligatures w14:val="none"/>
        </w:rPr>
        <w:t>β</w:t>
      </w:r>
      <w:r w:rsidRPr="00D52446">
        <w:rPr>
          <w:color w:val="0D0D0D"/>
          <w:bdr w:val="single" w:sz="2" w:space="0" w:color="E3E3E3" w:frame="1"/>
          <w14:ligatures w14:val="none"/>
        </w:rPr>
        <w:t>4​</w:t>
      </w:r>
      <w:proofErr w:type="spellStart"/>
      <w:r w:rsidRPr="00D52446">
        <w:rPr>
          <w:color w:val="0D0D0D"/>
          <w:bdr w:val="single" w:sz="2" w:space="0" w:color="E3E3E3" w:frame="1"/>
          <w14:ligatures w14:val="none"/>
        </w:rPr>
        <w:t>ΔFlujos</w:t>
      </w:r>
      <w:proofErr w:type="spellEnd"/>
      <w:r w:rsidRPr="00D52446">
        <w:rPr>
          <w:color w:val="0D0D0D"/>
          <w:bdr w:val="single" w:sz="2" w:space="0" w:color="E3E3E3" w:frame="1"/>
          <w14:ligatures w14:val="none"/>
        </w:rPr>
        <w:t>+</w:t>
      </w:r>
      <w:r w:rsidRPr="00D52446">
        <w:rPr>
          <w:i/>
          <w:iCs/>
          <w:color w:val="0D0D0D"/>
          <w:bdr w:val="single" w:sz="2" w:space="0" w:color="E3E3E3" w:frame="1"/>
          <w14:ligatures w14:val="none"/>
        </w:rPr>
        <w:t>ϵi</w:t>
      </w:r>
      <w:r w:rsidRPr="00D52446">
        <w:rPr>
          <w:color w:val="0D0D0D"/>
          <w:bdr w:val="single" w:sz="2" w:space="0" w:color="E3E3E3" w:frame="1"/>
          <w14:ligatures w14:val="none"/>
        </w:rPr>
        <w:t>​</w:t>
      </w:r>
    </w:p>
    <w:p w14:paraId="0183AC9B" w14:textId="77777777" w:rsidR="003D1F10" w:rsidRPr="003D1F10" w:rsidRDefault="003D1F10" w:rsidP="003D1F1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Times New Roman" w:eastAsia="Times New Roman" w:hAnsi="Times New Roman" w:cs="Times New Roman"/>
          <w:color w:val="0D0D0D"/>
          <w:kern w:val="0"/>
          <w:sz w:val="24"/>
          <w:szCs w:val="24"/>
          <w:lang w:eastAsia="es-ES"/>
          <w14:ligatures w14:val="none"/>
        </w:rPr>
      </w:pPr>
      <w:r w:rsidRPr="003D1F10">
        <w:rPr>
          <w:rFonts w:ascii="Times New Roman" w:eastAsia="Times New Roman" w:hAnsi="Times New Roman" w:cs="Times New Roman"/>
          <w:color w:val="0D0D0D"/>
          <w:kern w:val="0"/>
          <w:sz w:val="24"/>
          <w:szCs w:val="24"/>
          <w:lang w:eastAsia="es-ES"/>
          <w14:ligatures w14:val="none"/>
        </w:rPr>
        <w:t>Donde:</w:t>
      </w:r>
    </w:p>
    <w:p w14:paraId="338168F6" w14:textId="7E465286" w:rsidR="003D1F10" w:rsidRPr="003D1F10"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4"/>
          <w:szCs w:val="24"/>
          <w:lang w:eastAsia="es-ES"/>
          <w14:ligatures w14:val="none"/>
        </w:rPr>
      </w:pPr>
      <w:proofErr w:type="spellStart"/>
      <w:r w:rsidRPr="003D1F10">
        <w:rPr>
          <w:rFonts w:ascii="Times New Roman" w:eastAsia="Times New Roman" w:hAnsi="Times New Roman" w:cs="Times New Roman"/>
          <w:b/>
          <w:bCs/>
          <w:i/>
          <w:iCs/>
          <w:color w:val="0D0D0D"/>
          <w:kern w:val="0"/>
          <w:sz w:val="24"/>
          <w:szCs w:val="24"/>
          <w:bdr w:val="single" w:sz="2" w:space="0" w:color="E3E3E3" w:frame="1"/>
          <w:lang w:eastAsia="es-ES"/>
          <w14:ligatures w14:val="none"/>
        </w:rPr>
        <w:t>Ri</w:t>
      </w:r>
      <w:proofErr w:type="spellEnd"/>
      <w:r w:rsidRPr="003D1F10">
        <w:rPr>
          <w:rFonts w:ascii="Times New Roman" w:eastAsia="Times New Roman" w:hAnsi="Times New Roman" w:cs="Times New Roman"/>
          <w:b/>
          <w:bCs/>
          <w:color w:val="0D0D0D"/>
          <w:kern w:val="0"/>
          <w:sz w:val="24"/>
          <w:szCs w:val="24"/>
          <w:bdr w:val="single" w:sz="2" w:space="0" w:color="E3E3E3" w:frame="1"/>
          <w:lang w:eastAsia="es-ES"/>
          <w14:ligatures w14:val="none"/>
        </w:rPr>
        <w:t>​</w:t>
      </w:r>
      <w:r w:rsidRPr="003D1F10">
        <w:rPr>
          <w:rFonts w:ascii="Times New Roman" w:eastAsia="Times New Roman" w:hAnsi="Times New Roman" w:cs="Times New Roman"/>
          <w:color w:val="0D0D0D"/>
          <w:kern w:val="0"/>
          <w:sz w:val="24"/>
          <w:szCs w:val="24"/>
          <w:lang w:eastAsia="es-ES"/>
          <w14:ligatures w14:val="none"/>
        </w:rPr>
        <w:t xml:space="preserve"> es el rendimiento de la acción </w:t>
      </w:r>
      <w:r w:rsidRPr="003D1F10">
        <w:rPr>
          <w:rFonts w:ascii="Times New Roman" w:eastAsia="Times New Roman" w:hAnsi="Times New Roman" w:cs="Times New Roman"/>
          <w:i/>
          <w:iCs/>
          <w:color w:val="0D0D0D"/>
          <w:kern w:val="0"/>
          <w:sz w:val="24"/>
          <w:szCs w:val="24"/>
          <w:bdr w:val="single" w:sz="2" w:space="0" w:color="E3E3E3" w:frame="1"/>
          <w:lang w:eastAsia="es-ES"/>
          <w14:ligatures w14:val="none"/>
        </w:rPr>
        <w:t>i</w:t>
      </w:r>
      <w:r w:rsidRPr="003D1F10">
        <w:rPr>
          <w:rFonts w:ascii="Times New Roman" w:eastAsia="Times New Roman" w:hAnsi="Times New Roman" w:cs="Times New Roman"/>
          <w:color w:val="0D0D0D"/>
          <w:kern w:val="0"/>
          <w:sz w:val="24"/>
          <w:szCs w:val="24"/>
          <w:lang w:eastAsia="es-ES"/>
          <w14:ligatures w14:val="none"/>
        </w:rPr>
        <w:t>.</w:t>
      </w:r>
    </w:p>
    <w:p w14:paraId="06A4771E" w14:textId="1AC1E264" w:rsidR="003D1F10" w:rsidRPr="003D1F10"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4"/>
          <w:szCs w:val="24"/>
          <w:lang w:eastAsia="es-ES"/>
          <w14:ligatures w14:val="none"/>
        </w:rPr>
      </w:pPr>
      <w:r w:rsidRPr="003D1F10">
        <w:rPr>
          <w:rFonts w:ascii="Times New Roman" w:eastAsia="Times New Roman" w:hAnsi="Times New Roman" w:cs="Times New Roman"/>
          <w:b/>
          <w:bCs/>
          <w:i/>
          <w:iCs/>
          <w:color w:val="0D0D0D"/>
          <w:kern w:val="0"/>
          <w:sz w:val="24"/>
          <w:szCs w:val="24"/>
          <w:bdr w:val="single" w:sz="2" w:space="0" w:color="E3E3E3" w:frame="1"/>
          <w:lang w:eastAsia="es-ES"/>
          <w14:ligatures w14:val="none"/>
        </w:rPr>
        <w:t>Rf</w:t>
      </w:r>
      <w:r w:rsidRPr="003D1F10">
        <w:rPr>
          <w:rFonts w:ascii="Times New Roman" w:eastAsia="Times New Roman" w:hAnsi="Times New Roman" w:cs="Times New Roman"/>
          <w:b/>
          <w:bCs/>
          <w:color w:val="0D0D0D"/>
          <w:kern w:val="0"/>
          <w:sz w:val="24"/>
          <w:szCs w:val="24"/>
          <w:bdr w:val="single" w:sz="2" w:space="0" w:color="E3E3E3" w:frame="1"/>
          <w:lang w:eastAsia="es-ES"/>
          <w14:ligatures w14:val="none"/>
        </w:rPr>
        <w:t>​</w:t>
      </w:r>
      <w:r w:rsidRPr="003D1F10">
        <w:rPr>
          <w:rFonts w:ascii="Times New Roman" w:eastAsia="Times New Roman" w:hAnsi="Times New Roman" w:cs="Times New Roman"/>
          <w:color w:val="0D0D0D"/>
          <w:kern w:val="0"/>
          <w:sz w:val="24"/>
          <w:szCs w:val="24"/>
          <w:lang w:eastAsia="es-ES"/>
          <w14:ligatures w14:val="none"/>
        </w:rPr>
        <w:t xml:space="preserve"> es la tasa libre de riesgo.</w:t>
      </w:r>
    </w:p>
    <w:p w14:paraId="6E7A7F64" w14:textId="53FC88EF" w:rsidR="003D1F10" w:rsidRPr="003D1F10"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4"/>
          <w:szCs w:val="24"/>
          <w:lang w:eastAsia="es-ES"/>
          <w14:ligatures w14:val="none"/>
        </w:rPr>
      </w:pPr>
      <w:proofErr w:type="spellStart"/>
      <w:r w:rsidRPr="003D1F10">
        <w:rPr>
          <w:rFonts w:ascii="Times New Roman" w:eastAsia="Times New Roman" w:hAnsi="Times New Roman" w:cs="Times New Roman"/>
          <w:b/>
          <w:bCs/>
          <w:i/>
          <w:iCs/>
          <w:color w:val="0D0D0D"/>
          <w:kern w:val="0"/>
          <w:sz w:val="24"/>
          <w:szCs w:val="24"/>
          <w:bdr w:val="single" w:sz="2" w:space="0" w:color="E3E3E3" w:frame="1"/>
          <w:lang w:eastAsia="es-ES"/>
          <w14:ligatures w14:val="none"/>
        </w:rPr>
        <w:t>Rm</w:t>
      </w:r>
      <w:proofErr w:type="spellEnd"/>
      <w:r w:rsidRPr="003D1F10">
        <w:rPr>
          <w:rFonts w:ascii="Times New Roman" w:eastAsia="Times New Roman" w:hAnsi="Times New Roman" w:cs="Times New Roman"/>
          <w:b/>
          <w:bCs/>
          <w:color w:val="0D0D0D"/>
          <w:kern w:val="0"/>
          <w:sz w:val="24"/>
          <w:szCs w:val="24"/>
          <w:bdr w:val="single" w:sz="2" w:space="0" w:color="E3E3E3" w:frame="1"/>
          <w:lang w:eastAsia="es-ES"/>
          <w14:ligatures w14:val="none"/>
        </w:rPr>
        <w:t>​</w:t>
      </w:r>
      <w:r w:rsidRPr="003D1F10">
        <w:rPr>
          <w:rFonts w:ascii="Times New Roman" w:eastAsia="Times New Roman" w:hAnsi="Times New Roman" w:cs="Times New Roman"/>
          <w:color w:val="0D0D0D"/>
          <w:kern w:val="0"/>
          <w:sz w:val="24"/>
          <w:szCs w:val="24"/>
          <w:lang w:eastAsia="es-ES"/>
          <w14:ligatures w14:val="none"/>
        </w:rPr>
        <w:t xml:space="preserve"> es el rendimiento del mercado.</w:t>
      </w:r>
    </w:p>
    <w:p w14:paraId="6C761E71" w14:textId="74377A3D" w:rsidR="003D1F10" w:rsidRPr="003D1F10"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120" w:after="120" w:line="360" w:lineRule="auto"/>
        <w:rPr>
          <w:rFonts w:ascii="Times New Roman" w:eastAsia="Times New Roman" w:hAnsi="Times New Roman" w:cs="Times New Roman"/>
          <w:color w:val="0D0D0D"/>
          <w:kern w:val="0"/>
          <w:sz w:val="24"/>
          <w:szCs w:val="24"/>
          <w:lang w:eastAsia="es-ES"/>
          <w14:ligatures w14:val="none"/>
        </w:rPr>
      </w:pPr>
      <w:r w:rsidRPr="003D1F10">
        <w:rPr>
          <w:rFonts w:ascii="Times New Roman" w:eastAsia="Times New Roman" w:hAnsi="Times New Roman" w:cs="Times New Roman"/>
          <w:b/>
          <w:bCs/>
          <w:color w:val="0D0D0D"/>
          <w:kern w:val="0"/>
          <w:sz w:val="24"/>
          <w:szCs w:val="24"/>
          <w:lang w:eastAsia="es-ES"/>
          <w14:ligatures w14:val="none"/>
        </w:rPr>
        <w:t xml:space="preserve">SMB (Small </w:t>
      </w:r>
      <w:proofErr w:type="spellStart"/>
      <w:r w:rsidRPr="003D1F10">
        <w:rPr>
          <w:rFonts w:ascii="Times New Roman" w:eastAsia="Times New Roman" w:hAnsi="Times New Roman" w:cs="Times New Roman"/>
          <w:b/>
          <w:bCs/>
          <w:color w:val="0D0D0D"/>
          <w:kern w:val="0"/>
          <w:sz w:val="24"/>
          <w:szCs w:val="24"/>
          <w:lang w:eastAsia="es-ES"/>
          <w14:ligatures w14:val="none"/>
        </w:rPr>
        <w:t>Minus</w:t>
      </w:r>
      <w:proofErr w:type="spellEnd"/>
      <w:r w:rsidRPr="003D1F10">
        <w:rPr>
          <w:rFonts w:ascii="Times New Roman" w:eastAsia="Times New Roman" w:hAnsi="Times New Roman" w:cs="Times New Roman"/>
          <w:b/>
          <w:bCs/>
          <w:color w:val="0D0D0D"/>
          <w:kern w:val="0"/>
          <w:sz w:val="24"/>
          <w:szCs w:val="24"/>
          <w:lang w:eastAsia="es-ES"/>
          <w14:ligatures w14:val="none"/>
        </w:rPr>
        <w:t xml:space="preserve"> Big)</w:t>
      </w:r>
      <w:r w:rsidRPr="003D1F10">
        <w:rPr>
          <w:rFonts w:ascii="Times New Roman" w:eastAsia="Times New Roman" w:hAnsi="Times New Roman" w:cs="Times New Roman"/>
          <w:color w:val="0D0D0D"/>
          <w:kern w:val="0"/>
          <w:sz w:val="24"/>
          <w:szCs w:val="24"/>
          <w:lang w:eastAsia="es-ES"/>
          <w14:ligatures w14:val="none"/>
        </w:rPr>
        <w:t xml:space="preserve"> es la diferencia de rendimientos entre </w:t>
      </w:r>
      <w:r w:rsidR="00D52446">
        <w:rPr>
          <w:rFonts w:ascii="Times New Roman" w:eastAsia="Times New Roman" w:hAnsi="Times New Roman" w:cs="Times New Roman"/>
          <w:color w:val="0D0D0D"/>
          <w:kern w:val="0"/>
          <w:sz w:val="24"/>
          <w:szCs w:val="24"/>
          <w:lang w:eastAsia="es-ES"/>
          <w14:ligatures w14:val="none"/>
        </w:rPr>
        <w:t xml:space="preserve">una cartera </w:t>
      </w:r>
      <w:r w:rsidRPr="003D1F10">
        <w:rPr>
          <w:rFonts w:ascii="Times New Roman" w:eastAsia="Times New Roman" w:hAnsi="Times New Roman" w:cs="Times New Roman"/>
          <w:color w:val="0D0D0D"/>
          <w:kern w:val="0"/>
          <w:sz w:val="24"/>
          <w:szCs w:val="24"/>
          <w:lang w:eastAsia="es-ES"/>
          <w14:ligatures w14:val="none"/>
        </w:rPr>
        <w:t>de pequeñas empresas y un</w:t>
      </w:r>
      <w:r w:rsidR="00D52446">
        <w:rPr>
          <w:rFonts w:ascii="Times New Roman" w:eastAsia="Times New Roman" w:hAnsi="Times New Roman" w:cs="Times New Roman"/>
          <w:color w:val="0D0D0D"/>
          <w:kern w:val="0"/>
          <w:sz w:val="24"/>
          <w:szCs w:val="24"/>
          <w:lang w:eastAsia="es-ES"/>
          <w14:ligatures w14:val="none"/>
        </w:rPr>
        <w:t>a</w:t>
      </w:r>
      <w:r w:rsidRPr="003D1F10">
        <w:rPr>
          <w:rFonts w:ascii="Times New Roman" w:eastAsia="Times New Roman" w:hAnsi="Times New Roman" w:cs="Times New Roman"/>
          <w:color w:val="0D0D0D"/>
          <w:kern w:val="0"/>
          <w:sz w:val="24"/>
          <w:szCs w:val="24"/>
          <w:lang w:eastAsia="es-ES"/>
          <w14:ligatures w14:val="none"/>
        </w:rPr>
        <w:t xml:space="preserve"> de grandes empresas.</w:t>
      </w:r>
    </w:p>
    <w:p w14:paraId="0A7AC812" w14:textId="76854F1D" w:rsidR="003D1F10" w:rsidRPr="003D1F10"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120" w:after="120" w:line="360" w:lineRule="auto"/>
        <w:rPr>
          <w:rFonts w:ascii="Times New Roman" w:eastAsia="Times New Roman" w:hAnsi="Times New Roman" w:cs="Times New Roman"/>
          <w:color w:val="0D0D0D"/>
          <w:kern w:val="0"/>
          <w:sz w:val="24"/>
          <w:szCs w:val="24"/>
          <w:lang w:eastAsia="es-ES"/>
          <w14:ligatures w14:val="none"/>
        </w:rPr>
      </w:pPr>
      <w:r w:rsidRPr="003D1F10">
        <w:rPr>
          <w:rFonts w:ascii="Times New Roman" w:eastAsia="Times New Roman" w:hAnsi="Times New Roman" w:cs="Times New Roman"/>
          <w:b/>
          <w:bCs/>
          <w:color w:val="0D0D0D"/>
          <w:kern w:val="0"/>
          <w:sz w:val="24"/>
          <w:szCs w:val="24"/>
          <w:lang w:eastAsia="es-ES"/>
          <w14:ligatures w14:val="none"/>
        </w:rPr>
        <w:t xml:space="preserve">HML (High </w:t>
      </w:r>
      <w:proofErr w:type="spellStart"/>
      <w:r w:rsidRPr="003D1F10">
        <w:rPr>
          <w:rFonts w:ascii="Times New Roman" w:eastAsia="Times New Roman" w:hAnsi="Times New Roman" w:cs="Times New Roman"/>
          <w:b/>
          <w:bCs/>
          <w:color w:val="0D0D0D"/>
          <w:kern w:val="0"/>
          <w:sz w:val="24"/>
          <w:szCs w:val="24"/>
          <w:lang w:eastAsia="es-ES"/>
          <w14:ligatures w14:val="none"/>
        </w:rPr>
        <w:t>Minus</w:t>
      </w:r>
      <w:proofErr w:type="spellEnd"/>
      <w:r w:rsidRPr="003D1F10">
        <w:rPr>
          <w:rFonts w:ascii="Times New Roman" w:eastAsia="Times New Roman" w:hAnsi="Times New Roman" w:cs="Times New Roman"/>
          <w:b/>
          <w:bCs/>
          <w:color w:val="0D0D0D"/>
          <w:kern w:val="0"/>
          <w:sz w:val="24"/>
          <w:szCs w:val="24"/>
          <w:lang w:eastAsia="es-ES"/>
          <w14:ligatures w14:val="none"/>
        </w:rPr>
        <w:t xml:space="preserve"> Low)</w:t>
      </w:r>
      <w:r w:rsidRPr="003D1F10">
        <w:rPr>
          <w:rFonts w:ascii="Times New Roman" w:eastAsia="Times New Roman" w:hAnsi="Times New Roman" w:cs="Times New Roman"/>
          <w:color w:val="0D0D0D"/>
          <w:kern w:val="0"/>
          <w:sz w:val="24"/>
          <w:szCs w:val="24"/>
          <w:lang w:eastAsia="es-ES"/>
          <w14:ligatures w14:val="none"/>
        </w:rPr>
        <w:t xml:space="preserve"> es la diferencia de rendimientos entre un</w:t>
      </w:r>
      <w:r w:rsidR="00D52446">
        <w:rPr>
          <w:rFonts w:ascii="Times New Roman" w:eastAsia="Times New Roman" w:hAnsi="Times New Roman" w:cs="Times New Roman"/>
          <w:color w:val="0D0D0D"/>
          <w:kern w:val="0"/>
          <w:sz w:val="24"/>
          <w:szCs w:val="24"/>
          <w:lang w:eastAsia="es-ES"/>
          <w14:ligatures w14:val="none"/>
        </w:rPr>
        <w:t xml:space="preserve">a cartera </w:t>
      </w:r>
      <w:r w:rsidRPr="003D1F10">
        <w:rPr>
          <w:rFonts w:ascii="Times New Roman" w:eastAsia="Times New Roman" w:hAnsi="Times New Roman" w:cs="Times New Roman"/>
          <w:color w:val="0D0D0D"/>
          <w:kern w:val="0"/>
          <w:sz w:val="24"/>
          <w:szCs w:val="24"/>
          <w:lang w:eastAsia="es-ES"/>
          <w14:ligatures w14:val="none"/>
        </w:rPr>
        <w:t xml:space="preserve">de empresas </w:t>
      </w:r>
      <w:r w:rsidR="00D52446">
        <w:rPr>
          <w:rFonts w:ascii="Times New Roman" w:eastAsia="Times New Roman" w:hAnsi="Times New Roman" w:cs="Times New Roman"/>
          <w:color w:val="0D0D0D"/>
          <w:kern w:val="0"/>
          <w:sz w:val="24"/>
          <w:szCs w:val="24"/>
          <w:lang w:eastAsia="es-ES"/>
          <w14:ligatures w14:val="none"/>
        </w:rPr>
        <w:t>“</w:t>
      </w:r>
      <w:proofErr w:type="spellStart"/>
      <w:r w:rsidR="00D52446">
        <w:rPr>
          <w:rFonts w:ascii="Times New Roman" w:eastAsia="Times New Roman" w:hAnsi="Times New Roman" w:cs="Times New Roman"/>
          <w:color w:val="0D0D0D"/>
          <w:kern w:val="0"/>
          <w:sz w:val="24"/>
          <w:szCs w:val="24"/>
          <w:lang w:eastAsia="es-ES"/>
          <w14:ligatures w14:val="none"/>
        </w:rPr>
        <w:t>Value</w:t>
      </w:r>
      <w:proofErr w:type="spellEnd"/>
      <w:r w:rsidR="00D52446">
        <w:rPr>
          <w:rFonts w:ascii="Times New Roman" w:eastAsia="Times New Roman" w:hAnsi="Times New Roman" w:cs="Times New Roman"/>
          <w:color w:val="0D0D0D"/>
          <w:kern w:val="0"/>
          <w:sz w:val="24"/>
          <w:szCs w:val="24"/>
          <w:lang w:eastAsia="es-ES"/>
          <w14:ligatures w14:val="none"/>
        </w:rPr>
        <w:t>” y una con empresas “</w:t>
      </w:r>
      <w:proofErr w:type="spellStart"/>
      <w:r w:rsidR="00D52446">
        <w:rPr>
          <w:rFonts w:ascii="Times New Roman" w:eastAsia="Times New Roman" w:hAnsi="Times New Roman" w:cs="Times New Roman"/>
          <w:color w:val="0D0D0D"/>
          <w:kern w:val="0"/>
          <w:sz w:val="24"/>
          <w:szCs w:val="24"/>
          <w:lang w:eastAsia="es-ES"/>
          <w14:ligatures w14:val="none"/>
        </w:rPr>
        <w:t>Growth</w:t>
      </w:r>
      <w:proofErr w:type="spellEnd"/>
      <w:r w:rsidR="00D52446">
        <w:rPr>
          <w:rFonts w:ascii="Times New Roman" w:eastAsia="Times New Roman" w:hAnsi="Times New Roman" w:cs="Times New Roman"/>
          <w:color w:val="0D0D0D"/>
          <w:kern w:val="0"/>
          <w:sz w:val="24"/>
          <w:szCs w:val="24"/>
          <w:lang w:eastAsia="es-ES"/>
          <w14:ligatures w14:val="none"/>
        </w:rPr>
        <w:t>”</w:t>
      </w:r>
    </w:p>
    <w:p w14:paraId="235A0720" w14:textId="2A3C1689" w:rsidR="003D1F10" w:rsidRPr="003D1F10"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4"/>
          <w:szCs w:val="24"/>
          <w:lang w:eastAsia="es-ES"/>
          <w14:ligatures w14:val="none"/>
        </w:rPr>
      </w:pPr>
      <w:proofErr w:type="spellStart"/>
      <w:r w:rsidRPr="003D1F10">
        <w:rPr>
          <w:rFonts w:ascii="Times New Roman" w:eastAsia="Times New Roman" w:hAnsi="Times New Roman" w:cs="Times New Roman"/>
          <w:b/>
          <w:bCs/>
          <w:color w:val="0D0D0D"/>
          <w:kern w:val="0"/>
          <w:sz w:val="24"/>
          <w:szCs w:val="24"/>
          <w:bdr w:val="single" w:sz="2" w:space="0" w:color="E3E3E3" w:frame="1"/>
          <w:lang w:eastAsia="es-ES"/>
          <w14:ligatures w14:val="none"/>
        </w:rPr>
        <w:t>Δ</w:t>
      </w:r>
      <w:proofErr w:type="gramStart"/>
      <w:r w:rsidRPr="003D1F10">
        <w:rPr>
          <w:rFonts w:ascii="Times New Roman" w:eastAsia="Times New Roman" w:hAnsi="Times New Roman" w:cs="Times New Roman"/>
          <w:b/>
          <w:bCs/>
          <w:color w:val="0D0D0D"/>
          <w:kern w:val="0"/>
          <w:sz w:val="24"/>
          <w:szCs w:val="24"/>
          <w:bdr w:val="single" w:sz="2" w:space="0" w:color="E3E3E3" w:frame="1"/>
          <w:lang w:eastAsia="es-ES"/>
          <w14:ligatures w14:val="none"/>
        </w:rPr>
        <w:t>Flujos</w:t>
      </w:r>
      <w:proofErr w:type="spellEnd"/>
      <w:r w:rsidRPr="003D1F10">
        <w:rPr>
          <w:rFonts w:ascii="Times New Roman" w:eastAsia="Times New Roman" w:hAnsi="Times New Roman" w:cs="Times New Roman"/>
          <w:color w:val="0D0D0D"/>
          <w:kern w:val="0"/>
          <w:sz w:val="24"/>
          <w:szCs w:val="24"/>
          <w:lang w:eastAsia="es-ES"/>
          <w14:ligatures w14:val="none"/>
        </w:rPr>
        <w:t xml:space="preserve"> </w:t>
      </w:r>
      <w:r w:rsidR="00D52446">
        <w:rPr>
          <w:rFonts w:ascii="Times New Roman" w:eastAsia="Times New Roman" w:hAnsi="Times New Roman" w:cs="Times New Roman"/>
          <w:color w:val="0D0D0D"/>
          <w:kern w:val="0"/>
          <w:sz w:val="24"/>
          <w:szCs w:val="24"/>
          <w:lang w:eastAsia="es-ES"/>
          <w14:ligatures w14:val="none"/>
        </w:rPr>
        <w:t xml:space="preserve"> </w:t>
      </w:r>
      <w:r w:rsidRPr="003D1F10">
        <w:rPr>
          <w:rFonts w:ascii="Times New Roman" w:eastAsia="Times New Roman" w:hAnsi="Times New Roman" w:cs="Times New Roman"/>
          <w:color w:val="0D0D0D"/>
          <w:kern w:val="0"/>
          <w:sz w:val="24"/>
          <w:szCs w:val="24"/>
          <w:lang w:eastAsia="es-ES"/>
          <w14:ligatures w14:val="none"/>
        </w:rPr>
        <w:t>es</w:t>
      </w:r>
      <w:proofErr w:type="gramEnd"/>
      <w:r w:rsidRPr="003D1F10">
        <w:rPr>
          <w:rFonts w:ascii="Times New Roman" w:eastAsia="Times New Roman" w:hAnsi="Times New Roman" w:cs="Times New Roman"/>
          <w:color w:val="0D0D0D"/>
          <w:kern w:val="0"/>
          <w:sz w:val="24"/>
          <w:szCs w:val="24"/>
          <w:lang w:eastAsia="es-ES"/>
          <w14:ligatures w14:val="none"/>
        </w:rPr>
        <w:t xml:space="preserve"> la variación de los flujos netos hacia los ETFs de gestión pasiva, nuestro nuevo factor.</w:t>
      </w:r>
    </w:p>
    <w:p w14:paraId="13B42B81" w14:textId="77777777" w:rsidR="00D52446"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4"/>
          <w:szCs w:val="24"/>
          <w:lang w:eastAsia="es-ES"/>
          <w14:ligatures w14:val="none"/>
        </w:rPr>
      </w:pPr>
      <w:r w:rsidRPr="003D1F10">
        <w:rPr>
          <w:rFonts w:ascii="Times New Roman" w:eastAsia="Times New Roman" w:hAnsi="Times New Roman" w:cs="Times New Roman"/>
          <w:b/>
          <w:bCs/>
          <w:i/>
          <w:iCs/>
          <w:color w:val="0D0D0D"/>
          <w:kern w:val="0"/>
          <w:sz w:val="24"/>
          <w:szCs w:val="24"/>
          <w:bdr w:val="single" w:sz="2" w:space="0" w:color="E3E3E3" w:frame="1"/>
          <w:lang w:eastAsia="es-ES"/>
          <w14:ligatures w14:val="none"/>
        </w:rPr>
        <w:t>α</w:t>
      </w:r>
      <w:r w:rsidRPr="003D1F10">
        <w:rPr>
          <w:rFonts w:ascii="Times New Roman" w:eastAsia="Times New Roman" w:hAnsi="Times New Roman" w:cs="Times New Roman"/>
          <w:color w:val="0D0D0D"/>
          <w:kern w:val="0"/>
          <w:sz w:val="24"/>
          <w:szCs w:val="24"/>
          <w:lang w:eastAsia="es-ES"/>
          <w14:ligatures w14:val="none"/>
        </w:rPr>
        <w:t xml:space="preserve"> es el intercepto del modelo.</w:t>
      </w:r>
    </w:p>
    <w:p w14:paraId="7B907412" w14:textId="1CF59079" w:rsidR="003D1F10" w:rsidRPr="003D1F10" w:rsidRDefault="003D1F10" w:rsidP="00D52446">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kern w:val="0"/>
          <w:sz w:val="24"/>
          <w:szCs w:val="24"/>
          <w:lang w:eastAsia="es-ES"/>
          <w14:ligatures w14:val="none"/>
        </w:rPr>
      </w:pPr>
      <w:r w:rsidRPr="003D1F10">
        <w:rPr>
          <w:rFonts w:ascii="Times New Roman" w:eastAsia="Times New Roman" w:hAnsi="Times New Roman" w:cs="Times New Roman"/>
          <w:b/>
          <w:bCs/>
          <w:i/>
          <w:iCs/>
          <w:color w:val="0D0D0D"/>
          <w:kern w:val="0"/>
          <w:sz w:val="24"/>
          <w:szCs w:val="24"/>
          <w:bdr w:val="single" w:sz="2" w:space="0" w:color="E3E3E3" w:frame="1"/>
          <w:lang w:eastAsia="es-ES"/>
          <w14:ligatures w14:val="none"/>
        </w:rPr>
        <w:t>ϵi</w:t>
      </w:r>
      <w:r w:rsidRPr="003D1F10">
        <w:rPr>
          <w:rFonts w:ascii="Times New Roman" w:eastAsia="Times New Roman" w:hAnsi="Times New Roman" w:cs="Times New Roman"/>
          <w:b/>
          <w:bCs/>
          <w:color w:val="0D0D0D"/>
          <w:kern w:val="0"/>
          <w:sz w:val="24"/>
          <w:szCs w:val="24"/>
          <w:bdr w:val="single" w:sz="2" w:space="0" w:color="E3E3E3" w:frame="1"/>
          <w:lang w:eastAsia="es-ES"/>
          <w14:ligatures w14:val="none"/>
        </w:rPr>
        <w:t>​</w:t>
      </w:r>
      <w:r w:rsidRPr="003D1F10">
        <w:rPr>
          <w:rFonts w:ascii="Times New Roman" w:eastAsia="Times New Roman" w:hAnsi="Times New Roman" w:cs="Times New Roman"/>
          <w:color w:val="0D0D0D"/>
          <w:kern w:val="0"/>
          <w:sz w:val="24"/>
          <w:szCs w:val="24"/>
          <w:lang w:eastAsia="es-ES"/>
          <w14:ligatures w14:val="none"/>
        </w:rPr>
        <w:t xml:space="preserve"> es el término de error del modelo.</w:t>
      </w:r>
    </w:p>
    <w:p w14:paraId="01DCECF4" w14:textId="549F3D8D" w:rsidR="00C925A9" w:rsidRDefault="00C925A9" w:rsidP="00C925A9">
      <w:pPr>
        <w:spacing w:line="360" w:lineRule="auto"/>
        <w:jc w:val="both"/>
        <w:rPr>
          <w:rStyle w:val="mord"/>
          <w:rFonts w:ascii="Times New Roman" w:eastAsiaTheme="minorEastAsia" w:hAnsi="Times New Roman" w:cs="Times New Roman"/>
          <w:iCs/>
          <w:color w:val="0D0D0D"/>
          <w:sz w:val="24"/>
          <w:szCs w:val="24"/>
          <w:shd w:val="clear" w:color="auto" w:fill="FFFFFF"/>
        </w:rPr>
      </w:pPr>
    </w:p>
    <w:p w14:paraId="0AE25A26" w14:textId="0EFFB85A" w:rsidR="00C21B7B" w:rsidRDefault="00C21B7B" w:rsidP="00BF623F">
      <w:pPr>
        <w:spacing w:line="360" w:lineRule="auto"/>
        <w:jc w:val="both"/>
        <w:rPr>
          <w:rFonts w:ascii="Times New Roman" w:eastAsiaTheme="minorEastAsia" w:hAnsi="Times New Roman" w:cs="Times New Roman"/>
          <w:sz w:val="24"/>
          <w:szCs w:val="24"/>
          <w:lang w:eastAsia="es-ES"/>
        </w:rPr>
      </w:pPr>
      <w:r w:rsidRPr="00C21B7B">
        <w:rPr>
          <w:rFonts w:ascii="Times New Roman" w:eastAsiaTheme="minorEastAsia" w:hAnsi="Times New Roman" w:cs="Times New Roman"/>
          <w:sz w:val="24"/>
          <w:szCs w:val="24"/>
          <w:lang w:eastAsia="es-ES"/>
        </w:rPr>
        <w:lastRenderedPageBreak/>
        <w:t xml:space="preserve">La incorporación del factor de variación de flujos hacia los ETFs de gestión pasiva permite aislar el efecto de estos flujos en los rendimientos de las acciones, más allá de los factores tradicionales de mercado, tamaño y valor. De esta manera, </w:t>
      </w:r>
      <w:r>
        <w:rPr>
          <w:rFonts w:ascii="Times New Roman" w:eastAsiaTheme="minorEastAsia" w:hAnsi="Times New Roman" w:cs="Times New Roman"/>
          <w:sz w:val="24"/>
          <w:szCs w:val="24"/>
          <w:lang w:eastAsia="es-ES"/>
        </w:rPr>
        <w:t>se busca</w:t>
      </w:r>
      <w:r w:rsidRPr="00C21B7B">
        <w:rPr>
          <w:rFonts w:ascii="Times New Roman" w:eastAsiaTheme="minorEastAsia" w:hAnsi="Times New Roman" w:cs="Times New Roman"/>
          <w:sz w:val="24"/>
          <w:szCs w:val="24"/>
          <w:lang w:eastAsia="es-ES"/>
        </w:rPr>
        <w:t xml:space="preserve"> determinar si la gestión pasiva está influyendo directamente en las valoraciones de las acciones del S&amp;P 500.</w:t>
      </w:r>
    </w:p>
    <w:p w14:paraId="57300061" w14:textId="1F698BD4" w:rsidR="00E0767D" w:rsidRDefault="00C21B7B" w:rsidP="00BF623F">
      <w:pPr>
        <w:spacing w:line="360" w:lineRule="auto"/>
        <w:jc w:val="both"/>
        <w:rPr>
          <w:rFonts w:ascii="Times New Roman" w:eastAsiaTheme="minorEastAsia" w:hAnsi="Times New Roman" w:cs="Times New Roman"/>
          <w:sz w:val="24"/>
          <w:szCs w:val="24"/>
          <w:lang w:eastAsia="es-ES"/>
        </w:rPr>
      </w:pPr>
      <w:r w:rsidRPr="00C21B7B">
        <w:rPr>
          <w:rFonts w:ascii="Times New Roman" w:eastAsiaTheme="minorEastAsia" w:hAnsi="Times New Roman" w:cs="Times New Roman"/>
          <w:sz w:val="24"/>
          <w:szCs w:val="24"/>
          <w:lang w:eastAsia="es-ES"/>
        </w:rPr>
        <w:t>El primer paso de este estudio consistirá en estimar el modelo para todas las acciones del S&amp;P 500 durante el periodo de 20</w:t>
      </w:r>
      <w:r w:rsidR="00645726">
        <w:rPr>
          <w:rFonts w:ascii="Times New Roman" w:eastAsiaTheme="minorEastAsia" w:hAnsi="Times New Roman" w:cs="Times New Roman"/>
          <w:sz w:val="24"/>
          <w:szCs w:val="24"/>
          <w:lang w:eastAsia="es-ES"/>
        </w:rPr>
        <w:t>20</w:t>
      </w:r>
      <w:r w:rsidRPr="00C21B7B">
        <w:rPr>
          <w:rFonts w:ascii="Times New Roman" w:eastAsiaTheme="minorEastAsia" w:hAnsi="Times New Roman" w:cs="Times New Roman"/>
          <w:sz w:val="24"/>
          <w:szCs w:val="24"/>
          <w:lang w:eastAsia="es-ES"/>
        </w:rPr>
        <w:t xml:space="preserve"> a 2023. </w:t>
      </w:r>
      <w:r>
        <w:rPr>
          <w:rFonts w:ascii="Times New Roman" w:eastAsiaTheme="minorEastAsia" w:hAnsi="Times New Roman" w:cs="Times New Roman"/>
          <w:sz w:val="24"/>
          <w:szCs w:val="24"/>
          <w:lang w:eastAsia="es-ES"/>
        </w:rPr>
        <w:t xml:space="preserve">Se ha escogido este periodo, </w:t>
      </w:r>
      <w:r w:rsidRPr="00C21B7B">
        <w:rPr>
          <w:rFonts w:ascii="Times New Roman" w:eastAsiaTheme="minorEastAsia" w:hAnsi="Times New Roman" w:cs="Times New Roman"/>
          <w:sz w:val="24"/>
          <w:szCs w:val="24"/>
          <w:lang w:eastAsia="es-ES"/>
        </w:rPr>
        <w:t xml:space="preserve">debido a la disponibilidad de datos y </w:t>
      </w:r>
      <w:r w:rsidR="00645726">
        <w:rPr>
          <w:rFonts w:ascii="Times New Roman" w:eastAsiaTheme="minorEastAsia" w:hAnsi="Times New Roman" w:cs="Times New Roman"/>
          <w:sz w:val="24"/>
          <w:szCs w:val="24"/>
          <w:lang w:eastAsia="es-ES"/>
        </w:rPr>
        <w:t>por</w:t>
      </w:r>
      <w:r w:rsidRPr="00C21B7B">
        <w:rPr>
          <w:rFonts w:ascii="Times New Roman" w:eastAsiaTheme="minorEastAsia" w:hAnsi="Times New Roman" w:cs="Times New Roman"/>
          <w:sz w:val="24"/>
          <w:szCs w:val="24"/>
          <w:lang w:eastAsia="es-ES"/>
        </w:rPr>
        <w:t xml:space="preserve"> </w:t>
      </w:r>
      <w:r w:rsidR="00645726">
        <w:rPr>
          <w:rFonts w:ascii="Times New Roman" w:eastAsiaTheme="minorEastAsia" w:hAnsi="Times New Roman" w:cs="Times New Roman"/>
          <w:sz w:val="24"/>
          <w:szCs w:val="24"/>
          <w:lang w:eastAsia="es-ES"/>
        </w:rPr>
        <w:t>tratarse de</w:t>
      </w:r>
      <w:r w:rsidRPr="00C21B7B">
        <w:rPr>
          <w:rFonts w:ascii="Times New Roman" w:eastAsiaTheme="minorEastAsia" w:hAnsi="Times New Roman" w:cs="Times New Roman"/>
          <w:sz w:val="24"/>
          <w:szCs w:val="24"/>
          <w:lang w:eastAsia="es-ES"/>
        </w:rPr>
        <w:t xml:space="preserve"> un periodo</w:t>
      </w:r>
      <w:r w:rsidR="00645726">
        <w:rPr>
          <w:rFonts w:ascii="Times New Roman" w:eastAsiaTheme="minorEastAsia" w:hAnsi="Times New Roman" w:cs="Times New Roman"/>
          <w:sz w:val="24"/>
          <w:szCs w:val="24"/>
          <w:lang w:eastAsia="es-ES"/>
        </w:rPr>
        <w:t xml:space="preserve"> en el que se experimentó un “boom” en la gestión pasiva tras la pandemia </w:t>
      </w:r>
      <w:r w:rsidRPr="00C21B7B">
        <w:rPr>
          <w:rFonts w:ascii="Times New Roman" w:eastAsiaTheme="minorEastAsia" w:hAnsi="Times New Roman" w:cs="Times New Roman"/>
          <w:sz w:val="24"/>
          <w:szCs w:val="24"/>
          <w:lang w:eastAsia="es-ES"/>
        </w:rPr>
        <w:t>. Durante estos años, se ha observado un notable incremento en la adopción de ETFs de gestión pasiva, lo cual justifica el enfoque en este intervalo temporal.</w:t>
      </w:r>
      <w:r w:rsidR="004C35EB">
        <w:rPr>
          <w:rFonts w:ascii="Times New Roman" w:eastAsiaTheme="minorEastAsia" w:hAnsi="Times New Roman" w:cs="Times New Roman"/>
          <w:sz w:val="24"/>
          <w:szCs w:val="24"/>
          <w:lang w:eastAsia="es-ES"/>
        </w:rPr>
        <w:t xml:space="preserve"> El siguiente gráfico de </w:t>
      </w:r>
      <w:proofErr w:type="spellStart"/>
      <w:r w:rsidR="004C35EB">
        <w:rPr>
          <w:rFonts w:ascii="Times New Roman" w:eastAsiaTheme="minorEastAsia" w:hAnsi="Times New Roman" w:cs="Times New Roman"/>
          <w:sz w:val="24"/>
          <w:szCs w:val="24"/>
          <w:lang w:eastAsia="es-ES"/>
        </w:rPr>
        <w:t>Blackrock</w:t>
      </w:r>
      <w:proofErr w:type="spellEnd"/>
      <w:r w:rsidR="004C35EB">
        <w:rPr>
          <w:rFonts w:ascii="Times New Roman" w:eastAsiaTheme="minorEastAsia" w:hAnsi="Times New Roman" w:cs="Times New Roman"/>
          <w:sz w:val="24"/>
          <w:szCs w:val="24"/>
          <w:lang w:eastAsia="es-ES"/>
        </w:rPr>
        <w:t xml:space="preserve"> muestra el vertiginoso ascenso del mercado de los ETFs durante el periodo analizado.</w:t>
      </w:r>
    </w:p>
    <w:p w14:paraId="54F4537C" w14:textId="6045DEB3" w:rsidR="00E0767D" w:rsidRPr="00E0767D" w:rsidRDefault="00E0767D" w:rsidP="00BF623F">
      <w:pPr>
        <w:spacing w:line="360" w:lineRule="auto"/>
        <w:jc w:val="both"/>
        <w:rPr>
          <w:rFonts w:ascii="Times New Roman" w:eastAsiaTheme="minorEastAsia" w:hAnsi="Times New Roman" w:cs="Times New Roman"/>
          <w:b/>
          <w:bCs/>
          <w:sz w:val="24"/>
          <w:szCs w:val="24"/>
          <w:lang w:eastAsia="es-ES"/>
        </w:rPr>
      </w:pPr>
      <w:r w:rsidRPr="00E0767D">
        <w:rPr>
          <w:rFonts w:ascii="Times New Roman" w:eastAsiaTheme="minorEastAsia" w:hAnsi="Times New Roman" w:cs="Times New Roman"/>
          <w:b/>
          <w:bCs/>
          <w:sz w:val="24"/>
          <w:szCs w:val="24"/>
          <w:lang w:eastAsia="es-ES"/>
        </w:rPr>
        <w:t>Gráfico</w:t>
      </w:r>
      <w:r>
        <w:rPr>
          <w:rFonts w:ascii="Times New Roman" w:eastAsiaTheme="minorEastAsia" w:hAnsi="Times New Roman" w:cs="Times New Roman"/>
          <w:b/>
          <w:bCs/>
          <w:sz w:val="24"/>
          <w:szCs w:val="24"/>
          <w:lang w:eastAsia="es-ES"/>
        </w:rPr>
        <w:t xml:space="preserve"> 2</w:t>
      </w:r>
      <w:r w:rsidRPr="00E0767D">
        <w:rPr>
          <w:rFonts w:ascii="Times New Roman" w:eastAsiaTheme="minorEastAsia" w:hAnsi="Times New Roman" w:cs="Times New Roman"/>
          <w:b/>
          <w:bCs/>
          <w:sz w:val="24"/>
          <w:szCs w:val="24"/>
          <w:lang w:eastAsia="es-ES"/>
        </w:rPr>
        <w:t>:</w:t>
      </w:r>
    </w:p>
    <w:p w14:paraId="5BC61FEE" w14:textId="60B3FE0A" w:rsidR="00DD74A3" w:rsidRDefault="00E0767D" w:rsidP="00C21B7B">
      <w:pPr>
        <w:spacing w:line="360" w:lineRule="auto"/>
        <w:jc w:val="both"/>
        <w:rPr>
          <w:rFonts w:ascii="Times New Roman" w:eastAsiaTheme="minorEastAsia" w:hAnsi="Times New Roman" w:cs="Times New Roman"/>
          <w:sz w:val="24"/>
          <w:szCs w:val="24"/>
          <w:lang w:eastAsia="es-ES"/>
        </w:rPr>
      </w:pPr>
      <w:r w:rsidRPr="00DD74A3">
        <w:rPr>
          <w:rFonts w:ascii="Times New Roman" w:eastAsiaTheme="minorEastAsia" w:hAnsi="Times New Roman" w:cs="Times New Roman"/>
          <w:noProof/>
          <w:sz w:val="24"/>
          <w:szCs w:val="24"/>
          <w:lang w:eastAsia="es-ES"/>
        </w:rPr>
        <w:drawing>
          <wp:anchor distT="0" distB="0" distL="114300" distR="114300" simplePos="0" relativeHeight="251663360" behindDoc="1" locked="0" layoutInCell="1" allowOverlap="1" wp14:anchorId="5C740FF6" wp14:editId="4843A6C6">
            <wp:simplePos x="0" y="0"/>
            <wp:positionH relativeFrom="column">
              <wp:posOffset>237727</wp:posOffset>
            </wp:positionH>
            <wp:positionV relativeFrom="paragraph">
              <wp:posOffset>176308</wp:posOffset>
            </wp:positionV>
            <wp:extent cx="5058420" cy="3232297"/>
            <wp:effectExtent l="0" t="0" r="0" b="0"/>
            <wp:wrapTight wrapText="bothSides">
              <wp:wrapPolygon edited="0">
                <wp:start x="0" y="0"/>
                <wp:lineTo x="0" y="21515"/>
                <wp:lineTo x="21557" y="21515"/>
                <wp:lineTo x="21557" y="0"/>
                <wp:lineTo x="0" y="0"/>
              </wp:wrapPolygon>
            </wp:wrapTight>
            <wp:docPr id="1612259834"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9834" name="Imagen 1" descr="Gráfico, Gráfico de barras&#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058420" cy="3232297"/>
                    </a:xfrm>
                    <a:prstGeom prst="rect">
                      <a:avLst/>
                    </a:prstGeom>
                  </pic:spPr>
                </pic:pic>
              </a:graphicData>
            </a:graphic>
          </wp:anchor>
        </w:drawing>
      </w:r>
    </w:p>
    <w:p w14:paraId="558FEE39" w14:textId="400290A0" w:rsidR="004C35EB" w:rsidRPr="00DD74A3" w:rsidRDefault="00DD74A3" w:rsidP="00C21B7B">
      <w:pPr>
        <w:spacing w:line="360" w:lineRule="auto"/>
        <w:jc w:val="both"/>
        <w:rPr>
          <w:rFonts w:ascii="Times New Roman" w:eastAsiaTheme="minorEastAsia" w:hAnsi="Times New Roman" w:cs="Times New Roman"/>
          <w:i/>
          <w:iCs/>
          <w:sz w:val="24"/>
          <w:szCs w:val="24"/>
          <w:lang w:eastAsia="es-ES"/>
        </w:rPr>
      </w:pPr>
      <w:r w:rsidRPr="00DD74A3">
        <w:rPr>
          <w:rFonts w:ascii="Times New Roman" w:eastAsiaTheme="minorEastAsia" w:hAnsi="Times New Roman" w:cs="Times New Roman"/>
          <w:i/>
          <w:iCs/>
          <w:sz w:val="24"/>
          <w:szCs w:val="24"/>
          <w:lang w:eastAsia="es-ES"/>
        </w:rPr>
        <w:t>Fuente: Blackrock.com</w:t>
      </w:r>
    </w:p>
    <w:p w14:paraId="1163A001" w14:textId="1394E014" w:rsidR="004C35EB" w:rsidRPr="004C35EB" w:rsidRDefault="004C35EB" w:rsidP="00BF623F">
      <w:pPr>
        <w:spacing w:line="360" w:lineRule="auto"/>
        <w:jc w:val="both"/>
        <w:rPr>
          <w:rFonts w:ascii="Times New Roman" w:eastAsiaTheme="minorEastAsia" w:hAnsi="Times New Roman" w:cs="Times New Roman"/>
          <w:sz w:val="24"/>
          <w:szCs w:val="24"/>
          <w:lang w:eastAsia="es-ES"/>
        </w:rPr>
      </w:pPr>
      <w:r w:rsidRPr="004C35EB">
        <w:rPr>
          <w:rFonts w:ascii="Times New Roman" w:eastAsiaTheme="minorEastAsia" w:hAnsi="Times New Roman" w:cs="Times New Roman"/>
          <w:sz w:val="24"/>
          <w:szCs w:val="24"/>
          <w:lang w:eastAsia="es-ES"/>
        </w:rPr>
        <w:t>La frecuencia de los datos</w:t>
      </w:r>
      <w:r w:rsidR="008D17D1">
        <w:rPr>
          <w:rFonts w:ascii="Times New Roman" w:eastAsiaTheme="minorEastAsia" w:hAnsi="Times New Roman" w:cs="Times New Roman"/>
          <w:sz w:val="24"/>
          <w:szCs w:val="24"/>
          <w:lang w:eastAsia="es-ES"/>
        </w:rPr>
        <w:t xml:space="preserve"> empleados es semanal</w:t>
      </w:r>
      <w:r w:rsidRPr="004C35EB">
        <w:rPr>
          <w:rFonts w:ascii="Times New Roman" w:eastAsiaTheme="minorEastAsia" w:hAnsi="Times New Roman" w:cs="Times New Roman"/>
          <w:sz w:val="24"/>
          <w:szCs w:val="24"/>
          <w:lang w:eastAsia="es-ES"/>
        </w:rPr>
        <w:t xml:space="preserve">. Esta elección se debe a que una ventana temporal semanal es lo suficientemente amplia para que el efecto de los flujos monetarios se haga efectivo a nivel de impacto en las negociaciones bursátiles. Al mismo tiempo, permite obtener una muestra grande de datos, lo </w:t>
      </w:r>
      <w:r>
        <w:rPr>
          <w:rFonts w:ascii="Times New Roman" w:eastAsiaTheme="minorEastAsia" w:hAnsi="Times New Roman" w:cs="Times New Roman"/>
          <w:sz w:val="24"/>
          <w:szCs w:val="24"/>
          <w:lang w:eastAsia="es-ES"/>
        </w:rPr>
        <w:t>cual</w:t>
      </w:r>
      <w:r w:rsidRPr="004C35EB">
        <w:rPr>
          <w:rFonts w:ascii="Times New Roman" w:eastAsiaTheme="minorEastAsia" w:hAnsi="Times New Roman" w:cs="Times New Roman"/>
          <w:sz w:val="24"/>
          <w:szCs w:val="24"/>
          <w:lang w:eastAsia="es-ES"/>
        </w:rPr>
        <w:t xml:space="preserve"> es </w:t>
      </w:r>
      <w:r w:rsidR="008D17D1">
        <w:rPr>
          <w:rFonts w:ascii="Times New Roman" w:eastAsiaTheme="minorEastAsia" w:hAnsi="Times New Roman" w:cs="Times New Roman"/>
          <w:sz w:val="24"/>
          <w:szCs w:val="24"/>
          <w:lang w:eastAsia="es-ES"/>
        </w:rPr>
        <w:t>esencial</w:t>
      </w:r>
      <w:r w:rsidRPr="004C35EB">
        <w:rPr>
          <w:rFonts w:ascii="Times New Roman" w:eastAsiaTheme="minorEastAsia" w:hAnsi="Times New Roman" w:cs="Times New Roman"/>
          <w:sz w:val="24"/>
          <w:szCs w:val="24"/>
          <w:lang w:eastAsia="es-ES"/>
        </w:rPr>
        <w:t xml:space="preserve"> para la </w:t>
      </w:r>
      <w:r>
        <w:rPr>
          <w:rFonts w:ascii="Times New Roman" w:eastAsiaTheme="minorEastAsia" w:hAnsi="Times New Roman" w:cs="Times New Roman"/>
          <w:sz w:val="24"/>
          <w:szCs w:val="24"/>
          <w:lang w:eastAsia="es-ES"/>
        </w:rPr>
        <w:t>fiabilidad</w:t>
      </w:r>
      <w:r w:rsidRPr="004C35EB">
        <w:rPr>
          <w:rFonts w:ascii="Times New Roman" w:eastAsiaTheme="minorEastAsia" w:hAnsi="Times New Roman" w:cs="Times New Roman"/>
          <w:sz w:val="24"/>
          <w:szCs w:val="24"/>
          <w:lang w:eastAsia="es-ES"/>
        </w:rPr>
        <w:t xml:space="preserve"> del análisis estadístico. </w:t>
      </w:r>
    </w:p>
    <w:p w14:paraId="5653899A" w14:textId="4ECF5D07" w:rsidR="00172FCA" w:rsidRPr="004C35EB" w:rsidRDefault="004C35EB" w:rsidP="00BF623F">
      <w:pPr>
        <w:spacing w:line="360" w:lineRule="auto"/>
        <w:jc w:val="both"/>
        <w:rPr>
          <w:rFonts w:ascii="Times New Roman" w:eastAsiaTheme="minorEastAsia" w:hAnsi="Times New Roman" w:cs="Times New Roman"/>
          <w:sz w:val="24"/>
          <w:szCs w:val="24"/>
          <w:lang w:eastAsia="es-ES"/>
        </w:rPr>
      </w:pPr>
      <w:r w:rsidRPr="004C35EB">
        <w:rPr>
          <w:rFonts w:ascii="Times New Roman" w:eastAsiaTheme="minorEastAsia" w:hAnsi="Times New Roman" w:cs="Times New Roman"/>
          <w:sz w:val="24"/>
          <w:szCs w:val="24"/>
          <w:lang w:eastAsia="es-ES"/>
        </w:rPr>
        <w:lastRenderedPageBreak/>
        <w:t>El propósito de este primer paso es analizar a gran escala para qué acciones</w:t>
      </w:r>
      <w:r w:rsidR="008D17D1">
        <w:rPr>
          <w:rFonts w:ascii="Times New Roman" w:eastAsiaTheme="minorEastAsia" w:hAnsi="Times New Roman" w:cs="Times New Roman"/>
          <w:sz w:val="24"/>
          <w:szCs w:val="24"/>
          <w:lang w:eastAsia="es-ES"/>
        </w:rPr>
        <w:t>,</w:t>
      </w:r>
      <w:r w:rsidRPr="004C35EB">
        <w:rPr>
          <w:rFonts w:ascii="Times New Roman" w:eastAsiaTheme="minorEastAsia" w:hAnsi="Times New Roman" w:cs="Times New Roman"/>
          <w:sz w:val="24"/>
          <w:szCs w:val="24"/>
          <w:lang w:eastAsia="es-ES"/>
        </w:rPr>
        <w:t xml:space="preserve"> los flujos monetarios </w:t>
      </w:r>
      <w:r w:rsidR="008D17D1">
        <w:rPr>
          <w:rFonts w:ascii="Times New Roman" w:eastAsiaTheme="minorEastAsia" w:hAnsi="Times New Roman" w:cs="Times New Roman"/>
          <w:sz w:val="24"/>
          <w:szCs w:val="24"/>
          <w:lang w:eastAsia="es-ES"/>
        </w:rPr>
        <w:t>tienen un efecto significativo en las rentabilidades</w:t>
      </w:r>
      <w:r w:rsidRPr="004C35EB">
        <w:rPr>
          <w:rFonts w:ascii="Times New Roman" w:eastAsiaTheme="minorEastAsia" w:hAnsi="Times New Roman" w:cs="Times New Roman"/>
          <w:sz w:val="24"/>
          <w:szCs w:val="24"/>
          <w:lang w:eastAsia="es-ES"/>
        </w:rPr>
        <w:t>. Identifica</w:t>
      </w:r>
      <w:r w:rsidR="006F78B8">
        <w:rPr>
          <w:rFonts w:ascii="Times New Roman" w:eastAsiaTheme="minorEastAsia" w:hAnsi="Times New Roman" w:cs="Times New Roman"/>
          <w:sz w:val="24"/>
          <w:szCs w:val="24"/>
          <w:lang w:eastAsia="es-ES"/>
        </w:rPr>
        <w:t>r</w:t>
      </w:r>
      <w:r w:rsidRPr="004C35EB">
        <w:rPr>
          <w:rFonts w:ascii="Times New Roman" w:eastAsiaTheme="minorEastAsia" w:hAnsi="Times New Roman" w:cs="Times New Roman"/>
          <w:sz w:val="24"/>
          <w:szCs w:val="24"/>
          <w:lang w:eastAsia="es-ES"/>
        </w:rPr>
        <w:t xml:space="preserve"> las acciones que muestran una sensibilidad significativa a los flujos de capital hacia los ETFs de gestión pasiva, </w:t>
      </w:r>
      <w:r w:rsidR="008D17D1">
        <w:rPr>
          <w:rFonts w:ascii="Times New Roman" w:eastAsiaTheme="minorEastAsia" w:hAnsi="Times New Roman" w:cs="Times New Roman"/>
          <w:sz w:val="24"/>
          <w:szCs w:val="24"/>
          <w:lang w:eastAsia="es-ES"/>
        </w:rPr>
        <w:t>es un paso</w:t>
      </w:r>
      <w:r w:rsidR="006F78B8">
        <w:rPr>
          <w:rFonts w:ascii="Times New Roman" w:eastAsiaTheme="minorEastAsia" w:hAnsi="Times New Roman" w:cs="Times New Roman"/>
          <w:sz w:val="24"/>
          <w:szCs w:val="24"/>
          <w:lang w:eastAsia="es-ES"/>
        </w:rPr>
        <w:t xml:space="preserve"> crucial</w:t>
      </w:r>
      <w:r w:rsidR="008D17D1">
        <w:rPr>
          <w:rFonts w:ascii="Times New Roman" w:eastAsiaTheme="minorEastAsia" w:hAnsi="Times New Roman" w:cs="Times New Roman"/>
          <w:sz w:val="24"/>
          <w:szCs w:val="24"/>
          <w:lang w:eastAsia="es-ES"/>
        </w:rPr>
        <w:t xml:space="preserve"> para </w:t>
      </w:r>
      <w:r w:rsidRPr="004C35EB">
        <w:rPr>
          <w:rFonts w:ascii="Times New Roman" w:eastAsiaTheme="minorEastAsia" w:hAnsi="Times New Roman" w:cs="Times New Roman"/>
          <w:sz w:val="24"/>
          <w:szCs w:val="24"/>
          <w:lang w:eastAsia="es-ES"/>
        </w:rPr>
        <w:t>entender el alcance y la naturaleza del impacto de estos flujos en el mercado de valores.</w:t>
      </w:r>
    </w:p>
    <w:p w14:paraId="5BCE78E0" w14:textId="4217FD2A" w:rsidR="00BF623F" w:rsidRDefault="004C35EB" w:rsidP="00BF623F">
      <w:pPr>
        <w:spacing w:line="360" w:lineRule="auto"/>
        <w:jc w:val="both"/>
        <w:rPr>
          <w:rFonts w:ascii="Times New Roman" w:eastAsiaTheme="minorEastAsia" w:hAnsi="Times New Roman" w:cs="Times New Roman"/>
          <w:sz w:val="24"/>
          <w:szCs w:val="24"/>
          <w:lang w:eastAsia="es-ES"/>
        </w:rPr>
      </w:pPr>
      <w:r w:rsidRPr="004C35EB">
        <w:rPr>
          <w:rFonts w:ascii="Times New Roman" w:eastAsiaTheme="minorEastAsia" w:hAnsi="Times New Roman" w:cs="Times New Roman"/>
          <w:sz w:val="24"/>
          <w:szCs w:val="24"/>
          <w:lang w:eastAsia="es-ES"/>
        </w:rPr>
        <w:t xml:space="preserve">Una vez determinadas las acciones para las cuales los flujos monetarios son </w:t>
      </w:r>
      <w:r w:rsidRPr="00AC0C2F">
        <w:rPr>
          <w:rFonts w:ascii="Times New Roman" w:eastAsiaTheme="minorEastAsia" w:hAnsi="Times New Roman" w:cs="Times New Roman"/>
          <w:sz w:val="24"/>
          <w:szCs w:val="24"/>
          <w:lang w:eastAsia="es-ES"/>
        </w:rPr>
        <w:t xml:space="preserve">significativos en sus rentabilidades, se procederá a </w:t>
      </w:r>
      <w:r w:rsidR="006F78B8" w:rsidRPr="00AC0C2F">
        <w:rPr>
          <w:rFonts w:ascii="Times New Roman" w:eastAsiaTheme="minorEastAsia" w:hAnsi="Times New Roman" w:cs="Times New Roman"/>
          <w:sz w:val="24"/>
          <w:szCs w:val="24"/>
          <w:lang w:eastAsia="es-ES"/>
        </w:rPr>
        <w:t xml:space="preserve">analizarlas realizando una comparación de diferentes métricas con respecto a la media del S&amp;P 500. </w:t>
      </w:r>
      <w:r w:rsidR="00AC0C2F">
        <w:rPr>
          <w:rFonts w:ascii="Times New Roman" w:eastAsiaTheme="minorEastAsia" w:hAnsi="Times New Roman" w:cs="Times New Roman"/>
          <w:sz w:val="24"/>
          <w:szCs w:val="24"/>
          <w:lang w:eastAsia="es-ES"/>
        </w:rPr>
        <w:t>Finalmente</w:t>
      </w:r>
      <w:r w:rsidR="006F78B8">
        <w:rPr>
          <w:rFonts w:ascii="Times New Roman" w:eastAsiaTheme="minorEastAsia" w:hAnsi="Times New Roman" w:cs="Times New Roman"/>
          <w:sz w:val="24"/>
          <w:szCs w:val="24"/>
          <w:lang w:eastAsia="es-ES"/>
        </w:rPr>
        <w:t>, se llevará a cabo un análisis sectorial para identificar los sectores del mercado más influenciados por este fenómeno.</w:t>
      </w:r>
    </w:p>
    <w:p w14:paraId="7CEB0F80" w14:textId="77777777" w:rsidR="00172FCA" w:rsidRDefault="00172FCA" w:rsidP="00BF623F">
      <w:pPr>
        <w:spacing w:line="360" w:lineRule="auto"/>
        <w:jc w:val="both"/>
        <w:rPr>
          <w:rFonts w:ascii="Times New Roman" w:eastAsiaTheme="minorEastAsia" w:hAnsi="Times New Roman" w:cs="Times New Roman"/>
          <w:sz w:val="24"/>
          <w:szCs w:val="24"/>
          <w:lang w:eastAsia="es-ES"/>
        </w:rPr>
      </w:pPr>
    </w:p>
    <w:p w14:paraId="7EFA0066" w14:textId="6D5B32D1" w:rsidR="00172FCA" w:rsidRPr="00172FCA" w:rsidRDefault="00172FCA" w:rsidP="00BF623F">
      <w:pPr>
        <w:spacing w:line="360" w:lineRule="auto"/>
        <w:jc w:val="both"/>
        <w:rPr>
          <w:rFonts w:ascii="Times New Roman" w:eastAsiaTheme="minorEastAsia" w:hAnsi="Times New Roman" w:cs="Times New Roman"/>
          <w:b/>
          <w:bCs/>
          <w:sz w:val="24"/>
          <w:szCs w:val="24"/>
          <w:lang w:eastAsia="es-ES"/>
        </w:rPr>
      </w:pPr>
      <w:r w:rsidRPr="00172FCA">
        <w:rPr>
          <w:rFonts w:ascii="Times New Roman" w:eastAsiaTheme="minorEastAsia" w:hAnsi="Times New Roman" w:cs="Times New Roman"/>
          <w:b/>
          <w:bCs/>
          <w:sz w:val="24"/>
          <w:szCs w:val="24"/>
          <w:lang w:eastAsia="es-ES"/>
        </w:rPr>
        <w:t xml:space="preserve">Comparación de </w:t>
      </w:r>
      <w:r w:rsidR="00B22FE6">
        <w:rPr>
          <w:rFonts w:ascii="Times New Roman" w:eastAsiaTheme="minorEastAsia" w:hAnsi="Times New Roman" w:cs="Times New Roman"/>
          <w:b/>
          <w:bCs/>
          <w:sz w:val="24"/>
          <w:szCs w:val="24"/>
          <w:lang w:eastAsia="es-ES"/>
        </w:rPr>
        <w:t xml:space="preserve">los </w:t>
      </w:r>
      <w:r w:rsidRPr="00172FCA">
        <w:rPr>
          <w:rFonts w:ascii="Times New Roman" w:eastAsiaTheme="minorEastAsia" w:hAnsi="Times New Roman" w:cs="Times New Roman"/>
          <w:b/>
          <w:bCs/>
          <w:sz w:val="24"/>
          <w:szCs w:val="24"/>
          <w:lang w:eastAsia="es-ES"/>
        </w:rPr>
        <w:t>modelos</w:t>
      </w:r>
      <w:r w:rsidR="00B22FE6">
        <w:rPr>
          <w:rFonts w:ascii="Times New Roman" w:eastAsiaTheme="minorEastAsia" w:hAnsi="Times New Roman" w:cs="Times New Roman"/>
          <w:b/>
          <w:bCs/>
          <w:sz w:val="24"/>
          <w:szCs w:val="24"/>
          <w:lang w:eastAsia="es-ES"/>
        </w:rPr>
        <w:t xml:space="preserve"> de 3 y 4 factores</w:t>
      </w:r>
    </w:p>
    <w:p w14:paraId="2AC58D23" w14:textId="77777777" w:rsidR="00172FCA" w:rsidRDefault="00172FCA" w:rsidP="00BF623F">
      <w:pPr>
        <w:spacing w:line="360" w:lineRule="auto"/>
        <w:jc w:val="both"/>
        <w:rPr>
          <w:rFonts w:ascii="Times New Roman" w:eastAsiaTheme="minorEastAsia" w:hAnsi="Times New Roman" w:cs="Times New Roman"/>
          <w:sz w:val="24"/>
          <w:szCs w:val="24"/>
          <w:lang w:eastAsia="es-ES"/>
        </w:rPr>
      </w:pPr>
    </w:p>
    <w:p w14:paraId="41D5821F" w14:textId="4D48301A" w:rsidR="00172FCA" w:rsidRDefault="00BF623F" w:rsidP="00BF623F">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Tras esta breve introducción a la estructura del análisis</w:t>
      </w:r>
      <w:r w:rsidRPr="00BF623F">
        <w:rPr>
          <w:rFonts w:ascii="Times New Roman" w:eastAsiaTheme="minorEastAsia" w:hAnsi="Times New Roman" w:cs="Times New Roman"/>
          <w:sz w:val="24"/>
          <w:szCs w:val="24"/>
          <w:lang w:eastAsia="es-ES"/>
        </w:rPr>
        <w:t>,</w:t>
      </w:r>
      <w:r>
        <w:rPr>
          <w:rFonts w:ascii="Times New Roman" w:eastAsiaTheme="minorEastAsia" w:hAnsi="Times New Roman" w:cs="Times New Roman"/>
          <w:sz w:val="24"/>
          <w:szCs w:val="24"/>
          <w:lang w:eastAsia="es-ES"/>
        </w:rPr>
        <w:t xml:space="preserve"> </w:t>
      </w:r>
      <w:r w:rsidRPr="00BF623F">
        <w:rPr>
          <w:rFonts w:ascii="Times New Roman" w:eastAsiaTheme="minorEastAsia" w:hAnsi="Times New Roman" w:cs="Times New Roman"/>
          <w:sz w:val="24"/>
          <w:szCs w:val="24"/>
          <w:lang w:eastAsia="es-ES"/>
        </w:rPr>
        <w:t xml:space="preserve"> primero se estimará el modelo Fama-French de tres factores para todas las acciones del S&amp;P 500 durante el periodo de 20</w:t>
      </w:r>
      <w:r w:rsidR="00645726">
        <w:rPr>
          <w:rFonts w:ascii="Times New Roman" w:eastAsiaTheme="minorEastAsia" w:hAnsi="Times New Roman" w:cs="Times New Roman"/>
          <w:sz w:val="24"/>
          <w:szCs w:val="24"/>
          <w:lang w:eastAsia="es-ES"/>
        </w:rPr>
        <w:t>20</w:t>
      </w:r>
      <w:r w:rsidRPr="00BF623F">
        <w:rPr>
          <w:rFonts w:ascii="Times New Roman" w:eastAsiaTheme="minorEastAsia" w:hAnsi="Times New Roman" w:cs="Times New Roman"/>
          <w:sz w:val="24"/>
          <w:szCs w:val="24"/>
          <w:lang w:eastAsia="es-ES"/>
        </w:rPr>
        <w:t xml:space="preserve"> a 2023</w:t>
      </w:r>
      <w:r>
        <w:rPr>
          <w:rFonts w:ascii="Times New Roman" w:eastAsiaTheme="minorEastAsia" w:hAnsi="Times New Roman" w:cs="Times New Roman"/>
          <w:sz w:val="24"/>
          <w:szCs w:val="24"/>
          <w:lang w:eastAsia="es-ES"/>
        </w:rPr>
        <w:t xml:space="preserve"> junto con el modelo de 4 factores</w:t>
      </w:r>
      <w:r w:rsidRPr="00BF623F">
        <w:rPr>
          <w:rFonts w:ascii="Times New Roman" w:eastAsiaTheme="minorEastAsia" w:hAnsi="Times New Roman" w:cs="Times New Roman"/>
          <w:sz w:val="24"/>
          <w:szCs w:val="24"/>
          <w:lang w:eastAsia="es-ES"/>
        </w:rPr>
        <w:t xml:space="preserve">. </w:t>
      </w:r>
      <w:r>
        <w:rPr>
          <w:rFonts w:ascii="Times New Roman" w:eastAsiaTheme="minorEastAsia" w:hAnsi="Times New Roman" w:cs="Times New Roman"/>
          <w:sz w:val="24"/>
          <w:szCs w:val="24"/>
          <w:lang w:eastAsia="es-ES"/>
        </w:rPr>
        <w:t xml:space="preserve">El propósito de este primer paso es </w:t>
      </w:r>
      <w:r w:rsidRPr="00BF623F">
        <w:rPr>
          <w:rFonts w:ascii="Times New Roman" w:eastAsiaTheme="minorEastAsia" w:hAnsi="Times New Roman" w:cs="Times New Roman"/>
          <w:sz w:val="24"/>
          <w:szCs w:val="24"/>
          <w:lang w:eastAsia="es-ES"/>
        </w:rPr>
        <w:t xml:space="preserve">evaluar el ajuste medio del modelo y obtener una idea de la capacidad explicativa del modelo base, sin la incorporación del </w:t>
      </w:r>
      <w:r>
        <w:rPr>
          <w:rFonts w:ascii="Times New Roman" w:eastAsiaTheme="minorEastAsia" w:hAnsi="Times New Roman" w:cs="Times New Roman"/>
          <w:sz w:val="24"/>
          <w:szCs w:val="24"/>
          <w:lang w:eastAsia="es-ES"/>
        </w:rPr>
        <w:t>cuarto factor. Posteriormente se compararán los R² promedios de ambos modelos para comparar los cambios en el poder explicativo.</w:t>
      </w:r>
    </w:p>
    <w:p w14:paraId="67E345A2" w14:textId="2A658142" w:rsidR="00172FCA" w:rsidRPr="00172FCA" w:rsidRDefault="00BF623F" w:rsidP="00172FCA">
      <w:pPr>
        <w:spacing w:line="360" w:lineRule="auto"/>
        <w:jc w:val="both"/>
        <w:rPr>
          <w:rFonts w:ascii="Times New Roman" w:eastAsiaTheme="minorEastAsia" w:hAnsi="Times New Roman" w:cs="Times New Roman"/>
          <w:sz w:val="24"/>
          <w:szCs w:val="24"/>
          <w:lang w:eastAsia="es-ES"/>
        </w:rPr>
      </w:pPr>
      <w:r w:rsidRPr="00BF623F">
        <w:rPr>
          <w:rFonts w:ascii="Times New Roman" w:eastAsiaTheme="minorEastAsia" w:hAnsi="Times New Roman" w:cs="Times New Roman"/>
          <w:sz w:val="24"/>
          <w:szCs w:val="24"/>
          <w:lang w:eastAsia="es-ES"/>
        </w:rPr>
        <w:t xml:space="preserve">En el </w:t>
      </w:r>
      <w:r w:rsidR="00070060">
        <w:rPr>
          <w:rFonts w:ascii="Times New Roman" w:eastAsiaTheme="minorEastAsia" w:hAnsi="Times New Roman" w:cs="Times New Roman"/>
          <w:sz w:val="24"/>
          <w:szCs w:val="24"/>
          <w:lang w:eastAsia="es-ES"/>
        </w:rPr>
        <w:t>G</w:t>
      </w:r>
      <w:r w:rsidRPr="00BF623F">
        <w:rPr>
          <w:rFonts w:ascii="Times New Roman" w:eastAsiaTheme="minorEastAsia" w:hAnsi="Times New Roman" w:cs="Times New Roman"/>
          <w:sz w:val="24"/>
          <w:szCs w:val="24"/>
          <w:lang w:eastAsia="es-ES"/>
        </w:rPr>
        <w:t>ráfico</w:t>
      </w:r>
      <w:r w:rsidR="00070060">
        <w:rPr>
          <w:rFonts w:ascii="Times New Roman" w:eastAsiaTheme="minorEastAsia" w:hAnsi="Times New Roman" w:cs="Times New Roman"/>
          <w:sz w:val="24"/>
          <w:szCs w:val="24"/>
          <w:lang w:eastAsia="es-ES"/>
        </w:rPr>
        <w:t xml:space="preserve"> 2</w:t>
      </w:r>
      <w:r w:rsidRPr="00BF623F">
        <w:rPr>
          <w:rFonts w:ascii="Times New Roman" w:eastAsiaTheme="minorEastAsia" w:hAnsi="Times New Roman" w:cs="Times New Roman"/>
          <w:sz w:val="24"/>
          <w:szCs w:val="24"/>
          <w:lang w:eastAsia="es-ES"/>
        </w:rPr>
        <w:t xml:space="preserve">, se observarán las métricas de ajuste del modelo (por ejemplo, el coeficiente de determinación </w:t>
      </w:r>
      <w:r>
        <w:rPr>
          <w:rFonts w:ascii="Times New Roman" w:eastAsiaTheme="minorEastAsia" w:hAnsi="Times New Roman" w:cs="Times New Roman"/>
          <w:sz w:val="24"/>
          <w:szCs w:val="24"/>
          <w:lang w:eastAsia="es-ES"/>
        </w:rPr>
        <w:t xml:space="preserve">R² </w:t>
      </w:r>
      <w:r w:rsidRPr="00BF623F">
        <w:rPr>
          <w:rFonts w:ascii="Times New Roman" w:eastAsiaTheme="minorEastAsia" w:hAnsi="Times New Roman" w:cs="Times New Roman"/>
          <w:sz w:val="24"/>
          <w:szCs w:val="24"/>
          <w:lang w:eastAsia="es-ES"/>
        </w:rPr>
        <w:t xml:space="preserve">para el modelo Fama-French de tres factores y el modelo modificado con el cuarto factor. </w:t>
      </w:r>
    </w:p>
    <w:p w14:paraId="3BCB8B4D" w14:textId="7ACEA228" w:rsidR="00172FCA" w:rsidRDefault="00253214" w:rsidP="00253214">
      <w:pPr>
        <w:spacing w:line="360" w:lineRule="auto"/>
        <w:jc w:val="both"/>
        <w:rPr>
          <w:rFonts w:ascii="Times New Roman" w:eastAsiaTheme="minorEastAsia" w:hAnsi="Times New Roman" w:cs="Times New Roman"/>
          <w:b/>
          <w:bCs/>
          <w:sz w:val="24"/>
          <w:szCs w:val="24"/>
          <w:lang w:eastAsia="es-ES"/>
        </w:rPr>
      </w:pPr>
      <w:r w:rsidRPr="00253214">
        <w:rPr>
          <w:rFonts w:ascii="Times New Roman" w:eastAsiaTheme="minorEastAsia" w:hAnsi="Times New Roman" w:cs="Times New Roman"/>
          <w:sz w:val="24"/>
          <w:szCs w:val="24"/>
          <w:lang w:eastAsia="es-ES"/>
        </w:rPr>
        <w:t xml:space="preserve">El análisis inicial utilizando el modelo Fama-French de tres factores proporciona un </w:t>
      </w:r>
      <w:r>
        <w:rPr>
          <w:rFonts w:ascii="Times New Roman" w:eastAsiaTheme="minorEastAsia" w:hAnsi="Times New Roman" w:cs="Times New Roman"/>
          <w:sz w:val="24"/>
          <w:szCs w:val="24"/>
          <w:lang w:eastAsia="es-ES"/>
        </w:rPr>
        <w:t>R</w:t>
      </w:r>
      <w:r>
        <w:rPr>
          <w:rFonts w:ascii="Times New Roman" w:eastAsiaTheme="minorEastAsia" w:hAnsi="Times New Roman" w:cs="Times New Roman"/>
          <w:sz w:val="24"/>
          <w:szCs w:val="24"/>
          <w:lang w:eastAsia="es-ES"/>
        </w:rPr>
        <w:t>²</w:t>
      </w:r>
      <w:r w:rsidRPr="00253214">
        <w:rPr>
          <w:rFonts w:ascii="Times New Roman" w:eastAsiaTheme="minorEastAsia" w:hAnsi="Times New Roman" w:cs="Times New Roman"/>
          <w:sz w:val="24"/>
          <w:szCs w:val="24"/>
          <w:lang w:eastAsia="es-ES"/>
        </w:rPr>
        <w:t xml:space="preserve"> promedio</w:t>
      </w:r>
      <w:r w:rsidRPr="00253214">
        <w:rPr>
          <w:rFonts w:ascii="Times New Roman" w:eastAsiaTheme="minorEastAsia" w:hAnsi="Times New Roman" w:cs="Times New Roman"/>
          <w:sz w:val="24"/>
          <w:szCs w:val="24"/>
          <w:lang w:eastAsia="es-ES"/>
        </w:rPr>
        <w:t xml:space="preserve"> de 0.</w:t>
      </w:r>
      <w:r w:rsidR="003B7748">
        <w:rPr>
          <w:rFonts w:ascii="Times New Roman" w:eastAsiaTheme="minorEastAsia" w:hAnsi="Times New Roman" w:cs="Times New Roman"/>
          <w:sz w:val="24"/>
          <w:szCs w:val="24"/>
          <w:lang w:eastAsia="es-ES"/>
        </w:rPr>
        <w:t>50</w:t>
      </w:r>
      <w:r w:rsidRPr="00253214">
        <w:rPr>
          <w:rFonts w:ascii="Times New Roman" w:eastAsiaTheme="minorEastAsia" w:hAnsi="Times New Roman" w:cs="Times New Roman"/>
          <w:sz w:val="24"/>
          <w:szCs w:val="24"/>
          <w:lang w:eastAsia="es-ES"/>
        </w:rPr>
        <w:t xml:space="preserve"> para las acciones del S&amp;P 500 durante el periodo de 20</w:t>
      </w:r>
      <w:r w:rsidR="00645726">
        <w:rPr>
          <w:rFonts w:ascii="Times New Roman" w:eastAsiaTheme="minorEastAsia" w:hAnsi="Times New Roman" w:cs="Times New Roman"/>
          <w:sz w:val="24"/>
          <w:szCs w:val="24"/>
          <w:lang w:eastAsia="es-ES"/>
        </w:rPr>
        <w:t>20</w:t>
      </w:r>
      <w:r w:rsidRPr="00253214">
        <w:rPr>
          <w:rFonts w:ascii="Times New Roman" w:eastAsiaTheme="minorEastAsia" w:hAnsi="Times New Roman" w:cs="Times New Roman"/>
          <w:sz w:val="24"/>
          <w:szCs w:val="24"/>
          <w:lang w:eastAsia="es-ES"/>
        </w:rPr>
        <w:t xml:space="preserve"> a 2023. Este valor de </w:t>
      </w:r>
      <w:r>
        <w:rPr>
          <w:rFonts w:ascii="Times New Roman" w:eastAsiaTheme="minorEastAsia" w:hAnsi="Times New Roman" w:cs="Times New Roman"/>
          <w:sz w:val="24"/>
          <w:szCs w:val="24"/>
          <w:lang w:eastAsia="es-ES"/>
        </w:rPr>
        <w:t>R²</w:t>
      </w:r>
      <w:r w:rsidRPr="00253214">
        <w:rPr>
          <w:rFonts w:ascii="Times New Roman" w:eastAsiaTheme="minorEastAsia" w:hAnsi="Times New Roman" w:cs="Times New Roman"/>
          <w:sz w:val="24"/>
          <w:szCs w:val="24"/>
          <w:lang w:eastAsia="es-ES"/>
        </w:rPr>
        <w:t xml:space="preserve"> indica que, en promedio, el </w:t>
      </w:r>
      <w:r w:rsidR="003B7748">
        <w:rPr>
          <w:rFonts w:ascii="Times New Roman" w:eastAsiaTheme="minorEastAsia" w:hAnsi="Times New Roman" w:cs="Times New Roman"/>
          <w:sz w:val="24"/>
          <w:szCs w:val="24"/>
          <w:lang w:eastAsia="es-ES"/>
        </w:rPr>
        <w:t>50</w:t>
      </w:r>
      <w:r w:rsidRPr="00253214">
        <w:rPr>
          <w:rFonts w:ascii="Times New Roman" w:eastAsiaTheme="minorEastAsia" w:hAnsi="Times New Roman" w:cs="Times New Roman"/>
          <w:sz w:val="24"/>
          <w:szCs w:val="24"/>
          <w:lang w:eastAsia="es-ES"/>
        </w:rPr>
        <w:t>% de la variabilidad en los rendimientos de las acciones puede ser explicada por los tres factores tradicionales del modelo</w:t>
      </w:r>
      <w:r>
        <w:rPr>
          <w:rFonts w:ascii="Times New Roman" w:eastAsiaTheme="minorEastAsia" w:hAnsi="Times New Roman" w:cs="Times New Roman"/>
          <w:sz w:val="24"/>
          <w:szCs w:val="24"/>
          <w:lang w:eastAsia="es-ES"/>
        </w:rPr>
        <w:t>.</w:t>
      </w:r>
      <w:r w:rsidR="00172FCA" w:rsidRPr="00172FCA">
        <w:rPr>
          <w:rFonts w:ascii="Times New Roman" w:eastAsiaTheme="minorEastAsia" w:hAnsi="Times New Roman" w:cs="Times New Roman"/>
          <w:b/>
          <w:bCs/>
          <w:sz w:val="24"/>
          <w:szCs w:val="24"/>
          <w:lang w:eastAsia="es-ES"/>
        </w:rPr>
        <w:t xml:space="preserve"> </w:t>
      </w:r>
    </w:p>
    <w:p w14:paraId="47AEE0AA" w14:textId="673F7264" w:rsidR="00172FCA" w:rsidRDefault="00172FCA" w:rsidP="00253214">
      <w:pPr>
        <w:spacing w:line="360" w:lineRule="auto"/>
        <w:jc w:val="both"/>
        <w:rPr>
          <w:rFonts w:ascii="Times New Roman" w:eastAsiaTheme="minorEastAsia" w:hAnsi="Times New Roman" w:cs="Times New Roman"/>
          <w:b/>
          <w:bCs/>
          <w:sz w:val="24"/>
          <w:szCs w:val="24"/>
          <w:lang w:eastAsia="es-ES"/>
        </w:rPr>
      </w:pPr>
      <w:r w:rsidRPr="00253214">
        <w:rPr>
          <w:rFonts w:ascii="Times New Roman" w:eastAsiaTheme="minorEastAsia" w:hAnsi="Times New Roman" w:cs="Times New Roman"/>
          <w:sz w:val="24"/>
          <w:szCs w:val="24"/>
          <w:lang w:eastAsia="es-ES"/>
        </w:rPr>
        <w:t xml:space="preserve">Al incorporar el cuarto factor, que incluye la variación de los flujos monetarios netos hacia los ETFs de gestión pasiva, el </w:t>
      </w:r>
      <w:r>
        <w:rPr>
          <w:rFonts w:ascii="Times New Roman" w:eastAsiaTheme="minorEastAsia" w:hAnsi="Times New Roman" w:cs="Times New Roman"/>
          <w:sz w:val="24"/>
          <w:szCs w:val="24"/>
          <w:lang w:eastAsia="es-ES"/>
        </w:rPr>
        <w:t xml:space="preserve">R² </w:t>
      </w:r>
      <w:r w:rsidRPr="00253214">
        <w:rPr>
          <w:rFonts w:ascii="Times New Roman" w:eastAsiaTheme="minorEastAsia" w:hAnsi="Times New Roman" w:cs="Times New Roman"/>
          <w:sz w:val="24"/>
          <w:szCs w:val="24"/>
          <w:lang w:eastAsia="es-ES"/>
        </w:rPr>
        <w:t>promedio de</w:t>
      </w:r>
      <w:r>
        <w:rPr>
          <w:rFonts w:ascii="Times New Roman" w:eastAsiaTheme="minorEastAsia" w:hAnsi="Times New Roman" w:cs="Times New Roman"/>
          <w:sz w:val="24"/>
          <w:szCs w:val="24"/>
          <w:lang w:eastAsia="es-ES"/>
        </w:rPr>
        <w:t xml:space="preserve"> los</w:t>
      </w:r>
      <w:r w:rsidRPr="00253214">
        <w:rPr>
          <w:rFonts w:ascii="Times New Roman" w:eastAsiaTheme="minorEastAsia" w:hAnsi="Times New Roman" w:cs="Times New Roman"/>
          <w:sz w:val="24"/>
          <w:szCs w:val="24"/>
          <w:lang w:eastAsia="es-ES"/>
        </w:rPr>
        <w:t xml:space="preserve"> modelo</w:t>
      </w:r>
      <w:r>
        <w:rPr>
          <w:rFonts w:ascii="Times New Roman" w:eastAsiaTheme="minorEastAsia" w:hAnsi="Times New Roman" w:cs="Times New Roman"/>
          <w:sz w:val="24"/>
          <w:szCs w:val="24"/>
          <w:lang w:eastAsia="es-ES"/>
        </w:rPr>
        <w:t>s</w:t>
      </w:r>
      <w:r w:rsidRPr="00253214">
        <w:rPr>
          <w:rFonts w:ascii="Times New Roman" w:eastAsiaTheme="minorEastAsia" w:hAnsi="Times New Roman" w:cs="Times New Roman"/>
          <w:sz w:val="24"/>
          <w:szCs w:val="24"/>
          <w:lang w:eastAsia="es-ES"/>
        </w:rPr>
        <w:t xml:space="preserve"> aumenta a 0.</w:t>
      </w:r>
      <w:r w:rsidR="003B7748">
        <w:rPr>
          <w:rFonts w:ascii="Times New Roman" w:eastAsiaTheme="minorEastAsia" w:hAnsi="Times New Roman" w:cs="Times New Roman"/>
          <w:sz w:val="24"/>
          <w:szCs w:val="24"/>
          <w:lang w:eastAsia="es-ES"/>
        </w:rPr>
        <w:t>59</w:t>
      </w:r>
      <w:r w:rsidRPr="00253214">
        <w:rPr>
          <w:rFonts w:ascii="Times New Roman" w:eastAsiaTheme="minorEastAsia" w:hAnsi="Times New Roman" w:cs="Times New Roman"/>
          <w:sz w:val="24"/>
          <w:szCs w:val="24"/>
          <w:lang w:eastAsia="es-ES"/>
        </w:rPr>
        <w:t xml:space="preserve">. Esto significa que el </w:t>
      </w:r>
      <w:r w:rsidR="003B7748">
        <w:rPr>
          <w:rFonts w:ascii="Times New Roman" w:eastAsiaTheme="minorEastAsia" w:hAnsi="Times New Roman" w:cs="Times New Roman"/>
          <w:sz w:val="24"/>
          <w:szCs w:val="24"/>
          <w:lang w:eastAsia="es-ES"/>
        </w:rPr>
        <w:t>59</w:t>
      </w:r>
      <w:r w:rsidRPr="00253214">
        <w:rPr>
          <w:rFonts w:ascii="Times New Roman" w:eastAsiaTheme="minorEastAsia" w:hAnsi="Times New Roman" w:cs="Times New Roman"/>
          <w:sz w:val="24"/>
          <w:szCs w:val="24"/>
          <w:lang w:eastAsia="es-ES"/>
        </w:rPr>
        <w:t xml:space="preserve">% de la variabilidad en los </w:t>
      </w:r>
      <w:r w:rsidR="006007C6">
        <w:rPr>
          <w:rFonts w:ascii="Times New Roman" w:eastAsiaTheme="minorEastAsia" w:hAnsi="Times New Roman" w:cs="Times New Roman"/>
          <w:sz w:val="24"/>
          <w:szCs w:val="24"/>
          <w:lang w:eastAsia="es-ES"/>
        </w:rPr>
        <w:t>precios</w:t>
      </w:r>
      <w:r w:rsidRPr="00253214">
        <w:rPr>
          <w:rFonts w:ascii="Times New Roman" w:eastAsiaTheme="minorEastAsia" w:hAnsi="Times New Roman" w:cs="Times New Roman"/>
          <w:sz w:val="24"/>
          <w:szCs w:val="24"/>
          <w:lang w:eastAsia="es-ES"/>
        </w:rPr>
        <w:t xml:space="preserve"> de las acciones puede ser explicad</w:t>
      </w:r>
      <w:r w:rsidR="006007C6">
        <w:rPr>
          <w:rFonts w:ascii="Times New Roman" w:eastAsiaTheme="minorEastAsia" w:hAnsi="Times New Roman" w:cs="Times New Roman"/>
          <w:sz w:val="24"/>
          <w:szCs w:val="24"/>
          <w:lang w:eastAsia="es-ES"/>
        </w:rPr>
        <w:t>a</w:t>
      </w:r>
      <w:r w:rsidRPr="00253214">
        <w:rPr>
          <w:rFonts w:ascii="Times New Roman" w:eastAsiaTheme="minorEastAsia" w:hAnsi="Times New Roman" w:cs="Times New Roman"/>
          <w:sz w:val="24"/>
          <w:szCs w:val="24"/>
          <w:lang w:eastAsia="es-ES"/>
        </w:rPr>
        <w:t xml:space="preserve"> cuando se incluye este nuevo factor en el modelo.</w:t>
      </w:r>
    </w:p>
    <w:p w14:paraId="4AABF6E7" w14:textId="4AEAAB3C" w:rsidR="00172FCA" w:rsidRDefault="00172FCA" w:rsidP="00253214">
      <w:pPr>
        <w:spacing w:line="360" w:lineRule="auto"/>
        <w:jc w:val="both"/>
        <w:rPr>
          <w:rFonts w:ascii="Times New Roman" w:eastAsiaTheme="minorEastAsia" w:hAnsi="Times New Roman" w:cs="Times New Roman"/>
          <w:b/>
          <w:bCs/>
          <w:sz w:val="24"/>
          <w:szCs w:val="24"/>
          <w:lang w:eastAsia="es-ES"/>
        </w:rPr>
      </w:pPr>
      <w:r w:rsidRPr="00070060">
        <w:rPr>
          <w:rFonts w:ascii="Times New Roman" w:eastAsiaTheme="minorEastAsia" w:hAnsi="Times New Roman" w:cs="Times New Roman"/>
          <w:b/>
          <w:bCs/>
          <w:sz w:val="24"/>
          <w:szCs w:val="24"/>
          <w:lang w:eastAsia="es-ES"/>
        </w:rPr>
        <w:lastRenderedPageBreak/>
        <w:t xml:space="preserve">Gráfico </w:t>
      </w:r>
      <w:r w:rsidR="00E0767D">
        <w:rPr>
          <w:rFonts w:ascii="Times New Roman" w:eastAsiaTheme="minorEastAsia" w:hAnsi="Times New Roman" w:cs="Times New Roman"/>
          <w:b/>
          <w:bCs/>
          <w:sz w:val="24"/>
          <w:szCs w:val="24"/>
          <w:lang w:eastAsia="es-ES"/>
        </w:rPr>
        <w:t>3</w:t>
      </w:r>
      <w:r w:rsidRPr="00070060">
        <w:rPr>
          <w:rFonts w:ascii="Times New Roman" w:eastAsiaTheme="minorEastAsia" w:hAnsi="Times New Roman" w:cs="Times New Roman"/>
          <w:b/>
          <w:bCs/>
          <w:sz w:val="24"/>
          <w:szCs w:val="24"/>
          <w:lang w:eastAsia="es-ES"/>
        </w:rPr>
        <w:t>:</w:t>
      </w:r>
    </w:p>
    <w:p w14:paraId="40703267" w14:textId="3CC2145A" w:rsidR="00253214" w:rsidRPr="00253214" w:rsidRDefault="003B7748" w:rsidP="00172FCA">
      <w:pPr>
        <w:spacing w:line="360" w:lineRule="auto"/>
        <w:jc w:val="center"/>
        <w:rPr>
          <w:rFonts w:ascii="Times New Roman" w:eastAsiaTheme="minorEastAsia" w:hAnsi="Times New Roman" w:cs="Times New Roman"/>
          <w:sz w:val="24"/>
          <w:szCs w:val="24"/>
          <w:lang w:eastAsia="es-ES"/>
        </w:rPr>
      </w:pPr>
      <w:r w:rsidRPr="003B7748">
        <w:rPr>
          <w:rFonts w:ascii="Times New Roman" w:eastAsiaTheme="minorEastAsia" w:hAnsi="Times New Roman" w:cs="Times New Roman"/>
          <w:sz w:val="24"/>
          <w:szCs w:val="24"/>
          <w:lang w:eastAsia="es-ES"/>
        </w:rPr>
        <w:drawing>
          <wp:inline distT="0" distB="0" distL="0" distR="0" wp14:anchorId="7C939B35" wp14:editId="7880C087">
            <wp:extent cx="5249008" cy="3858163"/>
            <wp:effectExtent l="0" t="0" r="8890" b="9525"/>
            <wp:docPr id="717888346"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8346" name="Imagen 1" descr="Gráfico, Gráfico de barras&#10;&#10;Descripción generada automáticamente"/>
                    <pic:cNvPicPr/>
                  </pic:nvPicPr>
                  <pic:blipFill>
                    <a:blip r:embed="rId12"/>
                    <a:stretch>
                      <a:fillRect/>
                    </a:stretch>
                  </pic:blipFill>
                  <pic:spPr>
                    <a:xfrm>
                      <a:off x="0" y="0"/>
                      <a:ext cx="5249008" cy="3858163"/>
                    </a:xfrm>
                    <a:prstGeom prst="rect">
                      <a:avLst/>
                    </a:prstGeom>
                  </pic:spPr>
                </pic:pic>
              </a:graphicData>
            </a:graphic>
          </wp:inline>
        </w:drawing>
      </w:r>
    </w:p>
    <w:p w14:paraId="24897E1C" w14:textId="77777777" w:rsidR="00172FCA" w:rsidRDefault="00172FCA" w:rsidP="00253214">
      <w:pPr>
        <w:spacing w:line="360" w:lineRule="auto"/>
        <w:jc w:val="both"/>
        <w:rPr>
          <w:rFonts w:ascii="Times New Roman" w:eastAsiaTheme="minorEastAsia" w:hAnsi="Times New Roman" w:cs="Times New Roman"/>
          <w:sz w:val="24"/>
          <w:szCs w:val="24"/>
          <w:lang w:eastAsia="es-ES"/>
        </w:rPr>
      </w:pPr>
    </w:p>
    <w:p w14:paraId="093F91EF" w14:textId="4A1565A9" w:rsidR="00172FCA" w:rsidRDefault="00172FCA" w:rsidP="00253214">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Estos resultados, implican</w:t>
      </w:r>
      <w:r w:rsidR="00253214">
        <w:rPr>
          <w:rFonts w:ascii="Times New Roman" w:eastAsiaTheme="minorEastAsia" w:hAnsi="Times New Roman" w:cs="Times New Roman"/>
          <w:sz w:val="24"/>
          <w:szCs w:val="24"/>
          <w:lang w:eastAsia="es-ES"/>
        </w:rPr>
        <w:t xml:space="preserve"> un incremento del </w:t>
      </w:r>
      <w:r w:rsidR="00AB310A">
        <w:rPr>
          <w:rFonts w:ascii="Times New Roman" w:eastAsiaTheme="minorEastAsia" w:hAnsi="Times New Roman" w:cs="Times New Roman"/>
          <w:sz w:val="24"/>
          <w:szCs w:val="24"/>
          <w:lang w:eastAsia="es-ES"/>
        </w:rPr>
        <w:t>17</w:t>
      </w:r>
      <w:r w:rsidR="00253214">
        <w:rPr>
          <w:rFonts w:ascii="Times New Roman" w:eastAsiaTheme="minorEastAsia" w:hAnsi="Times New Roman" w:cs="Times New Roman"/>
          <w:sz w:val="24"/>
          <w:szCs w:val="24"/>
          <w:lang w:eastAsia="es-ES"/>
        </w:rPr>
        <w:t>% en el poder explicativo del modelo</w:t>
      </w:r>
      <w:r>
        <w:rPr>
          <w:rFonts w:ascii="Times New Roman" w:eastAsiaTheme="minorEastAsia" w:hAnsi="Times New Roman" w:cs="Times New Roman"/>
          <w:sz w:val="24"/>
          <w:szCs w:val="24"/>
          <w:lang w:eastAsia="es-ES"/>
        </w:rPr>
        <w:t xml:space="preserve"> de 4 factores con respecto al modelo de 3 factores</w:t>
      </w:r>
      <w:r w:rsidR="00253214">
        <w:rPr>
          <w:rFonts w:ascii="Times New Roman" w:eastAsiaTheme="minorEastAsia" w:hAnsi="Times New Roman" w:cs="Times New Roman"/>
          <w:sz w:val="24"/>
          <w:szCs w:val="24"/>
          <w:lang w:eastAsia="es-ES"/>
        </w:rPr>
        <w:t xml:space="preserve">, por ende, se puede inferir que la </w:t>
      </w:r>
      <w:r w:rsidR="00253214" w:rsidRPr="00253214">
        <w:rPr>
          <w:rFonts w:ascii="Times New Roman" w:eastAsiaTheme="minorEastAsia" w:hAnsi="Times New Roman" w:cs="Times New Roman"/>
          <w:sz w:val="24"/>
          <w:szCs w:val="24"/>
          <w:lang w:eastAsia="es-ES"/>
        </w:rPr>
        <w:t>inclusión del factor de flujos monetarios mejora significativamente el poder explicativo del modelo en términos generales</w:t>
      </w:r>
      <w:r w:rsidR="00253214">
        <w:rPr>
          <w:rFonts w:ascii="Times New Roman" w:eastAsiaTheme="minorEastAsia" w:hAnsi="Times New Roman" w:cs="Times New Roman"/>
          <w:sz w:val="24"/>
          <w:szCs w:val="24"/>
          <w:lang w:eastAsia="es-ES"/>
        </w:rPr>
        <w:t>.</w:t>
      </w:r>
    </w:p>
    <w:p w14:paraId="0A53905B" w14:textId="77777777" w:rsidR="00172FCA" w:rsidRDefault="00172FCA" w:rsidP="00253214">
      <w:pPr>
        <w:spacing w:line="360" w:lineRule="auto"/>
        <w:jc w:val="both"/>
        <w:rPr>
          <w:rFonts w:ascii="Times New Roman" w:eastAsiaTheme="minorEastAsia" w:hAnsi="Times New Roman" w:cs="Times New Roman"/>
          <w:sz w:val="24"/>
          <w:szCs w:val="24"/>
          <w:lang w:eastAsia="es-ES"/>
        </w:rPr>
      </w:pPr>
    </w:p>
    <w:p w14:paraId="0DD91913" w14:textId="72770248" w:rsidR="00172FCA" w:rsidRPr="00172FCA" w:rsidRDefault="00172FCA" w:rsidP="00253214">
      <w:pPr>
        <w:spacing w:line="360" w:lineRule="auto"/>
        <w:jc w:val="both"/>
        <w:rPr>
          <w:rFonts w:ascii="Times New Roman" w:eastAsiaTheme="minorEastAsia" w:hAnsi="Times New Roman" w:cs="Times New Roman"/>
          <w:b/>
          <w:bCs/>
          <w:sz w:val="24"/>
          <w:szCs w:val="24"/>
          <w:lang w:eastAsia="es-ES"/>
        </w:rPr>
      </w:pPr>
      <w:r w:rsidRPr="00172FCA">
        <w:rPr>
          <w:rFonts w:ascii="Times New Roman" w:eastAsiaTheme="minorEastAsia" w:hAnsi="Times New Roman" w:cs="Times New Roman"/>
          <w:b/>
          <w:bCs/>
          <w:sz w:val="24"/>
          <w:szCs w:val="24"/>
          <w:lang w:eastAsia="es-ES"/>
        </w:rPr>
        <w:t>Análisis individualizado del modelo de 4 factores</w:t>
      </w:r>
    </w:p>
    <w:p w14:paraId="36C6A9B0" w14:textId="5A9F71DA" w:rsidR="00253214" w:rsidRPr="00253214" w:rsidRDefault="00253214" w:rsidP="00253214">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Una vez realizada esta primera aproximación general al modelo, la cual </w:t>
      </w:r>
      <w:r w:rsidR="00172FCA">
        <w:rPr>
          <w:rFonts w:ascii="Times New Roman" w:eastAsiaTheme="minorEastAsia" w:hAnsi="Times New Roman" w:cs="Times New Roman"/>
          <w:sz w:val="24"/>
          <w:szCs w:val="24"/>
          <w:lang w:eastAsia="es-ES"/>
        </w:rPr>
        <w:t>permite evaluar si la variable de flujos monetarios tiene potencial explicativo, es hora de examinar los resultados del estudio de forma individualizada acción por acción. Para ello, se va a recurrir a los resultados del modelo de 4 factores estimado en el paso anterior.</w:t>
      </w:r>
    </w:p>
    <w:p w14:paraId="1CBA33B7" w14:textId="5B8598A0" w:rsidR="00B33351" w:rsidRPr="00B33351" w:rsidRDefault="00B66386" w:rsidP="00B33351">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Debido a la cantidad de datos gestionados (casi 500 modelos), se va a realizar un filtrado </w:t>
      </w:r>
      <w:r w:rsidR="00B33351">
        <w:rPr>
          <w:rFonts w:ascii="Times New Roman" w:eastAsiaTheme="minorEastAsia" w:hAnsi="Times New Roman" w:cs="Times New Roman"/>
          <w:sz w:val="24"/>
          <w:szCs w:val="24"/>
          <w:lang w:eastAsia="es-ES"/>
        </w:rPr>
        <w:t xml:space="preserve">para extraer únicamente aquellas acciones para las </w:t>
      </w:r>
      <w:r w:rsidR="00146D7F">
        <w:rPr>
          <w:rFonts w:ascii="Times New Roman" w:eastAsiaTheme="minorEastAsia" w:hAnsi="Times New Roman" w:cs="Times New Roman"/>
          <w:sz w:val="24"/>
          <w:szCs w:val="24"/>
          <w:lang w:eastAsia="es-ES"/>
        </w:rPr>
        <w:t>cuales</w:t>
      </w:r>
      <w:r w:rsidR="00B33351">
        <w:rPr>
          <w:rFonts w:ascii="Times New Roman" w:eastAsiaTheme="minorEastAsia" w:hAnsi="Times New Roman" w:cs="Times New Roman"/>
          <w:sz w:val="24"/>
          <w:szCs w:val="24"/>
          <w:lang w:eastAsia="es-ES"/>
        </w:rPr>
        <w:t xml:space="preserve"> el modelo haya</w:t>
      </w:r>
      <w:r w:rsidR="00146D7F">
        <w:rPr>
          <w:rFonts w:ascii="Times New Roman" w:eastAsiaTheme="minorEastAsia" w:hAnsi="Times New Roman" w:cs="Times New Roman"/>
          <w:sz w:val="24"/>
          <w:szCs w:val="24"/>
          <w:lang w:eastAsia="es-ES"/>
        </w:rPr>
        <w:t xml:space="preserve"> </w:t>
      </w:r>
      <w:r w:rsidR="00B33351">
        <w:rPr>
          <w:rFonts w:ascii="Times New Roman" w:eastAsiaTheme="minorEastAsia" w:hAnsi="Times New Roman" w:cs="Times New Roman"/>
          <w:sz w:val="24"/>
          <w:szCs w:val="24"/>
          <w:lang w:eastAsia="es-ES"/>
        </w:rPr>
        <w:t>arrojado un coeficiente de la variable Flujos significativo a un nivel del 95% de confianza. A continuación, se va</w:t>
      </w:r>
      <w:r w:rsidR="00EF7F5E">
        <w:rPr>
          <w:rFonts w:ascii="Times New Roman" w:eastAsiaTheme="minorEastAsia" w:hAnsi="Times New Roman" w:cs="Times New Roman"/>
          <w:sz w:val="24"/>
          <w:szCs w:val="24"/>
          <w:lang w:eastAsia="es-ES"/>
        </w:rPr>
        <w:t xml:space="preserve"> a</w:t>
      </w:r>
      <w:r w:rsidR="00B33351">
        <w:rPr>
          <w:rFonts w:ascii="Times New Roman" w:eastAsiaTheme="minorEastAsia" w:hAnsi="Times New Roman" w:cs="Times New Roman"/>
          <w:sz w:val="24"/>
          <w:szCs w:val="24"/>
          <w:lang w:eastAsia="es-ES"/>
        </w:rPr>
        <w:t xml:space="preserve"> presentar la tabla con los resultados del modelo para </w:t>
      </w:r>
      <w:r w:rsidR="00B33351">
        <w:rPr>
          <w:rFonts w:ascii="Times New Roman" w:eastAsiaTheme="minorEastAsia" w:hAnsi="Times New Roman" w:cs="Times New Roman"/>
          <w:sz w:val="24"/>
          <w:szCs w:val="24"/>
          <w:lang w:eastAsia="es-ES"/>
        </w:rPr>
        <w:lastRenderedPageBreak/>
        <w:t xml:space="preserve">las </w:t>
      </w:r>
      <w:r w:rsidR="00AB310A">
        <w:rPr>
          <w:rFonts w:ascii="Times New Roman" w:eastAsiaTheme="minorEastAsia" w:hAnsi="Times New Roman" w:cs="Times New Roman"/>
          <w:sz w:val="24"/>
          <w:szCs w:val="24"/>
          <w:lang w:eastAsia="es-ES"/>
        </w:rPr>
        <w:t>36</w:t>
      </w:r>
      <w:r w:rsidR="00B33351">
        <w:rPr>
          <w:rFonts w:ascii="Times New Roman" w:eastAsiaTheme="minorEastAsia" w:hAnsi="Times New Roman" w:cs="Times New Roman"/>
          <w:sz w:val="24"/>
          <w:szCs w:val="24"/>
          <w:lang w:eastAsia="es-ES"/>
        </w:rPr>
        <w:t xml:space="preserve"> acciones sobre las cuales se puede afirmar con un nivel de confianza del 95% que los flujos monetarios hacia ETFs de gestión pasiva tienen un impacto significativo en sus rendimientos.</w:t>
      </w:r>
    </w:p>
    <w:p w14:paraId="1921211E" w14:textId="519249C7" w:rsidR="00B33351" w:rsidRDefault="00B33351" w:rsidP="00B33351">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En la Tabla 2, mostrada en la siguiente página, se pueden ver todos los resultados de los modelos, pero previamente se va a realizar un repaso sobre el contenido de todas las columnas.</w:t>
      </w:r>
    </w:p>
    <w:p w14:paraId="25D2BEC4" w14:textId="51761B8D" w:rsidR="00B33351" w:rsidRPr="00B33351" w:rsidRDefault="00B33351" w:rsidP="00B33351">
      <w:pPr>
        <w:spacing w:line="360" w:lineRule="auto"/>
        <w:jc w:val="both"/>
        <w:rPr>
          <w:rFonts w:ascii="Times New Roman" w:eastAsiaTheme="minorEastAsia" w:hAnsi="Times New Roman" w:cs="Times New Roman"/>
          <w:sz w:val="24"/>
          <w:szCs w:val="24"/>
          <w:lang w:eastAsia="es-ES"/>
        </w:rPr>
      </w:pPr>
      <w:r w:rsidRPr="00B33351">
        <w:rPr>
          <w:rFonts w:ascii="Times New Roman" w:eastAsiaTheme="minorEastAsia" w:hAnsi="Times New Roman" w:cs="Times New Roman"/>
          <w:sz w:val="24"/>
          <w:szCs w:val="24"/>
          <w:lang w:eastAsia="es-ES"/>
        </w:rPr>
        <w:t xml:space="preserve">La columna </w:t>
      </w:r>
      <w:proofErr w:type="spellStart"/>
      <w:r w:rsidRPr="00B33351">
        <w:rPr>
          <w:rFonts w:ascii="Times New Roman" w:eastAsiaTheme="minorEastAsia" w:hAnsi="Times New Roman" w:cs="Times New Roman"/>
          <w:sz w:val="24"/>
          <w:szCs w:val="24"/>
          <w:lang w:eastAsia="es-ES"/>
        </w:rPr>
        <w:t>Ticker</w:t>
      </w:r>
      <w:proofErr w:type="spellEnd"/>
      <w:r w:rsidRPr="00B33351">
        <w:rPr>
          <w:rFonts w:ascii="Times New Roman" w:eastAsiaTheme="minorEastAsia" w:hAnsi="Times New Roman" w:cs="Times New Roman"/>
          <w:sz w:val="24"/>
          <w:szCs w:val="24"/>
          <w:lang w:eastAsia="es-ES"/>
        </w:rPr>
        <w:t xml:space="preserve"> contiene el símbolo de cotización de cada acción. La columna </w:t>
      </w:r>
      <w:proofErr w:type="spellStart"/>
      <w:r w:rsidRPr="00B33351">
        <w:rPr>
          <w:rFonts w:ascii="Times New Roman" w:eastAsiaTheme="minorEastAsia" w:hAnsi="Times New Roman" w:cs="Times New Roman"/>
          <w:sz w:val="24"/>
          <w:szCs w:val="24"/>
          <w:lang w:eastAsia="es-ES"/>
        </w:rPr>
        <w:t>const</w:t>
      </w:r>
      <w:proofErr w:type="spellEnd"/>
      <w:r w:rsidRPr="00B33351">
        <w:rPr>
          <w:rFonts w:ascii="Times New Roman" w:eastAsiaTheme="minorEastAsia" w:hAnsi="Times New Roman" w:cs="Times New Roman"/>
          <w:sz w:val="24"/>
          <w:szCs w:val="24"/>
          <w:lang w:eastAsia="es-ES"/>
        </w:rPr>
        <w:t xml:space="preserve"> representa el intercepto del modelo de regresión. Este valor indica el rendimiento esperado de la acción cuando todas las variables independientes son iguales a cero.</w:t>
      </w:r>
    </w:p>
    <w:p w14:paraId="460EB7E5" w14:textId="758F722B" w:rsidR="00B33351" w:rsidRPr="00B33351" w:rsidRDefault="00B33351" w:rsidP="00B33351">
      <w:pPr>
        <w:spacing w:line="360" w:lineRule="auto"/>
        <w:jc w:val="both"/>
        <w:rPr>
          <w:rFonts w:ascii="Times New Roman" w:eastAsiaTheme="minorEastAsia" w:hAnsi="Times New Roman" w:cs="Times New Roman"/>
          <w:sz w:val="24"/>
          <w:szCs w:val="24"/>
          <w:lang w:eastAsia="es-ES"/>
        </w:rPr>
      </w:pPr>
      <w:r w:rsidRPr="00B33351">
        <w:rPr>
          <w:rFonts w:ascii="Times New Roman" w:eastAsiaTheme="minorEastAsia" w:hAnsi="Times New Roman" w:cs="Times New Roman"/>
          <w:sz w:val="24"/>
          <w:szCs w:val="24"/>
          <w:lang w:eastAsia="es-ES"/>
        </w:rPr>
        <w:t xml:space="preserve">La columna </w:t>
      </w:r>
      <w:proofErr w:type="spellStart"/>
      <w:r w:rsidRPr="00B33351">
        <w:rPr>
          <w:rFonts w:ascii="Times New Roman" w:eastAsiaTheme="minorEastAsia" w:hAnsi="Times New Roman" w:cs="Times New Roman"/>
          <w:sz w:val="24"/>
          <w:szCs w:val="24"/>
          <w:lang w:eastAsia="es-ES"/>
        </w:rPr>
        <w:t>coefrmrf</w:t>
      </w:r>
      <w:proofErr w:type="spellEnd"/>
      <w:r w:rsidRPr="00B33351">
        <w:rPr>
          <w:rFonts w:ascii="Times New Roman" w:eastAsiaTheme="minorEastAsia" w:hAnsi="Times New Roman" w:cs="Times New Roman"/>
          <w:sz w:val="24"/>
          <w:szCs w:val="24"/>
          <w:lang w:eastAsia="es-ES"/>
        </w:rPr>
        <w:t xml:space="preserve"> muestra el coeficiente asociado al exceso de rendimiento del mercado sobre la tasa libre de riesgo. Este coeficiente mide la sensibilidad de la acción al rendimiento del mercado. Un valor </w:t>
      </w:r>
      <w:r w:rsidR="00EF7F5E">
        <w:rPr>
          <w:rFonts w:ascii="Times New Roman" w:eastAsiaTheme="minorEastAsia" w:hAnsi="Times New Roman" w:cs="Times New Roman"/>
          <w:sz w:val="24"/>
          <w:szCs w:val="24"/>
          <w:lang w:eastAsia="es-ES"/>
        </w:rPr>
        <w:t>cercano a 1,</w:t>
      </w:r>
      <w:r w:rsidRPr="00B33351">
        <w:rPr>
          <w:rFonts w:ascii="Times New Roman" w:eastAsiaTheme="minorEastAsia" w:hAnsi="Times New Roman" w:cs="Times New Roman"/>
          <w:sz w:val="24"/>
          <w:szCs w:val="24"/>
          <w:lang w:eastAsia="es-ES"/>
        </w:rPr>
        <w:t xml:space="preserve"> indica que la acción tiende a moverse en línea con el mercado.</w:t>
      </w:r>
    </w:p>
    <w:p w14:paraId="64C240FD" w14:textId="6B970AA0" w:rsidR="00B33351" w:rsidRPr="00B33351" w:rsidRDefault="00B33351" w:rsidP="00B33351">
      <w:pPr>
        <w:spacing w:line="360" w:lineRule="auto"/>
        <w:jc w:val="both"/>
        <w:rPr>
          <w:rFonts w:ascii="Times New Roman" w:eastAsiaTheme="minorEastAsia" w:hAnsi="Times New Roman" w:cs="Times New Roman"/>
          <w:sz w:val="24"/>
          <w:szCs w:val="24"/>
          <w:lang w:eastAsia="es-ES"/>
        </w:rPr>
      </w:pPr>
      <w:r w:rsidRPr="00B33351">
        <w:rPr>
          <w:rFonts w:ascii="Times New Roman" w:eastAsiaTheme="minorEastAsia" w:hAnsi="Times New Roman" w:cs="Times New Roman"/>
          <w:sz w:val="24"/>
          <w:szCs w:val="24"/>
          <w:lang w:eastAsia="es-ES"/>
        </w:rPr>
        <w:t xml:space="preserve">La columna </w:t>
      </w:r>
      <w:proofErr w:type="spellStart"/>
      <w:r w:rsidRPr="00B33351">
        <w:rPr>
          <w:rFonts w:ascii="Times New Roman" w:eastAsiaTheme="minorEastAsia" w:hAnsi="Times New Roman" w:cs="Times New Roman"/>
          <w:sz w:val="24"/>
          <w:szCs w:val="24"/>
          <w:lang w:eastAsia="es-ES"/>
        </w:rPr>
        <w:t>coefSM</w:t>
      </w:r>
      <w:r w:rsidR="00EF7F5E">
        <w:rPr>
          <w:rFonts w:ascii="Times New Roman" w:eastAsiaTheme="minorEastAsia" w:hAnsi="Times New Roman" w:cs="Times New Roman"/>
          <w:sz w:val="24"/>
          <w:szCs w:val="24"/>
          <w:lang w:eastAsia="es-ES"/>
        </w:rPr>
        <w:t>B</w:t>
      </w:r>
      <w:proofErr w:type="spellEnd"/>
      <w:r w:rsidRPr="00B33351">
        <w:rPr>
          <w:rFonts w:ascii="Times New Roman" w:eastAsiaTheme="minorEastAsia" w:hAnsi="Times New Roman" w:cs="Times New Roman"/>
          <w:sz w:val="24"/>
          <w:szCs w:val="24"/>
          <w:lang w:eastAsia="es-ES"/>
        </w:rPr>
        <w:t xml:space="preserve"> presenta el coeficiente asociado al factor SMB (Small </w:t>
      </w:r>
      <w:proofErr w:type="spellStart"/>
      <w:r w:rsidRPr="00B33351">
        <w:rPr>
          <w:rFonts w:ascii="Times New Roman" w:eastAsiaTheme="minorEastAsia" w:hAnsi="Times New Roman" w:cs="Times New Roman"/>
          <w:sz w:val="24"/>
          <w:szCs w:val="24"/>
          <w:lang w:eastAsia="es-ES"/>
        </w:rPr>
        <w:t>Minus</w:t>
      </w:r>
      <w:proofErr w:type="spellEnd"/>
      <w:r w:rsidRPr="00B33351">
        <w:rPr>
          <w:rFonts w:ascii="Times New Roman" w:eastAsiaTheme="minorEastAsia" w:hAnsi="Times New Roman" w:cs="Times New Roman"/>
          <w:sz w:val="24"/>
          <w:szCs w:val="24"/>
          <w:lang w:eastAsia="es-ES"/>
        </w:rPr>
        <w:t xml:space="preserve"> Big), que mide el efecto del tamaño de la empresa en los rendimientos. Un coeficiente positivo sugiere que la acción tiene una mayor exposición a</w:t>
      </w:r>
      <w:r w:rsidR="00EF7F5E">
        <w:rPr>
          <w:rFonts w:ascii="Times New Roman" w:eastAsiaTheme="minorEastAsia" w:hAnsi="Times New Roman" w:cs="Times New Roman"/>
          <w:sz w:val="24"/>
          <w:szCs w:val="24"/>
          <w:lang w:eastAsia="es-ES"/>
        </w:rPr>
        <w:t xml:space="preserve"> las primas de rendimientos de las</w:t>
      </w:r>
      <w:r w:rsidRPr="00B33351">
        <w:rPr>
          <w:rFonts w:ascii="Times New Roman" w:eastAsiaTheme="minorEastAsia" w:hAnsi="Times New Roman" w:cs="Times New Roman"/>
          <w:sz w:val="24"/>
          <w:szCs w:val="24"/>
          <w:lang w:eastAsia="es-ES"/>
        </w:rPr>
        <w:t xml:space="preserve"> empresas</w:t>
      </w:r>
      <w:r w:rsidR="00EF7F5E">
        <w:rPr>
          <w:rFonts w:ascii="Times New Roman" w:eastAsiaTheme="minorEastAsia" w:hAnsi="Times New Roman" w:cs="Times New Roman"/>
          <w:sz w:val="24"/>
          <w:szCs w:val="24"/>
          <w:lang w:eastAsia="es-ES"/>
        </w:rPr>
        <w:t xml:space="preserve"> pequeñas</w:t>
      </w:r>
      <w:r w:rsidRPr="00B33351">
        <w:rPr>
          <w:rFonts w:ascii="Times New Roman" w:eastAsiaTheme="minorEastAsia" w:hAnsi="Times New Roman" w:cs="Times New Roman"/>
          <w:sz w:val="24"/>
          <w:szCs w:val="24"/>
          <w:lang w:eastAsia="es-ES"/>
        </w:rPr>
        <w:t xml:space="preserve">. </w:t>
      </w:r>
    </w:p>
    <w:p w14:paraId="4D7E5555" w14:textId="6263FBEE" w:rsidR="00B33351" w:rsidRPr="00B33351" w:rsidRDefault="00B33351" w:rsidP="00B33351">
      <w:pPr>
        <w:spacing w:line="360" w:lineRule="auto"/>
        <w:jc w:val="both"/>
        <w:rPr>
          <w:rFonts w:ascii="Times New Roman" w:eastAsiaTheme="minorEastAsia" w:hAnsi="Times New Roman" w:cs="Times New Roman"/>
          <w:sz w:val="24"/>
          <w:szCs w:val="24"/>
          <w:lang w:eastAsia="es-ES"/>
        </w:rPr>
      </w:pPr>
      <w:r w:rsidRPr="00B33351">
        <w:rPr>
          <w:rFonts w:ascii="Times New Roman" w:eastAsiaTheme="minorEastAsia" w:hAnsi="Times New Roman" w:cs="Times New Roman"/>
          <w:sz w:val="24"/>
          <w:szCs w:val="24"/>
          <w:lang w:eastAsia="es-ES"/>
        </w:rPr>
        <w:t xml:space="preserve">La columna </w:t>
      </w:r>
      <w:proofErr w:type="spellStart"/>
      <w:r w:rsidRPr="00B33351">
        <w:rPr>
          <w:rFonts w:ascii="Times New Roman" w:eastAsiaTheme="minorEastAsia" w:hAnsi="Times New Roman" w:cs="Times New Roman"/>
          <w:sz w:val="24"/>
          <w:szCs w:val="24"/>
          <w:lang w:eastAsia="es-ES"/>
        </w:rPr>
        <w:t>coefHML</w:t>
      </w:r>
      <w:proofErr w:type="spellEnd"/>
      <w:r w:rsidRPr="00B33351">
        <w:rPr>
          <w:rFonts w:ascii="Times New Roman" w:eastAsiaTheme="minorEastAsia" w:hAnsi="Times New Roman" w:cs="Times New Roman"/>
          <w:sz w:val="24"/>
          <w:szCs w:val="24"/>
          <w:lang w:eastAsia="es-ES"/>
        </w:rPr>
        <w:t xml:space="preserve"> incluye el coeficiente asociado al factor HML (High </w:t>
      </w:r>
      <w:proofErr w:type="spellStart"/>
      <w:r w:rsidRPr="00B33351">
        <w:rPr>
          <w:rFonts w:ascii="Times New Roman" w:eastAsiaTheme="minorEastAsia" w:hAnsi="Times New Roman" w:cs="Times New Roman"/>
          <w:sz w:val="24"/>
          <w:szCs w:val="24"/>
          <w:lang w:eastAsia="es-ES"/>
        </w:rPr>
        <w:t>Minus</w:t>
      </w:r>
      <w:proofErr w:type="spellEnd"/>
      <w:r w:rsidRPr="00B33351">
        <w:rPr>
          <w:rFonts w:ascii="Times New Roman" w:eastAsiaTheme="minorEastAsia" w:hAnsi="Times New Roman" w:cs="Times New Roman"/>
          <w:sz w:val="24"/>
          <w:szCs w:val="24"/>
          <w:lang w:eastAsia="es-ES"/>
        </w:rPr>
        <w:t xml:space="preserve"> Low), que mide el efecto del valor de la empresa en los rendimientos. Un coeficiente positivo señala que la acción está más expuesta a</w:t>
      </w:r>
      <w:r w:rsidR="00EF7F5E">
        <w:rPr>
          <w:rFonts w:ascii="Times New Roman" w:eastAsiaTheme="minorEastAsia" w:hAnsi="Times New Roman" w:cs="Times New Roman"/>
          <w:sz w:val="24"/>
          <w:szCs w:val="24"/>
          <w:lang w:eastAsia="es-ES"/>
        </w:rPr>
        <w:t xml:space="preserve"> las primas de rentabilidad de</w:t>
      </w:r>
      <w:r w:rsidRPr="00B33351">
        <w:rPr>
          <w:rFonts w:ascii="Times New Roman" w:eastAsiaTheme="minorEastAsia" w:hAnsi="Times New Roman" w:cs="Times New Roman"/>
          <w:sz w:val="24"/>
          <w:szCs w:val="24"/>
          <w:lang w:eastAsia="es-ES"/>
        </w:rPr>
        <w:t xml:space="preserve"> empresas con altos valores contables en relación con su precio de mercado.</w:t>
      </w:r>
    </w:p>
    <w:p w14:paraId="488415B0" w14:textId="2B919793" w:rsidR="00B33351" w:rsidRPr="00B33351" w:rsidRDefault="00B33351" w:rsidP="00B33351">
      <w:pPr>
        <w:spacing w:line="360" w:lineRule="auto"/>
        <w:jc w:val="both"/>
        <w:rPr>
          <w:rFonts w:ascii="Times New Roman" w:eastAsiaTheme="minorEastAsia" w:hAnsi="Times New Roman" w:cs="Times New Roman"/>
          <w:sz w:val="24"/>
          <w:szCs w:val="24"/>
          <w:lang w:eastAsia="es-ES"/>
        </w:rPr>
      </w:pPr>
      <w:r w:rsidRPr="00B33351">
        <w:rPr>
          <w:rFonts w:ascii="Times New Roman" w:eastAsiaTheme="minorEastAsia" w:hAnsi="Times New Roman" w:cs="Times New Roman"/>
          <w:sz w:val="24"/>
          <w:szCs w:val="24"/>
          <w:lang w:eastAsia="es-ES"/>
        </w:rPr>
        <w:t xml:space="preserve">La columna </w:t>
      </w:r>
      <w:proofErr w:type="spellStart"/>
      <w:r w:rsidRPr="00B33351">
        <w:rPr>
          <w:rFonts w:ascii="Times New Roman" w:eastAsiaTheme="minorEastAsia" w:hAnsi="Times New Roman" w:cs="Times New Roman"/>
          <w:sz w:val="24"/>
          <w:szCs w:val="24"/>
          <w:lang w:eastAsia="es-ES"/>
        </w:rPr>
        <w:t>coefFlujos</w:t>
      </w:r>
      <w:proofErr w:type="spellEnd"/>
      <w:r w:rsidRPr="00B33351">
        <w:rPr>
          <w:rFonts w:ascii="Times New Roman" w:eastAsiaTheme="minorEastAsia" w:hAnsi="Times New Roman" w:cs="Times New Roman"/>
          <w:sz w:val="24"/>
          <w:szCs w:val="24"/>
          <w:lang w:eastAsia="es-ES"/>
        </w:rPr>
        <w:t xml:space="preserve"> contiene el coeficiente asociado al nuevo factor que incluye la variación de los flujos monetarios netos hacia los ETFs de gestión pasiva. Este coeficiente mide la sensibilidad de la acción a los flujos de capital hacia los ETFs. Un valor positivo indica que la acción tiende a subir cuando hay entradas netas de capital hacia los ETFs, mientras que un valor negativo indica lo contrario.</w:t>
      </w:r>
    </w:p>
    <w:p w14:paraId="4CE3AA0A" w14:textId="42689BD7" w:rsidR="00B33351" w:rsidRPr="00AB310A" w:rsidRDefault="00B33351" w:rsidP="00F929FE">
      <w:pPr>
        <w:spacing w:line="360" w:lineRule="auto"/>
        <w:jc w:val="both"/>
        <w:rPr>
          <w:rFonts w:ascii="Times New Roman" w:eastAsiaTheme="minorEastAsia" w:hAnsi="Times New Roman" w:cs="Times New Roman"/>
          <w:sz w:val="24"/>
          <w:szCs w:val="24"/>
          <w:lang w:eastAsia="es-ES"/>
        </w:rPr>
      </w:pPr>
      <w:r w:rsidRPr="00B33351">
        <w:rPr>
          <w:rFonts w:ascii="Times New Roman" w:eastAsiaTheme="minorEastAsia" w:hAnsi="Times New Roman" w:cs="Times New Roman"/>
          <w:sz w:val="24"/>
          <w:szCs w:val="24"/>
          <w:lang w:eastAsia="es-ES"/>
        </w:rPr>
        <w:t xml:space="preserve">Por último, la columna </w:t>
      </w:r>
      <w:proofErr w:type="spellStart"/>
      <w:r w:rsidRPr="00B33351">
        <w:rPr>
          <w:rFonts w:ascii="Times New Roman" w:eastAsiaTheme="minorEastAsia" w:hAnsi="Times New Roman" w:cs="Times New Roman"/>
          <w:sz w:val="24"/>
          <w:szCs w:val="24"/>
          <w:lang w:eastAsia="es-ES"/>
        </w:rPr>
        <w:t>pvalorFlujos</w:t>
      </w:r>
      <w:proofErr w:type="spellEnd"/>
      <w:r w:rsidRPr="00B33351">
        <w:rPr>
          <w:rFonts w:ascii="Times New Roman" w:eastAsiaTheme="minorEastAsia" w:hAnsi="Times New Roman" w:cs="Times New Roman"/>
          <w:sz w:val="24"/>
          <w:szCs w:val="24"/>
          <w:lang w:eastAsia="es-ES"/>
        </w:rPr>
        <w:t xml:space="preserve"> muestra el p-valor asociado al coeficiente de flujos. Este p-valor indica la probabilidad de que el coeficiente sea diferente de cero por puro azar. Un p-valor menor a 0.05 sugiere que el coeficiente es estadísticamente significativo, indicando que los flujos de capital hacia los ETFs tienen un efecto significativo en los rendimientos de la acción</w:t>
      </w:r>
      <w:r w:rsidR="00AB310A">
        <w:rPr>
          <w:rFonts w:ascii="Times New Roman" w:eastAsiaTheme="minorEastAsia" w:hAnsi="Times New Roman" w:cs="Times New Roman"/>
          <w:sz w:val="24"/>
          <w:szCs w:val="24"/>
          <w:lang w:eastAsia="es-ES"/>
        </w:rPr>
        <w:t>.</w:t>
      </w:r>
    </w:p>
    <w:p w14:paraId="577104F3" w14:textId="3B0BC079" w:rsidR="00F929FE" w:rsidRDefault="00F929FE" w:rsidP="00F929FE">
      <w:pPr>
        <w:spacing w:line="360" w:lineRule="auto"/>
        <w:jc w:val="both"/>
        <w:rPr>
          <w:rFonts w:ascii="Times New Roman" w:eastAsiaTheme="minorEastAsia" w:hAnsi="Times New Roman" w:cs="Times New Roman"/>
          <w:b/>
          <w:bCs/>
          <w:sz w:val="24"/>
          <w:szCs w:val="24"/>
          <w:lang w:eastAsia="es-ES"/>
        </w:rPr>
      </w:pPr>
      <w:r w:rsidRPr="00F929FE">
        <w:rPr>
          <w:rFonts w:ascii="Times New Roman" w:eastAsiaTheme="minorEastAsia" w:hAnsi="Times New Roman" w:cs="Times New Roman"/>
          <w:b/>
          <w:bCs/>
          <w:sz w:val="24"/>
          <w:szCs w:val="24"/>
          <w:lang w:eastAsia="es-ES"/>
        </w:rPr>
        <w:lastRenderedPageBreak/>
        <w:t>Tabla 2:</w:t>
      </w:r>
    </w:p>
    <w:p w14:paraId="3005A5CF" w14:textId="77777777" w:rsidR="00AB310A" w:rsidRDefault="00AB310A" w:rsidP="00F929FE">
      <w:pPr>
        <w:spacing w:line="360" w:lineRule="auto"/>
        <w:jc w:val="both"/>
        <w:rPr>
          <w:rFonts w:ascii="Times New Roman" w:eastAsiaTheme="minorEastAsia" w:hAnsi="Times New Roman" w:cs="Times New Roman"/>
          <w:b/>
          <w:bCs/>
          <w:sz w:val="24"/>
          <w:szCs w:val="24"/>
          <w:lang w:eastAsia="es-ES"/>
        </w:rPr>
      </w:pPr>
    </w:p>
    <w:tbl>
      <w:tblPr>
        <w:tblW w:w="10300" w:type="dxa"/>
        <w:jc w:val="center"/>
        <w:tblCellMar>
          <w:left w:w="70" w:type="dxa"/>
          <w:right w:w="70" w:type="dxa"/>
        </w:tblCellMar>
        <w:tblLook w:val="04A0" w:firstRow="1" w:lastRow="0" w:firstColumn="1" w:lastColumn="0" w:noHBand="0" w:noVBand="1"/>
      </w:tblPr>
      <w:tblGrid>
        <w:gridCol w:w="1200"/>
        <w:gridCol w:w="1500"/>
        <w:gridCol w:w="1500"/>
        <w:gridCol w:w="1500"/>
        <w:gridCol w:w="1420"/>
        <w:gridCol w:w="1500"/>
        <w:gridCol w:w="1680"/>
      </w:tblGrid>
      <w:tr w:rsidR="00AB310A" w:rsidRPr="00AB310A" w14:paraId="074F1E02" w14:textId="77777777" w:rsidTr="00AB310A">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1CB4BA0"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proofErr w:type="spellStart"/>
            <w:r w:rsidRPr="00AB310A">
              <w:rPr>
                <w:rFonts w:ascii="Times New Roman" w:eastAsia="Times New Roman" w:hAnsi="Times New Roman" w:cs="Times New Roman"/>
                <w:color w:val="FFFFFF"/>
                <w:kern w:val="0"/>
                <w:lang w:eastAsia="es-ES"/>
                <w14:ligatures w14:val="none"/>
              </w:rPr>
              <w:t>Ticker</w:t>
            </w:r>
            <w:proofErr w:type="spellEnd"/>
          </w:p>
        </w:tc>
        <w:tc>
          <w:tcPr>
            <w:tcW w:w="1500" w:type="dxa"/>
            <w:tcBorders>
              <w:top w:val="single" w:sz="4" w:space="0" w:color="auto"/>
              <w:left w:val="nil"/>
              <w:bottom w:val="single" w:sz="4" w:space="0" w:color="auto"/>
              <w:right w:val="single" w:sz="4" w:space="0" w:color="auto"/>
            </w:tcBorders>
            <w:shd w:val="clear" w:color="000000" w:fill="002060"/>
            <w:noWrap/>
            <w:vAlign w:val="bottom"/>
            <w:hideMark/>
          </w:tcPr>
          <w:p w14:paraId="5F20F990"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proofErr w:type="spellStart"/>
            <w:r w:rsidRPr="00AB310A">
              <w:rPr>
                <w:rFonts w:ascii="Times New Roman" w:eastAsia="Times New Roman" w:hAnsi="Times New Roman" w:cs="Times New Roman"/>
                <w:color w:val="FFFFFF"/>
                <w:kern w:val="0"/>
                <w:lang w:eastAsia="es-ES"/>
                <w14:ligatures w14:val="none"/>
              </w:rPr>
              <w:t>coefHML</w:t>
            </w:r>
            <w:proofErr w:type="spellEnd"/>
          </w:p>
        </w:tc>
        <w:tc>
          <w:tcPr>
            <w:tcW w:w="1500" w:type="dxa"/>
            <w:tcBorders>
              <w:top w:val="single" w:sz="4" w:space="0" w:color="auto"/>
              <w:left w:val="nil"/>
              <w:bottom w:val="single" w:sz="4" w:space="0" w:color="auto"/>
              <w:right w:val="single" w:sz="4" w:space="0" w:color="auto"/>
            </w:tcBorders>
            <w:shd w:val="clear" w:color="000000" w:fill="002060"/>
            <w:noWrap/>
            <w:vAlign w:val="bottom"/>
            <w:hideMark/>
          </w:tcPr>
          <w:p w14:paraId="0F12EB3F"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proofErr w:type="spellStart"/>
            <w:r w:rsidRPr="00AB310A">
              <w:rPr>
                <w:rFonts w:ascii="Times New Roman" w:eastAsia="Times New Roman" w:hAnsi="Times New Roman" w:cs="Times New Roman"/>
                <w:color w:val="FFFFFF"/>
                <w:kern w:val="0"/>
                <w:lang w:eastAsia="es-ES"/>
                <w14:ligatures w14:val="none"/>
              </w:rPr>
              <w:t>coefSML</w:t>
            </w:r>
            <w:proofErr w:type="spellEnd"/>
          </w:p>
        </w:tc>
        <w:tc>
          <w:tcPr>
            <w:tcW w:w="1500" w:type="dxa"/>
            <w:tcBorders>
              <w:top w:val="single" w:sz="4" w:space="0" w:color="auto"/>
              <w:left w:val="nil"/>
              <w:bottom w:val="single" w:sz="4" w:space="0" w:color="auto"/>
              <w:right w:val="single" w:sz="4" w:space="0" w:color="auto"/>
            </w:tcBorders>
            <w:shd w:val="clear" w:color="000000" w:fill="002060"/>
            <w:noWrap/>
            <w:vAlign w:val="bottom"/>
            <w:hideMark/>
          </w:tcPr>
          <w:p w14:paraId="63D792DF" w14:textId="12053F4F"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proofErr w:type="spellStart"/>
            <w:r w:rsidRPr="00AB310A">
              <w:rPr>
                <w:rFonts w:ascii="Times New Roman" w:eastAsia="Times New Roman" w:hAnsi="Times New Roman" w:cs="Times New Roman"/>
                <w:color w:val="FFFFFF"/>
                <w:kern w:val="0"/>
                <w:lang w:eastAsia="es-ES"/>
                <w14:ligatures w14:val="none"/>
              </w:rPr>
              <w:t>coeff</w:t>
            </w:r>
            <w:r>
              <w:rPr>
                <w:rFonts w:ascii="Times New Roman" w:eastAsia="Times New Roman" w:hAnsi="Times New Roman" w:cs="Times New Roman"/>
                <w:color w:val="FFFFFF"/>
                <w:kern w:val="0"/>
                <w:lang w:eastAsia="es-ES"/>
                <w14:ligatures w14:val="none"/>
              </w:rPr>
              <w:t>lujos</w:t>
            </w:r>
            <w:proofErr w:type="spellEnd"/>
          </w:p>
        </w:tc>
        <w:tc>
          <w:tcPr>
            <w:tcW w:w="1420" w:type="dxa"/>
            <w:tcBorders>
              <w:top w:val="single" w:sz="4" w:space="0" w:color="auto"/>
              <w:left w:val="nil"/>
              <w:bottom w:val="single" w:sz="4" w:space="0" w:color="auto"/>
              <w:right w:val="single" w:sz="4" w:space="0" w:color="auto"/>
            </w:tcBorders>
            <w:shd w:val="clear" w:color="000000" w:fill="002060"/>
            <w:noWrap/>
            <w:vAlign w:val="bottom"/>
            <w:hideMark/>
          </w:tcPr>
          <w:p w14:paraId="602A5DAF"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proofErr w:type="spellStart"/>
            <w:r w:rsidRPr="00AB310A">
              <w:rPr>
                <w:rFonts w:ascii="Times New Roman" w:eastAsia="Times New Roman" w:hAnsi="Times New Roman" w:cs="Times New Roman"/>
                <w:color w:val="FFFFFF"/>
                <w:kern w:val="0"/>
                <w:lang w:eastAsia="es-ES"/>
                <w14:ligatures w14:val="none"/>
              </w:rPr>
              <w:t>coefrmrf</w:t>
            </w:r>
            <w:proofErr w:type="spellEnd"/>
          </w:p>
        </w:tc>
        <w:tc>
          <w:tcPr>
            <w:tcW w:w="1500" w:type="dxa"/>
            <w:tcBorders>
              <w:top w:val="single" w:sz="4" w:space="0" w:color="auto"/>
              <w:left w:val="nil"/>
              <w:bottom w:val="single" w:sz="4" w:space="0" w:color="auto"/>
              <w:right w:val="single" w:sz="4" w:space="0" w:color="auto"/>
            </w:tcBorders>
            <w:shd w:val="clear" w:color="000000" w:fill="002060"/>
            <w:noWrap/>
            <w:vAlign w:val="bottom"/>
            <w:hideMark/>
          </w:tcPr>
          <w:p w14:paraId="5458F942"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proofErr w:type="spellStart"/>
            <w:r w:rsidRPr="00AB310A">
              <w:rPr>
                <w:rFonts w:ascii="Times New Roman" w:eastAsia="Times New Roman" w:hAnsi="Times New Roman" w:cs="Times New Roman"/>
                <w:color w:val="FFFFFF"/>
                <w:kern w:val="0"/>
                <w:lang w:eastAsia="es-ES"/>
                <w14:ligatures w14:val="none"/>
              </w:rPr>
              <w:t>const</w:t>
            </w:r>
            <w:proofErr w:type="spellEnd"/>
          </w:p>
        </w:tc>
        <w:tc>
          <w:tcPr>
            <w:tcW w:w="1680" w:type="dxa"/>
            <w:tcBorders>
              <w:top w:val="single" w:sz="4" w:space="0" w:color="auto"/>
              <w:left w:val="nil"/>
              <w:bottom w:val="single" w:sz="4" w:space="0" w:color="auto"/>
              <w:right w:val="single" w:sz="4" w:space="0" w:color="auto"/>
            </w:tcBorders>
            <w:shd w:val="clear" w:color="000000" w:fill="002060"/>
            <w:noWrap/>
            <w:vAlign w:val="bottom"/>
            <w:hideMark/>
          </w:tcPr>
          <w:p w14:paraId="745F4E63" w14:textId="1EB11B1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proofErr w:type="spellStart"/>
            <w:r w:rsidRPr="00AB310A">
              <w:rPr>
                <w:rFonts w:ascii="Times New Roman" w:eastAsia="Times New Roman" w:hAnsi="Times New Roman" w:cs="Times New Roman"/>
                <w:color w:val="FFFFFF"/>
                <w:kern w:val="0"/>
                <w:lang w:eastAsia="es-ES"/>
                <w14:ligatures w14:val="none"/>
              </w:rPr>
              <w:t>pvalor</w:t>
            </w:r>
            <w:r>
              <w:rPr>
                <w:rFonts w:ascii="Times New Roman" w:eastAsia="Times New Roman" w:hAnsi="Times New Roman" w:cs="Times New Roman"/>
                <w:color w:val="FFFFFF"/>
                <w:kern w:val="0"/>
                <w:lang w:eastAsia="es-ES"/>
                <w14:ligatures w14:val="none"/>
              </w:rPr>
              <w:t>flujos</w:t>
            </w:r>
            <w:proofErr w:type="spellEnd"/>
          </w:p>
        </w:tc>
      </w:tr>
      <w:tr w:rsidR="00AB310A" w:rsidRPr="00AB310A" w14:paraId="73B73CFA"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13EF7E4"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COR</w:t>
            </w:r>
          </w:p>
        </w:tc>
        <w:tc>
          <w:tcPr>
            <w:tcW w:w="1500" w:type="dxa"/>
            <w:tcBorders>
              <w:top w:val="nil"/>
              <w:left w:val="nil"/>
              <w:bottom w:val="single" w:sz="4" w:space="0" w:color="auto"/>
              <w:right w:val="single" w:sz="4" w:space="0" w:color="auto"/>
            </w:tcBorders>
            <w:shd w:val="clear" w:color="auto" w:fill="auto"/>
            <w:noWrap/>
            <w:vAlign w:val="center"/>
            <w:hideMark/>
          </w:tcPr>
          <w:p w14:paraId="67B88C0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0,1647</w:t>
            </w:r>
          </w:p>
        </w:tc>
        <w:tc>
          <w:tcPr>
            <w:tcW w:w="1500" w:type="dxa"/>
            <w:tcBorders>
              <w:top w:val="nil"/>
              <w:left w:val="nil"/>
              <w:bottom w:val="single" w:sz="4" w:space="0" w:color="auto"/>
              <w:right w:val="single" w:sz="4" w:space="0" w:color="auto"/>
            </w:tcBorders>
            <w:shd w:val="clear" w:color="auto" w:fill="auto"/>
            <w:noWrap/>
            <w:vAlign w:val="center"/>
            <w:hideMark/>
          </w:tcPr>
          <w:p w14:paraId="2DE14DE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-0,2413</w:t>
            </w:r>
          </w:p>
        </w:tc>
        <w:tc>
          <w:tcPr>
            <w:tcW w:w="1500" w:type="dxa"/>
            <w:tcBorders>
              <w:top w:val="nil"/>
              <w:left w:val="nil"/>
              <w:bottom w:val="single" w:sz="4" w:space="0" w:color="auto"/>
              <w:right w:val="single" w:sz="4" w:space="0" w:color="auto"/>
            </w:tcBorders>
            <w:shd w:val="clear" w:color="auto" w:fill="auto"/>
            <w:noWrap/>
            <w:vAlign w:val="center"/>
            <w:hideMark/>
          </w:tcPr>
          <w:p w14:paraId="377655E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0,5209</w:t>
            </w:r>
          </w:p>
        </w:tc>
        <w:tc>
          <w:tcPr>
            <w:tcW w:w="1420" w:type="dxa"/>
            <w:tcBorders>
              <w:top w:val="nil"/>
              <w:left w:val="nil"/>
              <w:bottom w:val="single" w:sz="4" w:space="0" w:color="auto"/>
              <w:right w:val="single" w:sz="4" w:space="0" w:color="auto"/>
            </w:tcBorders>
            <w:shd w:val="clear" w:color="auto" w:fill="auto"/>
            <w:noWrap/>
            <w:vAlign w:val="center"/>
            <w:hideMark/>
          </w:tcPr>
          <w:p w14:paraId="51CB827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0,5917</w:t>
            </w:r>
          </w:p>
        </w:tc>
        <w:tc>
          <w:tcPr>
            <w:tcW w:w="1500" w:type="dxa"/>
            <w:tcBorders>
              <w:top w:val="nil"/>
              <w:left w:val="nil"/>
              <w:bottom w:val="single" w:sz="4" w:space="0" w:color="auto"/>
              <w:right w:val="single" w:sz="4" w:space="0" w:color="auto"/>
            </w:tcBorders>
            <w:shd w:val="clear" w:color="auto" w:fill="auto"/>
            <w:noWrap/>
            <w:vAlign w:val="center"/>
            <w:hideMark/>
          </w:tcPr>
          <w:p w14:paraId="07583A5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0,0010</w:t>
            </w:r>
          </w:p>
        </w:tc>
        <w:tc>
          <w:tcPr>
            <w:tcW w:w="1680" w:type="dxa"/>
            <w:tcBorders>
              <w:top w:val="nil"/>
              <w:left w:val="nil"/>
              <w:bottom w:val="single" w:sz="4" w:space="0" w:color="auto"/>
              <w:right w:val="single" w:sz="4" w:space="0" w:color="auto"/>
            </w:tcBorders>
            <w:shd w:val="clear" w:color="auto" w:fill="auto"/>
            <w:noWrap/>
            <w:vAlign w:val="center"/>
            <w:hideMark/>
          </w:tcPr>
          <w:p w14:paraId="5EC2D6C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0,0015</w:t>
            </w:r>
          </w:p>
        </w:tc>
      </w:tr>
      <w:tr w:rsidR="00AB310A" w:rsidRPr="00AB310A" w14:paraId="71947F19"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57AB4019"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ACN</w:t>
            </w:r>
          </w:p>
        </w:tc>
        <w:tc>
          <w:tcPr>
            <w:tcW w:w="1500" w:type="dxa"/>
            <w:tcBorders>
              <w:top w:val="nil"/>
              <w:left w:val="nil"/>
              <w:bottom w:val="single" w:sz="4" w:space="0" w:color="auto"/>
              <w:right w:val="single" w:sz="4" w:space="0" w:color="auto"/>
            </w:tcBorders>
            <w:shd w:val="clear" w:color="auto" w:fill="auto"/>
            <w:noWrap/>
            <w:vAlign w:val="center"/>
            <w:hideMark/>
          </w:tcPr>
          <w:p w14:paraId="5FC6F3E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-0,0893</w:t>
            </w:r>
          </w:p>
        </w:tc>
        <w:tc>
          <w:tcPr>
            <w:tcW w:w="1500" w:type="dxa"/>
            <w:tcBorders>
              <w:top w:val="nil"/>
              <w:left w:val="nil"/>
              <w:bottom w:val="single" w:sz="4" w:space="0" w:color="auto"/>
              <w:right w:val="single" w:sz="4" w:space="0" w:color="auto"/>
            </w:tcBorders>
            <w:shd w:val="clear" w:color="auto" w:fill="auto"/>
            <w:noWrap/>
            <w:vAlign w:val="center"/>
            <w:hideMark/>
          </w:tcPr>
          <w:p w14:paraId="6E8778D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0,0533</w:t>
            </w:r>
          </w:p>
        </w:tc>
        <w:tc>
          <w:tcPr>
            <w:tcW w:w="1500" w:type="dxa"/>
            <w:tcBorders>
              <w:top w:val="nil"/>
              <w:left w:val="nil"/>
              <w:bottom w:val="single" w:sz="4" w:space="0" w:color="auto"/>
              <w:right w:val="single" w:sz="4" w:space="0" w:color="auto"/>
            </w:tcBorders>
            <w:shd w:val="clear" w:color="auto" w:fill="auto"/>
            <w:noWrap/>
            <w:vAlign w:val="center"/>
            <w:hideMark/>
          </w:tcPr>
          <w:p w14:paraId="5E3402C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0,4257</w:t>
            </w:r>
          </w:p>
        </w:tc>
        <w:tc>
          <w:tcPr>
            <w:tcW w:w="1420" w:type="dxa"/>
            <w:tcBorders>
              <w:top w:val="nil"/>
              <w:left w:val="nil"/>
              <w:bottom w:val="single" w:sz="4" w:space="0" w:color="auto"/>
              <w:right w:val="single" w:sz="4" w:space="0" w:color="auto"/>
            </w:tcBorders>
            <w:shd w:val="clear" w:color="auto" w:fill="auto"/>
            <w:noWrap/>
            <w:vAlign w:val="center"/>
            <w:hideMark/>
          </w:tcPr>
          <w:p w14:paraId="0C5CA14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1,0179</w:t>
            </w:r>
          </w:p>
        </w:tc>
        <w:tc>
          <w:tcPr>
            <w:tcW w:w="1500" w:type="dxa"/>
            <w:tcBorders>
              <w:top w:val="nil"/>
              <w:left w:val="nil"/>
              <w:bottom w:val="single" w:sz="4" w:space="0" w:color="auto"/>
              <w:right w:val="single" w:sz="4" w:space="0" w:color="auto"/>
            </w:tcBorders>
            <w:shd w:val="clear" w:color="auto" w:fill="auto"/>
            <w:noWrap/>
            <w:vAlign w:val="center"/>
            <w:hideMark/>
          </w:tcPr>
          <w:p w14:paraId="58A4181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-0,0014</w:t>
            </w:r>
          </w:p>
        </w:tc>
        <w:tc>
          <w:tcPr>
            <w:tcW w:w="1680" w:type="dxa"/>
            <w:tcBorders>
              <w:top w:val="nil"/>
              <w:left w:val="nil"/>
              <w:bottom w:val="single" w:sz="4" w:space="0" w:color="auto"/>
              <w:right w:val="single" w:sz="4" w:space="0" w:color="auto"/>
            </w:tcBorders>
            <w:shd w:val="clear" w:color="auto" w:fill="auto"/>
            <w:noWrap/>
            <w:vAlign w:val="center"/>
            <w:hideMark/>
          </w:tcPr>
          <w:p w14:paraId="2A3C97B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0,0023</w:t>
            </w:r>
          </w:p>
        </w:tc>
      </w:tr>
      <w:tr w:rsidR="00AB310A" w:rsidRPr="00AB310A" w14:paraId="2931910E"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68DCD073"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NCLH</w:t>
            </w:r>
          </w:p>
        </w:tc>
        <w:tc>
          <w:tcPr>
            <w:tcW w:w="1500" w:type="dxa"/>
            <w:tcBorders>
              <w:top w:val="nil"/>
              <w:left w:val="nil"/>
              <w:bottom w:val="single" w:sz="4" w:space="0" w:color="auto"/>
              <w:right w:val="single" w:sz="4" w:space="0" w:color="auto"/>
            </w:tcBorders>
            <w:shd w:val="clear" w:color="auto" w:fill="auto"/>
            <w:noWrap/>
            <w:vAlign w:val="center"/>
            <w:hideMark/>
          </w:tcPr>
          <w:p w14:paraId="7A35BB0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1,3001</w:t>
            </w:r>
          </w:p>
        </w:tc>
        <w:tc>
          <w:tcPr>
            <w:tcW w:w="1500" w:type="dxa"/>
            <w:tcBorders>
              <w:top w:val="nil"/>
              <w:left w:val="nil"/>
              <w:bottom w:val="single" w:sz="4" w:space="0" w:color="auto"/>
              <w:right w:val="single" w:sz="4" w:space="0" w:color="auto"/>
            </w:tcBorders>
            <w:shd w:val="clear" w:color="auto" w:fill="auto"/>
            <w:noWrap/>
            <w:vAlign w:val="center"/>
            <w:hideMark/>
          </w:tcPr>
          <w:p w14:paraId="7A558B1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1,7342</w:t>
            </w:r>
          </w:p>
        </w:tc>
        <w:tc>
          <w:tcPr>
            <w:tcW w:w="1500" w:type="dxa"/>
            <w:tcBorders>
              <w:top w:val="nil"/>
              <w:left w:val="nil"/>
              <w:bottom w:val="single" w:sz="4" w:space="0" w:color="auto"/>
              <w:right w:val="single" w:sz="4" w:space="0" w:color="auto"/>
            </w:tcBorders>
            <w:shd w:val="clear" w:color="auto" w:fill="auto"/>
            <w:noWrap/>
            <w:vAlign w:val="center"/>
            <w:hideMark/>
          </w:tcPr>
          <w:p w14:paraId="3EC588A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-1,4329</w:t>
            </w:r>
          </w:p>
        </w:tc>
        <w:tc>
          <w:tcPr>
            <w:tcW w:w="1420" w:type="dxa"/>
            <w:tcBorders>
              <w:top w:val="nil"/>
              <w:left w:val="nil"/>
              <w:bottom w:val="single" w:sz="4" w:space="0" w:color="auto"/>
              <w:right w:val="single" w:sz="4" w:space="0" w:color="auto"/>
            </w:tcBorders>
            <w:shd w:val="clear" w:color="auto" w:fill="auto"/>
            <w:noWrap/>
            <w:vAlign w:val="center"/>
            <w:hideMark/>
          </w:tcPr>
          <w:p w14:paraId="3B1881C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2,2850</w:t>
            </w:r>
          </w:p>
        </w:tc>
        <w:tc>
          <w:tcPr>
            <w:tcW w:w="1500" w:type="dxa"/>
            <w:tcBorders>
              <w:top w:val="nil"/>
              <w:left w:val="nil"/>
              <w:bottom w:val="single" w:sz="4" w:space="0" w:color="auto"/>
              <w:right w:val="single" w:sz="4" w:space="0" w:color="auto"/>
            </w:tcBorders>
            <w:shd w:val="clear" w:color="auto" w:fill="auto"/>
            <w:noWrap/>
            <w:vAlign w:val="center"/>
            <w:hideMark/>
          </w:tcPr>
          <w:p w14:paraId="3636921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-0,0067</w:t>
            </w:r>
          </w:p>
        </w:tc>
        <w:tc>
          <w:tcPr>
            <w:tcW w:w="1680" w:type="dxa"/>
            <w:tcBorders>
              <w:top w:val="nil"/>
              <w:left w:val="nil"/>
              <w:bottom w:val="single" w:sz="4" w:space="0" w:color="auto"/>
              <w:right w:val="single" w:sz="4" w:space="0" w:color="auto"/>
            </w:tcBorders>
            <w:shd w:val="clear" w:color="auto" w:fill="auto"/>
            <w:noWrap/>
            <w:vAlign w:val="center"/>
            <w:hideMark/>
          </w:tcPr>
          <w:p w14:paraId="668F796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0,0024</w:t>
            </w:r>
          </w:p>
        </w:tc>
      </w:tr>
      <w:tr w:rsidR="00AB310A" w:rsidRPr="00AB310A" w14:paraId="3F45086C"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6D968CBE"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CNC</w:t>
            </w:r>
          </w:p>
        </w:tc>
        <w:tc>
          <w:tcPr>
            <w:tcW w:w="1500" w:type="dxa"/>
            <w:tcBorders>
              <w:top w:val="nil"/>
              <w:left w:val="nil"/>
              <w:bottom w:val="single" w:sz="4" w:space="0" w:color="auto"/>
              <w:right w:val="single" w:sz="4" w:space="0" w:color="auto"/>
            </w:tcBorders>
            <w:shd w:val="clear" w:color="auto" w:fill="auto"/>
            <w:noWrap/>
            <w:vAlign w:val="center"/>
            <w:hideMark/>
          </w:tcPr>
          <w:p w14:paraId="43A239E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0,0971</w:t>
            </w:r>
          </w:p>
        </w:tc>
        <w:tc>
          <w:tcPr>
            <w:tcW w:w="1500" w:type="dxa"/>
            <w:tcBorders>
              <w:top w:val="nil"/>
              <w:left w:val="nil"/>
              <w:bottom w:val="single" w:sz="4" w:space="0" w:color="auto"/>
              <w:right w:val="single" w:sz="4" w:space="0" w:color="auto"/>
            </w:tcBorders>
            <w:shd w:val="clear" w:color="auto" w:fill="auto"/>
            <w:noWrap/>
            <w:vAlign w:val="center"/>
            <w:hideMark/>
          </w:tcPr>
          <w:p w14:paraId="4193331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-0,4890</w:t>
            </w:r>
          </w:p>
        </w:tc>
        <w:tc>
          <w:tcPr>
            <w:tcW w:w="1500" w:type="dxa"/>
            <w:tcBorders>
              <w:top w:val="nil"/>
              <w:left w:val="nil"/>
              <w:bottom w:val="single" w:sz="4" w:space="0" w:color="auto"/>
              <w:right w:val="single" w:sz="4" w:space="0" w:color="auto"/>
            </w:tcBorders>
            <w:shd w:val="clear" w:color="auto" w:fill="auto"/>
            <w:noWrap/>
            <w:vAlign w:val="center"/>
            <w:hideMark/>
          </w:tcPr>
          <w:p w14:paraId="471C0F1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0,7448</w:t>
            </w:r>
          </w:p>
        </w:tc>
        <w:tc>
          <w:tcPr>
            <w:tcW w:w="1420" w:type="dxa"/>
            <w:tcBorders>
              <w:top w:val="nil"/>
              <w:left w:val="nil"/>
              <w:bottom w:val="single" w:sz="4" w:space="0" w:color="auto"/>
              <w:right w:val="single" w:sz="4" w:space="0" w:color="auto"/>
            </w:tcBorders>
            <w:shd w:val="clear" w:color="auto" w:fill="auto"/>
            <w:noWrap/>
            <w:vAlign w:val="center"/>
            <w:hideMark/>
          </w:tcPr>
          <w:p w14:paraId="1A7AAF8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0,9237</w:t>
            </w:r>
          </w:p>
        </w:tc>
        <w:tc>
          <w:tcPr>
            <w:tcW w:w="1500" w:type="dxa"/>
            <w:tcBorders>
              <w:top w:val="nil"/>
              <w:left w:val="nil"/>
              <w:bottom w:val="single" w:sz="4" w:space="0" w:color="auto"/>
              <w:right w:val="single" w:sz="4" w:space="0" w:color="auto"/>
            </w:tcBorders>
            <w:shd w:val="clear" w:color="auto" w:fill="auto"/>
            <w:noWrap/>
            <w:vAlign w:val="center"/>
            <w:hideMark/>
          </w:tcPr>
          <w:p w14:paraId="6FABC7C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-0,0039</w:t>
            </w:r>
          </w:p>
        </w:tc>
        <w:tc>
          <w:tcPr>
            <w:tcW w:w="1680" w:type="dxa"/>
            <w:tcBorders>
              <w:top w:val="nil"/>
              <w:left w:val="nil"/>
              <w:bottom w:val="single" w:sz="4" w:space="0" w:color="auto"/>
              <w:right w:val="single" w:sz="4" w:space="0" w:color="auto"/>
            </w:tcBorders>
            <w:shd w:val="clear" w:color="auto" w:fill="auto"/>
            <w:noWrap/>
            <w:vAlign w:val="center"/>
            <w:hideMark/>
          </w:tcPr>
          <w:p w14:paraId="2C1BBD9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0,0034</w:t>
            </w:r>
          </w:p>
        </w:tc>
      </w:tr>
      <w:tr w:rsidR="00AB310A" w:rsidRPr="00AB310A" w14:paraId="616FA8F5"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5660E469"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JPM</w:t>
            </w:r>
          </w:p>
        </w:tc>
        <w:tc>
          <w:tcPr>
            <w:tcW w:w="1500" w:type="dxa"/>
            <w:tcBorders>
              <w:top w:val="nil"/>
              <w:left w:val="nil"/>
              <w:bottom w:val="single" w:sz="4" w:space="0" w:color="auto"/>
              <w:right w:val="single" w:sz="4" w:space="0" w:color="auto"/>
            </w:tcBorders>
            <w:shd w:val="clear" w:color="auto" w:fill="auto"/>
            <w:noWrap/>
            <w:vAlign w:val="center"/>
            <w:hideMark/>
          </w:tcPr>
          <w:p w14:paraId="5E276D6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0,7595</w:t>
            </w:r>
          </w:p>
        </w:tc>
        <w:tc>
          <w:tcPr>
            <w:tcW w:w="1500" w:type="dxa"/>
            <w:tcBorders>
              <w:top w:val="nil"/>
              <w:left w:val="nil"/>
              <w:bottom w:val="single" w:sz="4" w:space="0" w:color="auto"/>
              <w:right w:val="single" w:sz="4" w:space="0" w:color="auto"/>
            </w:tcBorders>
            <w:shd w:val="clear" w:color="auto" w:fill="auto"/>
            <w:noWrap/>
            <w:vAlign w:val="center"/>
            <w:hideMark/>
          </w:tcPr>
          <w:p w14:paraId="299DF44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-0,0305</w:t>
            </w:r>
          </w:p>
        </w:tc>
        <w:tc>
          <w:tcPr>
            <w:tcW w:w="1500" w:type="dxa"/>
            <w:tcBorders>
              <w:top w:val="nil"/>
              <w:left w:val="nil"/>
              <w:bottom w:val="single" w:sz="4" w:space="0" w:color="auto"/>
              <w:right w:val="single" w:sz="4" w:space="0" w:color="auto"/>
            </w:tcBorders>
            <w:shd w:val="clear" w:color="auto" w:fill="auto"/>
            <w:noWrap/>
            <w:vAlign w:val="center"/>
            <w:hideMark/>
          </w:tcPr>
          <w:p w14:paraId="2BB0D6B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0,3749</w:t>
            </w:r>
          </w:p>
        </w:tc>
        <w:tc>
          <w:tcPr>
            <w:tcW w:w="1420" w:type="dxa"/>
            <w:tcBorders>
              <w:top w:val="nil"/>
              <w:left w:val="nil"/>
              <w:bottom w:val="single" w:sz="4" w:space="0" w:color="auto"/>
              <w:right w:val="single" w:sz="4" w:space="0" w:color="auto"/>
            </w:tcBorders>
            <w:shd w:val="clear" w:color="auto" w:fill="auto"/>
            <w:noWrap/>
            <w:vAlign w:val="center"/>
            <w:hideMark/>
          </w:tcPr>
          <w:p w14:paraId="3A2996D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1,0534</w:t>
            </w:r>
          </w:p>
        </w:tc>
        <w:tc>
          <w:tcPr>
            <w:tcW w:w="1500" w:type="dxa"/>
            <w:tcBorders>
              <w:top w:val="nil"/>
              <w:left w:val="nil"/>
              <w:bottom w:val="single" w:sz="4" w:space="0" w:color="auto"/>
              <w:right w:val="single" w:sz="4" w:space="0" w:color="auto"/>
            </w:tcBorders>
            <w:shd w:val="clear" w:color="auto" w:fill="auto"/>
            <w:noWrap/>
            <w:vAlign w:val="center"/>
            <w:hideMark/>
          </w:tcPr>
          <w:p w14:paraId="688CEC6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-0,0031</w:t>
            </w:r>
          </w:p>
        </w:tc>
        <w:tc>
          <w:tcPr>
            <w:tcW w:w="1680" w:type="dxa"/>
            <w:tcBorders>
              <w:top w:val="nil"/>
              <w:left w:val="nil"/>
              <w:bottom w:val="single" w:sz="4" w:space="0" w:color="auto"/>
              <w:right w:val="single" w:sz="4" w:space="0" w:color="auto"/>
            </w:tcBorders>
            <w:shd w:val="clear" w:color="auto" w:fill="auto"/>
            <w:noWrap/>
            <w:vAlign w:val="center"/>
            <w:hideMark/>
          </w:tcPr>
          <w:p w14:paraId="0156290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0,0036</w:t>
            </w:r>
          </w:p>
        </w:tc>
      </w:tr>
      <w:tr w:rsidR="00AB310A" w:rsidRPr="00AB310A" w14:paraId="2586EC4F"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13B1B58B"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AMP</w:t>
            </w:r>
          </w:p>
        </w:tc>
        <w:tc>
          <w:tcPr>
            <w:tcW w:w="1500" w:type="dxa"/>
            <w:tcBorders>
              <w:top w:val="nil"/>
              <w:left w:val="nil"/>
              <w:bottom w:val="single" w:sz="4" w:space="0" w:color="auto"/>
              <w:right w:val="single" w:sz="4" w:space="0" w:color="auto"/>
            </w:tcBorders>
            <w:shd w:val="clear" w:color="auto" w:fill="auto"/>
            <w:noWrap/>
            <w:vAlign w:val="center"/>
            <w:hideMark/>
          </w:tcPr>
          <w:p w14:paraId="238E621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0,6501</w:t>
            </w:r>
          </w:p>
        </w:tc>
        <w:tc>
          <w:tcPr>
            <w:tcW w:w="1500" w:type="dxa"/>
            <w:tcBorders>
              <w:top w:val="nil"/>
              <w:left w:val="nil"/>
              <w:bottom w:val="single" w:sz="4" w:space="0" w:color="auto"/>
              <w:right w:val="single" w:sz="4" w:space="0" w:color="auto"/>
            </w:tcBorders>
            <w:shd w:val="clear" w:color="auto" w:fill="auto"/>
            <w:noWrap/>
            <w:vAlign w:val="center"/>
            <w:hideMark/>
          </w:tcPr>
          <w:p w14:paraId="28553EC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0,1914</w:t>
            </w:r>
          </w:p>
        </w:tc>
        <w:tc>
          <w:tcPr>
            <w:tcW w:w="1500" w:type="dxa"/>
            <w:tcBorders>
              <w:top w:val="nil"/>
              <w:left w:val="nil"/>
              <w:bottom w:val="single" w:sz="4" w:space="0" w:color="auto"/>
              <w:right w:val="single" w:sz="4" w:space="0" w:color="auto"/>
            </w:tcBorders>
            <w:shd w:val="clear" w:color="auto" w:fill="auto"/>
            <w:noWrap/>
            <w:vAlign w:val="center"/>
            <w:hideMark/>
          </w:tcPr>
          <w:p w14:paraId="69573EB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0,3814</w:t>
            </w:r>
          </w:p>
        </w:tc>
        <w:tc>
          <w:tcPr>
            <w:tcW w:w="1420" w:type="dxa"/>
            <w:tcBorders>
              <w:top w:val="nil"/>
              <w:left w:val="nil"/>
              <w:bottom w:val="single" w:sz="4" w:space="0" w:color="auto"/>
              <w:right w:val="single" w:sz="4" w:space="0" w:color="auto"/>
            </w:tcBorders>
            <w:shd w:val="clear" w:color="auto" w:fill="auto"/>
            <w:noWrap/>
            <w:vAlign w:val="center"/>
            <w:hideMark/>
          </w:tcPr>
          <w:p w14:paraId="530F246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1,3480</w:t>
            </w:r>
          </w:p>
        </w:tc>
        <w:tc>
          <w:tcPr>
            <w:tcW w:w="1500" w:type="dxa"/>
            <w:tcBorders>
              <w:top w:val="nil"/>
              <w:left w:val="nil"/>
              <w:bottom w:val="single" w:sz="4" w:space="0" w:color="auto"/>
              <w:right w:val="single" w:sz="4" w:space="0" w:color="auto"/>
            </w:tcBorders>
            <w:shd w:val="clear" w:color="auto" w:fill="auto"/>
            <w:noWrap/>
            <w:vAlign w:val="center"/>
            <w:hideMark/>
          </w:tcPr>
          <w:p w14:paraId="06F3E59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-0,0008</w:t>
            </w:r>
          </w:p>
        </w:tc>
        <w:tc>
          <w:tcPr>
            <w:tcW w:w="1680" w:type="dxa"/>
            <w:tcBorders>
              <w:top w:val="nil"/>
              <w:left w:val="nil"/>
              <w:bottom w:val="single" w:sz="4" w:space="0" w:color="auto"/>
              <w:right w:val="single" w:sz="4" w:space="0" w:color="auto"/>
            </w:tcBorders>
            <w:shd w:val="clear" w:color="auto" w:fill="auto"/>
            <w:noWrap/>
            <w:vAlign w:val="center"/>
            <w:hideMark/>
          </w:tcPr>
          <w:p w14:paraId="55BBED2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0,0065</w:t>
            </w:r>
          </w:p>
        </w:tc>
      </w:tr>
      <w:tr w:rsidR="00AB310A" w:rsidRPr="00AB310A" w14:paraId="2D40F22D"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44244A12"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TRGP</w:t>
            </w:r>
          </w:p>
        </w:tc>
        <w:tc>
          <w:tcPr>
            <w:tcW w:w="1500" w:type="dxa"/>
            <w:tcBorders>
              <w:top w:val="nil"/>
              <w:left w:val="nil"/>
              <w:bottom w:val="single" w:sz="4" w:space="0" w:color="auto"/>
              <w:right w:val="single" w:sz="4" w:space="0" w:color="auto"/>
            </w:tcBorders>
            <w:shd w:val="clear" w:color="auto" w:fill="auto"/>
            <w:noWrap/>
            <w:vAlign w:val="center"/>
            <w:hideMark/>
          </w:tcPr>
          <w:p w14:paraId="3F3A774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1,5038</w:t>
            </w:r>
          </w:p>
        </w:tc>
        <w:tc>
          <w:tcPr>
            <w:tcW w:w="1500" w:type="dxa"/>
            <w:tcBorders>
              <w:top w:val="nil"/>
              <w:left w:val="nil"/>
              <w:bottom w:val="single" w:sz="4" w:space="0" w:color="auto"/>
              <w:right w:val="single" w:sz="4" w:space="0" w:color="auto"/>
            </w:tcBorders>
            <w:shd w:val="clear" w:color="auto" w:fill="auto"/>
            <w:noWrap/>
            <w:vAlign w:val="center"/>
            <w:hideMark/>
          </w:tcPr>
          <w:p w14:paraId="40FF618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1,1323</w:t>
            </w:r>
          </w:p>
        </w:tc>
        <w:tc>
          <w:tcPr>
            <w:tcW w:w="1500" w:type="dxa"/>
            <w:tcBorders>
              <w:top w:val="nil"/>
              <w:left w:val="nil"/>
              <w:bottom w:val="single" w:sz="4" w:space="0" w:color="auto"/>
              <w:right w:val="single" w:sz="4" w:space="0" w:color="auto"/>
            </w:tcBorders>
            <w:shd w:val="clear" w:color="auto" w:fill="auto"/>
            <w:noWrap/>
            <w:vAlign w:val="center"/>
            <w:hideMark/>
          </w:tcPr>
          <w:p w14:paraId="204D0D0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-0,9735</w:t>
            </w:r>
          </w:p>
        </w:tc>
        <w:tc>
          <w:tcPr>
            <w:tcW w:w="1420" w:type="dxa"/>
            <w:tcBorders>
              <w:top w:val="nil"/>
              <w:left w:val="nil"/>
              <w:bottom w:val="single" w:sz="4" w:space="0" w:color="auto"/>
              <w:right w:val="single" w:sz="4" w:space="0" w:color="auto"/>
            </w:tcBorders>
            <w:shd w:val="clear" w:color="auto" w:fill="auto"/>
            <w:noWrap/>
            <w:vAlign w:val="center"/>
            <w:hideMark/>
          </w:tcPr>
          <w:p w14:paraId="46F973A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1,6767</w:t>
            </w:r>
          </w:p>
        </w:tc>
        <w:tc>
          <w:tcPr>
            <w:tcW w:w="1500" w:type="dxa"/>
            <w:tcBorders>
              <w:top w:val="nil"/>
              <w:left w:val="nil"/>
              <w:bottom w:val="single" w:sz="4" w:space="0" w:color="auto"/>
              <w:right w:val="single" w:sz="4" w:space="0" w:color="auto"/>
            </w:tcBorders>
            <w:shd w:val="clear" w:color="auto" w:fill="auto"/>
            <w:noWrap/>
            <w:vAlign w:val="center"/>
            <w:hideMark/>
          </w:tcPr>
          <w:p w14:paraId="6AD58FC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0,0019</w:t>
            </w:r>
          </w:p>
        </w:tc>
        <w:tc>
          <w:tcPr>
            <w:tcW w:w="1680" w:type="dxa"/>
            <w:tcBorders>
              <w:top w:val="nil"/>
              <w:left w:val="nil"/>
              <w:bottom w:val="single" w:sz="4" w:space="0" w:color="auto"/>
              <w:right w:val="single" w:sz="4" w:space="0" w:color="auto"/>
            </w:tcBorders>
            <w:shd w:val="clear" w:color="auto" w:fill="auto"/>
            <w:noWrap/>
            <w:vAlign w:val="center"/>
            <w:hideMark/>
          </w:tcPr>
          <w:p w14:paraId="1DFA7AA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0,0085</w:t>
            </w:r>
          </w:p>
        </w:tc>
      </w:tr>
      <w:tr w:rsidR="00AB310A" w:rsidRPr="00AB310A" w14:paraId="4B7A672D"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2F976C16"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JKHY</w:t>
            </w:r>
          </w:p>
        </w:tc>
        <w:tc>
          <w:tcPr>
            <w:tcW w:w="1500" w:type="dxa"/>
            <w:tcBorders>
              <w:top w:val="nil"/>
              <w:left w:val="nil"/>
              <w:bottom w:val="single" w:sz="4" w:space="0" w:color="auto"/>
              <w:right w:val="single" w:sz="4" w:space="0" w:color="auto"/>
            </w:tcBorders>
            <w:shd w:val="clear" w:color="auto" w:fill="auto"/>
            <w:noWrap/>
            <w:vAlign w:val="center"/>
            <w:hideMark/>
          </w:tcPr>
          <w:p w14:paraId="5F1A434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0,0368</w:t>
            </w:r>
          </w:p>
        </w:tc>
        <w:tc>
          <w:tcPr>
            <w:tcW w:w="1500" w:type="dxa"/>
            <w:tcBorders>
              <w:top w:val="nil"/>
              <w:left w:val="nil"/>
              <w:bottom w:val="single" w:sz="4" w:space="0" w:color="auto"/>
              <w:right w:val="single" w:sz="4" w:space="0" w:color="auto"/>
            </w:tcBorders>
            <w:shd w:val="clear" w:color="auto" w:fill="auto"/>
            <w:noWrap/>
            <w:vAlign w:val="center"/>
            <w:hideMark/>
          </w:tcPr>
          <w:p w14:paraId="0D932ED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-0,2121</w:t>
            </w:r>
          </w:p>
        </w:tc>
        <w:tc>
          <w:tcPr>
            <w:tcW w:w="1500" w:type="dxa"/>
            <w:tcBorders>
              <w:top w:val="nil"/>
              <w:left w:val="nil"/>
              <w:bottom w:val="single" w:sz="4" w:space="0" w:color="auto"/>
              <w:right w:val="single" w:sz="4" w:space="0" w:color="auto"/>
            </w:tcBorders>
            <w:shd w:val="clear" w:color="auto" w:fill="auto"/>
            <w:noWrap/>
            <w:vAlign w:val="center"/>
            <w:hideMark/>
          </w:tcPr>
          <w:p w14:paraId="6277DAB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0,4888</w:t>
            </w:r>
          </w:p>
        </w:tc>
        <w:tc>
          <w:tcPr>
            <w:tcW w:w="1420" w:type="dxa"/>
            <w:tcBorders>
              <w:top w:val="nil"/>
              <w:left w:val="nil"/>
              <w:bottom w:val="single" w:sz="4" w:space="0" w:color="auto"/>
              <w:right w:val="single" w:sz="4" w:space="0" w:color="auto"/>
            </w:tcBorders>
            <w:shd w:val="clear" w:color="auto" w:fill="auto"/>
            <w:noWrap/>
            <w:vAlign w:val="center"/>
            <w:hideMark/>
          </w:tcPr>
          <w:p w14:paraId="2B0EBA0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0,7370</w:t>
            </w:r>
          </w:p>
        </w:tc>
        <w:tc>
          <w:tcPr>
            <w:tcW w:w="1500" w:type="dxa"/>
            <w:tcBorders>
              <w:top w:val="nil"/>
              <w:left w:val="nil"/>
              <w:bottom w:val="single" w:sz="4" w:space="0" w:color="auto"/>
              <w:right w:val="single" w:sz="4" w:space="0" w:color="auto"/>
            </w:tcBorders>
            <w:shd w:val="clear" w:color="auto" w:fill="auto"/>
            <w:noWrap/>
            <w:vAlign w:val="center"/>
            <w:hideMark/>
          </w:tcPr>
          <w:p w14:paraId="6F03A20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-0,0028</w:t>
            </w:r>
          </w:p>
        </w:tc>
        <w:tc>
          <w:tcPr>
            <w:tcW w:w="1680" w:type="dxa"/>
            <w:tcBorders>
              <w:top w:val="nil"/>
              <w:left w:val="nil"/>
              <w:bottom w:val="single" w:sz="4" w:space="0" w:color="auto"/>
              <w:right w:val="single" w:sz="4" w:space="0" w:color="auto"/>
            </w:tcBorders>
            <w:shd w:val="clear" w:color="auto" w:fill="auto"/>
            <w:noWrap/>
            <w:vAlign w:val="center"/>
            <w:hideMark/>
          </w:tcPr>
          <w:p w14:paraId="796C515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0,0092</w:t>
            </w:r>
          </w:p>
        </w:tc>
      </w:tr>
      <w:tr w:rsidR="00AB310A" w:rsidRPr="00AB310A" w14:paraId="57D378F7"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31D51612"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WYNN</w:t>
            </w:r>
          </w:p>
        </w:tc>
        <w:tc>
          <w:tcPr>
            <w:tcW w:w="1500" w:type="dxa"/>
            <w:tcBorders>
              <w:top w:val="nil"/>
              <w:left w:val="nil"/>
              <w:bottom w:val="single" w:sz="4" w:space="0" w:color="auto"/>
              <w:right w:val="single" w:sz="4" w:space="0" w:color="auto"/>
            </w:tcBorders>
            <w:shd w:val="clear" w:color="auto" w:fill="auto"/>
            <w:noWrap/>
            <w:vAlign w:val="center"/>
            <w:hideMark/>
          </w:tcPr>
          <w:p w14:paraId="56BC798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0,6855</w:t>
            </w:r>
          </w:p>
        </w:tc>
        <w:tc>
          <w:tcPr>
            <w:tcW w:w="1500" w:type="dxa"/>
            <w:tcBorders>
              <w:top w:val="nil"/>
              <w:left w:val="nil"/>
              <w:bottom w:val="single" w:sz="4" w:space="0" w:color="auto"/>
              <w:right w:val="single" w:sz="4" w:space="0" w:color="auto"/>
            </w:tcBorders>
            <w:shd w:val="clear" w:color="auto" w:fill="auto"/>
            <w:noWrap/>
            <w:vAlign w:val="center"/>
            <w:hideMark/>
          </w:tcPr>
          <w:p w14:paraId="178EBA0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0,6654</w:t>
            </w:r>
          </w:p>
        </w:tc>
        <w:tc>
          <w:tcPr>
            <w:tcW w:w="1500" w:type="dxa"/>
            <w:tcBorders>
              <w:top w:val="nil"/>
              <w:left w:val="nil"/>
              <w:bottom w:val="single" w:sz="4" w:space="0" w:color="auto"/>
              <w:right w:val="single" w:sz="4" w:space="0" w:color="auto"/>
            </w:tcBorders>
            <w:shd w:val="clear" w:color="auto" w:fill="auto"/>
            <w:noWrap/>
            <w:vAlign w:val="center"/>
            <w:hideMark/>
          </w:tcPr>
          <w:p w14:paraId="5982BEA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-0,8523</w:t>
            </w:r>
          </w:p>
        </w:tc>
        <w:tc>
          <w:tcPr>
            <w:tcW w:w="1420" w:type="dxa"/>
            <w:tcBorders>
              <w:top w:val="nil"/>
              <w:left w:val="nil"/>
              <w:bottom w:val="single" w:sz="4" w:space="0" w:color="auto"/>
              <w:right w:val="single" w:sz="4" w:space="0" w:color="auto"/>
            </w:tcBorders>
            <w:shd w:val="clear" w:color="auto" w:fill="auto"/>
            <w:noWrap/>
            <w:vAlign w:val="center"/>
            <w:hideMark/>
          </w:tcPr>
          <w:p w14:paraId="07D839E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1,7131</w:t>
            </w:r>
          </w:p>
        </w:tc>
        <w:tc>
          <w:tcPr>
            <w:tcW w:w="1500" w:type="dxa"/>
            <w:tcBorders>
              <w:top w:val="nil"/>
              <w:left w:val="nil"/>
              <w:bottom w:val="single" w:sz="4" w:space="0" w:color="auto"/>
              <w:right w:val="single" w:sz="4" w:space="0" w:color="auto"/>
            </w:tcBorders>
            <w:shd w:val="clear" w:color="auto" w:fill="auto"/>
            <w:noWrap/>
            <w:vAlign w:val="center"/>
            <w:hideMark/>
          </w:tcPr>
          <w:p w14:paraId="0D3104D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-0,0040</w:t>
            </w:r>
          </w:p>
        </w:tc>
        <w:tc>
          <w:tcPr>
            <w:tcW w:w="1680" w:type="dxa"/>
            <w:tcBorders>
              <w:top w:val="nil"/>
              <w:left w:val="nil"/>
              <w:bottom w:val="single" w:sz="4" w:space="0" w:color="auto"/>
              <w:right w:val="single" w:sz="4" w:space="0" w:color="auto"/>
            </w:tcBorders>
            <w:shd w:val="clear" w:color="auto" w:fill="auto"/>
            <w:noWrap/>
            <w:vAlign w:val="center"/>
            <w:hideMark/>
          </w:tcPr>
          <w:p w14:paraId="2C947ED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0,0093</w:t>
            </w:r>
          </w:p>
        </w:tc>
      </w:tr>
      <w:tr w:rsidR="00AB310A" w:rsidRPr="00AB310A" w14:paraId="6D6E9E0B"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66D47AAA"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MCK</w:t>
            </w:r>
          </w:p>
        </w:tc>
        <w:tc>
          <w:tcPr>
            <w:tcW w:w="1500" w:type="dxa"/>
            <w:tcBorders>
              <w:top w:val="nil"/>
              <w:left w:val="nil"/>
              <w:bottom w:val="single" w:sz="4" w:space="0" w:color="auto"/>
              <w:right w:val="single" w:sz="4" w:space="0" w:color="auto"/>
            </w:tcBorders>
            <w:shd w:val="clear" w:color="auto" w:fill="auto"/>
            <w:noWrap/>
            <w:vAlign w:val="center"/>
            <w:hideMark/>
          </w:tcPr>
          <w:p w14:paraId="0072AAE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0,1938</w:t>
            </w:r>
          </w:p>
        </w:tc>
        <w:tc>
          <w:tcPr>
            <w:tcW w:w="1500" w:type="dxa"/>
            <w:tcBorders>
              <w:top w:val="nil"/>
              <w:left w:val="nil"/>
              <w:bottom w:val="single" w:sz="4" w:space="0" w:color="auto"/>
              <w:right w:val="single" w:sz="4" w:space="0" w:color="auto"/>
            </w:tcBorders>
            <w:shd w:val="clear" w:color="auto" w:fill="auto"/>
            <w:noWrap/>
            <w:vAlign w:val="center"/>
            <w:hideMark/>
          </w:tcPr>
          <w:p w14:paraId="4A13C71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-0,2677</w:t>
            </w:r>
          </w:p>
        </w:tc>
        <w:tc>
          <w:tcPr>
            <w:tcW w:w="1500" w:type="dxa"/>
            <w:tcBorders>
              <w:top w:val="nil"/>
              <w:left w:val="nil"/>
              <w:bottom w:val="single" w:sz="4" w:space="0" w:color="auto"/>
              <w:right w:val="single" w:sz="4" w:space="0" w:color="auto"/>
            </w:tcBorders>
            <w:shd w:val="clear" w:color="auto" w:fill="auto"/>
            <w:noWrap/>
            <w:vAlign w:val="center"/>
            <w:hideMark/>
          </w:tcPr>
          <w:p w14:paraId="73C8E53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0,4985</w:t>
            </w:r>
          </w:p>
        </w:tc>
        <w:tc>
          <w:tcPr>
            <w:tcW w:w="1420" w:type="dxa"/>
            <w:tcBorders>
              <w:top w:val="nil"/>
              <w:left w:val="nil"/>
              <w:bottom w:val="single" w:sz="4" w:space="0" w:color="auto"/>
              <w:right w:val="single" w:sz="4" w:space="0" w:color="auto"/>
            </w:tcBorders>
            <w:shd w:val="clear" w:color="auto" w:fill="auto"/>
            <w:noWrap/>
            <w:vAlign w:val="center"/>
            <w:hideMark/>
          </w:tcPr>
          <w:p w14:paraId="7D0F497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0,6613</w:t>
            </w:r>
          </w:p>
        </w:tc>
        <w:tc>
          <w:tcPr>
            <w:tcW w:w="1500" w:type="dxa"/>
            <w:tcBorders>
              <w:top w:val="nil"/>
              <w:left w:val="nil"/>
              <w:bottom w:val="single" w:sz="4" w:space="0" w:color="auto"/>
              <w:right w:val="single" w:sz="4" w:space="0" w:color="auto"/>
            </w:tcBorders>
            <w:shd w:val="clear" w:color="auto" w:fill="auto"/>
            <w:noWrap/>
            <w:vAlign w:val="center"/>
            <w:hideMark/>
          </w:tcPr>
          <w:p w14:paraId="4E81970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0,0024</w:t>
            </w:r>
          </w:p>
        </w:tc>
        <w:tc>
          <w:tcPr>
            <w:tcW w:w="1680" w:type="dxa"/>
            <w:tcBorders>
              <w:top w:val="nil"/>
              <w:left w:val="nil"/>
              <w:bottom w:val="single" w:sz="4" w:space="0" w:color="auto"/>
              <w:right w:val="single" w:sz="4" w:space="0" w:color="auto"/>
            </w:tcBorders>
            <w:shd w:val="clear" w:color="auto" w:fill="auto"/>
            <w:noWrap/>
            <w:vAlign w:val="center"/>
            <w:hideMark/>
          </w:tcPr>
          <w:p w14:paraId="5C8B775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0,0096</w:t>
            </w:r>
          </w:p>
        </w:tc>
      </w:tr>
      <w:tr w:rsidR="00AB310A" w:rsidRPr="00AB310A" w14:paraId="1E220447"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47B210D8"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MOH</w:t>
            </w:r>
          </w:p>
        </w:tc>
        <w:tc>
          <w:tcPr>
            <w:tcW w:w="1500" w:type="dxa"/>
            <w:tcBorders>
              <w:top w:val="nil"/>
              <w:left w:val="nil"/>
              <w:bottom w:val="single" w:sz="4" w:space="0" w:color="auto"/>
              <w:right w:val="single" w:sz="4" w:space="0" w:color="auto"/>
            </w:tcBorders>
            <w:shd w:val="clear" w:color="auto" w:fill="auto"/>
            <w:noWrap/>
            <w:vAlign w:val="center"/>
            <w:hideMark/>
          </w:tcPr>
          <w:p w14:paraId="153D0A4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-0,0052</w:t>
            </w:r>
          </w:p>
        </w:tc>
        <w:tc>
          <w:tcPr>
            <w:tcW w:w="1500" w:type="dxa"/>
            <w:tcBorders>
              <w:top w:val="nil"/>
              <w:left w:val="nil"/>
              <w:bottom w:val="single" w:sz="4" w:space="0" w:color="auto"/>
              <w:right w:val="single" w:sz="4" w:space="0" w:color="auto"/>
            </w:tcBorders>
            <w:shd w:val="clear" w:color="auto" w:fill="auto"/>
            <w:noWrap/>
            <w:vAlign w:val="center"/>
            <w:hideMark/>
          </w:tcPr>
          <w:p w14:paraId="61BF4D0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-0,3395</w:t>
            </w:r>
          </w:p>
        </w:tc>
        <w:tc>
          <w:tcPr>
            <w:tcW w:w="1500" w:type="dxa"/>
            <w:tcBorders>
              <w:top w:val="nil"/>
              <w:left w:val="nil"/>
              <w:bottom w:val="single" w:sz="4" w:space="0" w:color="auto"/>
              <w:right w:val="single" w:sz="4" w:space="0" w:color="auto"/>
            </w:tcBorders>
            <w:shd w:val="clear" w:color="auto" w:fill="auto"/>
            <w:noWrap/>
            <w:vAlign w:val="center"/>
            <w:hideMark/>
          </w:tcPr>
          <w:p w14:paraId="02FA271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0,6740</w:t>
            </w:r>
          </w:p>
        </w:tc>
        <w:tc>
          <w:tcPr>
            <w:tcW w:w="1420" w:type="dxa"/>
            <w:tcBorders>
              <w:top w:val="nil"/>
              <w:left w:val="nil"/>
              <w:bottom w:val="single" w:sz="4" w:space="0" w:color="auto"/>
              <w:right w:val="single" w:sz="4" w:space="0" w:color="auto"/>
            </w:tcBorders>
            <w:shd w:val="clear" w:color="auto" w:fill="auto"/>
            <w:noWrap/>
            <w:vAlign w:val="center"/>
            <w:hideMark/>
          </w:tcPr>
          <w:p w14:paraId="51B9426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0,9092</w:t>
            </w:r>
          </w:p>
        </w:tc>
        <w:tc>
          <w:tcPr>
            <w:tcW w:w="1500" w:type="dxa"/>
            <w:tcBorders>
              <w:top w:val="nil"/>
              <w:left w:val="nil"/>
              <w:bottom w:val="single" w:sz="4" w:space="0" w:color="auto"/>
              <w:right w:val="single" w:sz="4" w:space="0" w:color="auto"/>
            </w:tcBorders>
            <w:shd w:val="clear" w:color="auto" w:fill="auto"/>
            <w:noWrap/>
            <w:vAlign w:val="center"/>
            <w:hideMark/>
          </w:tcPr>
          <w:p w14:paraId="4B35BFC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0,0003</w:t>
            </w:r>
          </w:p>
        </w:tc>
        <w:tc>
          <w:tcPr>
            <w:tcW w:w="1680" w:type="dxa"/>
            <w:tcBorders>
              <w:top w:val="nil"/>
              <w:left w:val="nil"/>
              <w:bottom w:val="single" w:sz="4" w:space="0" w:color="auto"/>
              <w:right w:val="single" w:sz="4" w:space="0" w:color="auto"/>
            </w:tcBorders>
            <w:shd w:val="clear" w:color="auto" w:fill="auto"/>
            <w:noWrap/>
            <w:vAlign w:val="center"/>
            <w:hideMark/>
          </w:tcPr>
          <w:p w14:paraId="680B8CB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0,0114</w:t>
            </w:r>
          </w:p>
        </w:tc>
      </w:tr>
      <w:tr w:rsidR="00AB310A" w:rsidRPr="00AB310A" w14:paraId="61759510"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1A0AC953"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CCI</w:t>
            </w:r>
          </w:p>
        </w:tc>
        <w:tc>
          <w:tcPr>
            <w:tcW w:w="1500" w:type="dxa"/>
            <w:tcBorders>
              <w:top w:val="nil"/>
              <w:left w:val="nil"/>
              <w:bottom w:val="single" w:sz="4" w:space="0" w:color="auto"/>
              <w:right w:val="single" w:sz="4" w:space="0" w:color="auto"/>
            </w:tcBorders>
            <w:shd w:val="clear" w:color="auto" w:fill="auto"/>
            <w:noWrap/>
            <w:vAlign w:val="center"/>
            <w:hideMark/>
          </w:tcPr>
          <w:p w14:paraId="2ADA2B1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-0,0835</w:t>
            </w:r>
          </w:p>
        </w:tc>
        <w:tc>
          <w:tcPr>
            <w:tcW w:w="1500" w:type="dxa"/>
            <w:tcBorders>
              <w:top w:val="nil"/>
              <w:left w:val="nil"/>
              <w:bottom w:val="single" w:sz="4" w:space="0" w:color="auto"/>
              <w:right w:val="single" w:sz="4" w:space="0" w:color="auto"/>
            </w:tcBorders>
            <w:shd w:val="clear" w:color="auto" w:fill="auto"/>
            <w:noWrap/>
            <w:vAlign w:val="center"/>
            <w:hideMark/>
          </w:tcPr>
          <w:p w14:paraId="0EB455E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-0,3934</w:t>
            </w:r>
          </w:p>
        </w:tc>
        <w:tc>
          <w:tcPr>
            <w:tcW w:w="1500" w:type="dxa"/>
            <w:tcBorders>
              <w:top w:val="nil"/>
              <w:left w:val="nil"/>
              <w:bottom w:val="single" w:sz="4" w:space="0" w:color="auto"/>
              <w:right w:val="single" w:sz="4" w:space="0" w:color="auto"/>
            </w:tcBorders>
            <w:shd w:val="clear" w:color="auto" w:fill="auto"/>
            <w:noWrap/>
            <w:vAlign w:val="center"/>
            <w:hideMark/>
          </w:tcPr>
          <w:p w14:paraId="374FF6A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0,4777</w:t>
            </w:r>
          </w:p>
        </w:tc>
        <w:tc>
          <w:tcPr>
            <w:tcW w:w="1420" w:type="dxa"/>
            <w:tcBorders>
              <w:top w:val="nil"/>
              <w:left w:val="nil"/>
              <w:bottom w:val="single" w:sz="4" w:space="0" w:color="auto"/>
              <w:right w:val="single" w:sz="4" w:space="0" w:color="auto"/>
            </w:tcBorders>
            <w:shd w:val="clear" w:color="auto" w:fill="auto"/>
            <w:noWrap/>
            <w:vAlign w:val="center"/>
            <w:hideMark/>
          </w:tcPr>
          <w:p w14:paraId="11B7257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0,8620</w:t>
            </w:r>
          </w:p>
        </w:tc>
        <w:tc>
          <w:tcPr>
            <w:tcW w:w="1500" w:type="dxa"/>
            <w:tcBorders>
              <w:top w:val="nil"/>
              <w:left w:val="nil"/>
              <w:bottom w:val="single" w:sz="4" w:space="0" w:color="auto"/>
              <w:right w:val="single" w:sz="4" w:space="0" w:color="auto"/>
            </w:tcBorders>
            <w:shd w:val="clear" w:color="auto" w:fill="auto"/>
            <w:noWrap/>
            <w:vAlign w:val="center"/>
            <w:hideMark/>
          </w:tcPr>
          <w:p w14:paraId="3A24045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-0,0046</w:t>
            </w:r>
          </w:p>
        </w:tc>
        <w:tc>
          <w:tcPr>
            <w:tcW w:w="1680" w:type="dxa"/>
            <w:tcBorders>
              <w:top w:val="nil"/>
              <w:left w:val="nil"/>
              <w:bottom w:val="single" w:sz="4" w:space="0" w:color="auto"/>
              <w:right w:val="single" w:sz="4" w:space="0" w:color="auto"/>
            </w:tcBorders>
            <w:shd w:val="clear" w:color="auto" w:fill="auto"/>
            <w:noWrap/>
            <w:vAlign w:val="center"/>
            <w:hideMark/>
          </w:tcPr>
          <w:p w14:paraId="12C66DF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0,0158</w:t>
            </w:r>
          </w:p>
        </w:tc>
      </w:tr>
      <w:tr w:rsidR="00AB310A" w:rsidRPr="00AB310A" w14:paraId="7768DDF5"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76E47C12"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UNH</w:t>
            </w:r>
          </w:p>
        </w:tc>
        <w:tc>
          <w:tcPr>
            <w:tcW w:w="1500" w:type="dxa"/>
            <w:tcBorders>
              <w:top w:val="nil"/>
              <w:left w:val="nil"/>
              <w:bottom w:val="single" w:sz="4" w:space="0" w:color="auto"/>
              <w:right w:val="single" w:sz="4" w:space="0" w:color="auto"/>
            </w:tcBorders>
            <w:shd w:val="clear" w:color="auto" w:fill="auto"/>
            <w:noWrap/>
            <w:vAlign w:val="center"/>
            <w:hideMark/>
          </w:tcPr>
          <w:p w14:paraId="3678C90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0,1304</w:t>
            </w:r>
          </w:p>
        </w:tc>
        <w:tc>
          <w:tcPr>
            <w:tcW w:w="1500" w:type="dxa"/>
            <w:tcBorders>
              <w:top w:val="nil"/>
              <w:left w:val="nil"/>
              <w:bottom w:val="single" w:sz="4" w:space="0" w:color="auto"/>
              <w:right w:val="single" w:sz="4" w:space="0" w:color="auto"/>
            </w:tcBorders>
            <w:shd w:val="clear" w:color="auto" w:fill="auto"/>
            <w:noWrap/>
            <w:vAlign w:val="center"/>
            <w:hideMark/>
          </w:tcPr>
          <w:p w14:paraId="52C41EF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-0,7100</w:t>
            </w:r>
          </w:p>
        </w:tc>
        <w:tc>
          <w:tcPr>
            <w:tcW w:w="1500" w:type="dxa"/>
            <w:tcBorders>
              <w:top w:val="nil"/>
              <w:left w:val="nil"/>
              <w:bottom w:val="single" w:sz="4" w:space="0" w:color="auto"/>
              <w:right w:val="single" w:sz="4" w:space="0" w:color="auto"/>
            </w:tcBorders>
            <w:shd w:val="clear" w:color="auto" w:fill="auto"/>
            <w:noWrap/>
            <w:vAlign w:val="center"/>
            <w:hideMark/>
          </w:tcPr>
          <w:p w14:paraId="48E5411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0,4417</w:t>
            </w:r>
          </w:p>
        </w:tc>
        <w:tc>
          <w:tcPr>
            <w:tcW w:w="1420" w:type="dxa"/>
            <w:tcBorders>
              <w:top w:val="nil"/>
              <w:left w:val="nil"/>
              <w:bottom w:val="single" w:sz="4" w:space="0" w:color="auto"/>
              <w:right w:val="single" w:sz="4" w:space="0" w:color="auto"/>
            </w:tcBorders>
            <w:shd w:val="clear" w:color="auto" w:fill="auto"/>
            <w:noWrap/>
            <w:vAlign w:val="center"/>
            <w:hideMark/>
          </w:tcPr>
          <w:p w14:paraId="1DFE511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0,9370</w:t>
            </w:r>
          </w:p>
        </w:tc>
        <w:tc>
          <w:tcPr>
            <w:tcW w:w="1500" w:type="dxa"/>
            <w:tcBorders>
              <w:top w:val="nil"/>
              <w:left w:val="nil"/>
              <w:bottom w:val="single" w:sz="4" w:space="0" w:color="auto"/>
              <w:right w:val="single" w:sz="4" w:space="0" w:color="auto"/>
            </w:tcBorders>
            <w:shd w:val="clear" w:color="auto" w:fill="auto"/>
            <w:noWrap/>
            <w:vAlign w:val="center"/>
            <w:hideMark/>
          </w:tcPr>
          <w:p w14:paraId="4079BB5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-0,0010</w:t>
            </w:r>
          </w:p>
        </w:tc>
        <w:tc>
          <w:tcPr>
            <w:tcW w:w="1680" w:type="dxa"/>
            <w:tcBorders>
              <w:top w:val="nil"/>
              <w:left w:val="nil"/>
              <w:bottom w:val="single" w:sz="4" w:space="0" w:color="auto"/>
              <w:right w:val="single" w:sz="4" w:space="0" w:color="auto"/>
            </w:tcBorders>
            <w:shd w:val="clear" w:color="auto" w:fill="auto"/>
            <w:noWrap/>
            <w:vAlign w:val="center"/>
            <w:hideMark/>
          </w:tcPr>
          <w:p w14:paraId="1915E11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0,0160</w:t>
            </w:r>
          </w:p>
        </w:tc>
      </w:tr>
      <w:tr w:rsidR="00AB310A" w:rsidRPr="00AB310A" w14:paraId="78F08BAC"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D17FF76"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GEN</w:t>
            </w:r>
          </w:p>
        </w:tc>
        <w:tc>
          <w:tcPr>
            <w:tcW w:w="1500" w:type="dxa"/>
            <w:tcBorders>
              <w:top w:val="nil"/>
              <w:left w:val="nil"/>
              <w:bottom w:val="single" w:sz="4" w:space="0" w:color="auto"/>
              <w:right w:val="single" w:sz="4" w:space="0" w:color="auto"/>
            </w:tcBorders>
            <w:shd w:val="clear" w:color="auto" w:fill="auto"/>
            <w:noWrap/>
            <w:vAlign w:val="center"/>
            <w:hideMark/>
          </w:tcPr>
          <w:p w14:paraId="6CB0044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0,1295</w:t>
            </w:r>
          </w:p>
        </w:tc>
        <w:tc>
          <w:tcPr>
            <w:tcW w:w="1500" w:type="dxa"/>
            <w:tcBorders>
              <w:top w:val="nil"/>
              <w:left w:val="nil"/>
              <w:bottom w:val="single" w:sz="4" w:space="0" w:color="auto"/>
              <w:right w:val="single" w:sz="4" w:space="0" w:color="auto"/>
            </w:tcBorders>
            <w:shd w:val="clear" w:color="auto" w:fill="auto"/>
            <w:noWrap/>
            <w:vAlign w:val="center"/>
            <w:hideMark/>
          </w:tcPr>
          <w:p w14:paraId="37A1947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-0,0182</w:t>
            </w:r>
          </w:p>
        </w:tc>
        <w:tc>
          <w:tcPr>
            <w:tcW w:w="1500" w:type="dxa"/>
            <w:tcBorders>
              <w:top w:val="nil"/>
              <w:left w:val="nil"/>
              <w:bottom w:val="single" w:sz="4" w:space="0" w:color="auto"/>
              <w:right w:val="single" w:sz="4" w:space="0" w:color="auto"/>
            </w:tcBorders>
            <w:shd w:val="clear" w:color="auto" w:fill="auto"/>
            <w:noWrap/>
            <w:vAlign w:val="center"/>
            <w:hideMark/>
          </w:tcPr>
          <w:p w14:paraId="4CC8EC7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-0,6443</w:t>
            </w:r>
          </w:p>
        </w:tc>
        <w:tc>
          <w:tcPr>
            <w:tcW w:w="1420" w:type="dxa"/>
            <w:tcBorders>
              <w:top w:val="nil"/>
              <w:left w:val="nil"/>
              <w:bottom w:val="single" w:sz="4" w:space="0" w:color="auto"/>
              <w:right w:val="single" w:sz="4" w:space="0" w:color="auto"/>
            </w:tcBorders>
            <w:shd w:val="clear" w:color="auto" w:fill="auto"/>
            <w:noWrap/>
            <w:vAlign w:val="center"/>
            <w:hideMark/>
          </w:tcPr>
          <w:p w14:paraId="5325B37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0,6611</w:t>
            </w:r>
          </w:p>
        </w:tc>
        <w:tc>
          <w:tcPr>
            <w:tcW w:w="1500" w:type="dxa"/>
            <w:tcBorders>
              <w:top w:val="nil"/>
              <w:left w:val="nil"/>
              <w:bottom w:val="single" w:sz="4" w:space="0" w:color="auto"/>
              <w:right w:val="single" w:sz="4" w:space="0" w:color="auto"/>
            </w:tcBorders>
            <w:shd w:val="clear" w:color="auto" w:fill="auto"/>
            <w:noWrap/>
            <w:vAlign w:val="center"/>
            <w:hideMark/>
          </w:tcPr>
          <w:p w14:paraId="68634C6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-0,0004</w:t>
            </w:r>
          </w:p>
        </w:tc>
        <w:tc>
          <w:tcPr>
            <w:tcW w:w="1680" w:type="dxa"/>
            <w:tcBorders>
              <w:top w:val="nil"/>
              <w:left w:val="nil"/>
              <w:bottom w:val="single" w:sz="4" w:space="0" w:color="auto"/>
              <w:right w:val="single" w:sz="4" w:space="0" w:color="auto"/>
            </w:tcBorders>
            <w:shd w:val="clear" w:color="auto" w:fill="auto"/>
            <w:noWrap/>
            <w:vAlign w:val="center"/>
            <w:hideMark/>
          </w:tcPr>
          <w:p w14:paraId="4475DEC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0,0164</w:t>
            </w:r>
          </w:p>
        </w:tc>
      </w:tr>
      <w:tr w:rsidR="00AB310A" w:rsidRPr="00AB310A" w14:paraId="086C8F76"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3F2B50B4"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DLR</w:t>
            </w:r>
          </w:p>
        </w:tc>
        <w:tc>
          <w:tcPr>
            <w:tcW w:w="1500" w:type="dxa"/>
            <w:tcBorders>
              <w:top w:val="nil"/>
              <w:left w:val="nil"/>
              <w:bottom w:val="single" w:sz="4" w:space="0" w:color="auto"/>
              <w:right w:val="single" w:sz="4" w:space="0" w:color="auto"/>
            </w:tcBorders>
            <w:shd w:val="clear" w:color="auto" w:fill="auto"/>
            <w:noWrap/>
            <w:vAlign w:val="center"/>
            <w:hideMark/>
          </w:tcPr>
          <w:p w14:paraId="7BC3CFB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-0,2203</w:t>
            </w:r>
          </w:p>
        </w:tc>
        <w:tc>
          <w:tcPr>
            <w:tcW w:w="1500" w:type="dxa"/>
            <w:tcBorders>
              <w:top w:val="nil"/>
              <w:left w:val="nil"/>
              <w:bottom w:val="single" w:sz="4" w:space="0" w:color="auto"/>
              <w:right w:val="single" w:sz="4" w:space="0" w:color="auto"/>
            </w:tcBorders>
            <w:shd w:val="clear" w:color="auto" w:fill="auto"/>
            <w:noWrap/>
            <w:vAlign w:val="center"/>
            <w:hideMark/>
          </w:tcPr>
          <w:p w14:paraId="2205C1B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-0,3103</w:t>
            </w:r>
          </w:p>
        </w:tc>
        <w:tc>
          <w:tcPr>
            <w:tcW w:w="1500" w:type="dxa"/>
            <w:tcBorders>
              <w:top w:val="nil"/>
              <w:left w:val="nil"/>
              <w:bottom w:val="single" w:sz="4" w:space="0" w:color="auto"/>
              <w:right w:val="single" w:sz="4" w:space="0" w:color="auto"/>
            </w:tcBorders>
            <w:shd w:val="clear" w:color="auto" w:fill="auto"/>
            <w:noWrap/>
            <w:vAlign w:val="center"/>
            <w:hideMark/>
          </w:tcPr>
          <w:p w14:paraId="51E5F9C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0,5022</w:t>
            </w:r>
          </w:p>
        </w:tc>
        <w:tc>
          <w:tcPr>
            <w:tcW w:w="1420" w:type="dxa"/>
            <w:tcBorders>
              <w:top w:val="nil"/>
              <w:left w:val="nil"/>
              <w:bottom w:val="single" w:sz="4" w:space="0" w:color="auto"/>
              <w:right w:val="single" w:sz="4" w:space="0" w:color="auto"/>
            </w:tcBorders>
            <w:shd w:val="clear" w:color="auto" w:fill="auto"/>
            <w:noWrap/>
            <w:vAlign w:val="center"/>
            <w:hideMark/>
          </w:tcPr>
          <w:p w14:paraId="7EAC0EC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0,7735</w:t>
            </w:r>
          </w:p>
        </w:tc>
        <w:tc>
          <w:tcPr>
            <w:tcW w:w="1500" w:type="dxa"/>
            <w:tcBorders>
              <w:top w:val="nil"/>
              <w:left w:val="nil"/>
              <w:bottom w:val="single" w:sz="4" w:space="0" w:color="auto"/>
              <w:right w:val="single" w:sz="4" w:space="0" w:color="auto"/>
            </w:tcBorders>
            <w:shd w:val="clear" w:color="auto" w:fill="auto"/>
            <w:noWrap/>
            <w:vAlign w:val="center"/>
            <w:hideMark/>
          </w:tcPr>
          <w:p w14:paraId="29BFA6B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-0,0028</w:t>
            </w:r>
          </w:p>
        </w:tc>
        <w:tc>
          <w:tcPr>
            <w:tcW w:w="1680" w:type="dxa"/>
            <w:tcBorders>
              <w:top w:val="nil"/>
              <w:left w:val="nil"/>
              <w:bottom w:val="single" w:sz="4" w:space="0" w:color="auto"/>
              <w:right w:val="single" w:sz="4" w:space="0" w:color="auto"/>
            </w:tcBorders>
            <w:shd w:val="clear" w:color="auto" w:fill="auto"/>
            <w:noWrap/>
            <w:vAlign w:val="center"/>
            <w:hideMark/>
          </w:tcPr>
          <w:p w14:paraId="386B536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0,0171</w:t>
            </w:r>
          </w:p>
        </w:tc>
      </w:tr>
      <w:tr w:rsidR="00AB310A" w:rsidRPr="00AB310A" w14:paraId="361FE4A8"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47C855F1"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BAC</w:t>
            </w:r>
          </w:p>
        </w:tc>
        <w:tc>
          <w:tcPr>
            <w:tcW w:w="1500" w:type="dxa"/>
            <w:tcBorders>
              <w:top w:val="nil"/>
              <w:left w:val="nil"/>
              <w:bottom w:val="single" w:sz="4" w:space="0" w:color="auto"/>
              <w:right w:val="single" w:sz="4" w:space="0" w:color="auto"/>
            </w:tcBorders>
            <w:shd w:val="clear" w:color="auto" w:fill="auto"/>
            <w:noWrap/>
            <w:vAlign w:val="center"/>
            <w:hideMark/>
          </w:tcPr>
          <w:p w14:paraId="6B95E19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0,9365</w:t>
            </w:r>
          </w:p>
        </w:tc>
        <w:tc>
          <w:tcPr>
            <w:tcW w:w="1500" w:type="dxa"/>
            <w:tcBorders>
              <w:top w:val="nil"/>
              <w:left w:val="nil"/>
              <w:bottom w:val="single" w:sz="4" w:space="0" w:color="auto"/>
              <w:right w:val="single" w:sz="4" w:space="0" w:color="auto"/>
            </w:tcBorders>
            <w:shd w:val="clear" w:color="auto" w:fill="auto"/>
            <w:noWrap/>
            <w:vAlign w:val="center"/>
            <w:hideMark/>
          </w:tcPr>
          <w:p w14:paraId="6FFCD61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0,1340</w:t>
            </w:r>
          </w:p>
        </w:tc>
        <w:tc>
          <w:tcPr>
            <w:tcW w:w="1500" w:type="dxa"/>
            <w:tcBorders>
              <w:top w:val="nil"/>
              <w:left w:val="nil"/>
              <w:bottom w:val="single" w:sz="4" w:space="0" w:color="auto"/>
              <w:right w:val="single" w:sz="4" w:space="0" w:color="auto"/>
            </w:tcBorders>
            <w:shd w:val="clear" w:color="auto" w:fill="auto"/>
            <w:noWrap/>
            <w:vAlign w:val="center"/>
            <w:hideMark/>
          </w:tcPr>
          <w:p w14:paraId="51AE280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0,3367</w:t>
            </w:r>
          </w:p>
        </w:tc>
        <w:tc>
          <w:tcPr>
            <w:tcW w:w="1420" w:type="dxa"/>
            <w:tcBorders>
              <w:top w:val="nil"/>
              <w:left w:val="nil"/>
              <w:bottom w:val="single" w:sz="4" w:space="0" w:color="auto"/>
              <w:right w:val="single" w:sz="4" w:space="0" w:color="auto"/>
            </w:tcBorders>
            <w:shd w:val="clear" w:color="auto" w:fill="auto"/>
            <w:noWrap/>
            <w:vAlign w:val="center"/>
            <w:hideMark/>
          </w:tcPr>
          <w:p w14:paraId="2141FE7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1,1662</w:t>
            </w:r>
          </w:p>
        </w:tc>
        <w:tc>
          <w:tcPr>
            <w:tcW w:w="1500" w:type="dxa"/>
            <w:tcBorders>
              <w:top w:val="nil"/>
              <w:left w:val="nil"/>
              <w:bottom w:val="single" w:sz="4" w:space="0" w:color="auto"/>
              <w:right w:val="single" w:sz="4" w:space="0" w:color="auto"/>
            </w:tcBorders>
            <w:shd w:val="clear" w:color="auto" w:fill="auto"/>
            <w:noWrap/>
            <w:vAlign w:val="center"/>
            <w:hideMark/>
          </w:tcPr>
          <w:p w14:paraId="7BCAF87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-0,0045</w:t>
            </w:r>
          </w:p>
        </w:tc>
        <w:tc>
          <w:tcPr>
            <w:tcW w:w="1680" w:type="dxa"/>
            <w:tcBorders>
              <w:top w:val="nil"/>
              <w:left w:val="nil"/>
              <w:bottom w:val="single" w:sz="4" w:space="0" w:color="auto"/>
              <w:right w:val="single" w:sz="4" w:space="0" w:color="auto"/>
            </w:tcBorders>
            <w:shd w:val="clear" w:color="auto" w:fill="auto"/>
            <w:noWrap/>
            <w:vAlign w:val="center"/>
            <w:hideMark/>
          </w:tcPr>
          <w:p w14:paraId="34AB992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0,0174</w:t>
            </w:r>
          </w:p>
        </w:tc>
      </w:tr>
      <w:tr w:rsidR="00AB310A" w:rsidRPr="00AB310A" w14:paraId="6939E4A9"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093D94D"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SWKS</w:t>
            </w:r>
          </w:p>
        </w:tc>
        <w:tc>
          <w:tcPr>
            <w:tcW w:w="1500" w:type="dxa"/>
            <w:tcBorders>
              <w:top w:val="nil"/>
              <w:left w:val="nil"/>
              <w:bottom w:val="single" w:sz="4" w:space="0" w:color="auto"/>
              <w:right w:val="single" w:sz="4" w:space="0" w:color="auto"/>
            </w:tcBorders>
            <w:shd w:val="clear" w:color="auto" w:fill="auto"/>
            <w:noWrap/>
            <w:vAlign w:val="center"/>
            <w:hideMark/>
          </w:tcPr>
          <w:p w14:paraId="4304116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-0,0531</w:t>
            </w:r>
          </w:p>
        </w:tc>
        <w:tc>
          <w:tcPr>
            <w:tcW w:w="1500" w:type="dxa"/>
            <w:tcBorders>
              <w:top w:val="nil"/>
              <w:left w:val="nil"/>
              <w:bottom w:val="single" w:sz="4" w:space="0" w:color="auto"/>
              <w:right w:val="single" w:sz="4" w:space="0" w:color="auto"/>
            </w:tcBorders>
            <w:shd w:val="clear" w:color="auto" w:fill="auto"/>
            <w:noWrap/>
            <w:vAlign w:val="center"/>
            <w:hideMark/>
          </w:tcPr>
          <w:p w14:paraId="0E1C594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0,2013</w:t>
            </w:r>
          </w:p>
        </w:tc>
        <w:tc>
          <w:tcPr>
            <w:tcW w:w="1500" w:type="dxa"/>
            <w:tcBorders>
              <w:top w:val="nil"/>
              <w:left w:val="nil"/>
              <w:bottom w:val="single" w:sz="4" w:space="0" w:color="auto"/>
              <w:right w:val="single" w:sz="4" w:space="0" w:color="auto"/>
            </w:tcBorders>
            <w:shd w:val="clear" w:color="auto" w:fill="auto"/>
            <w:noWrap/>
            <w:vAlign w:val="center"/>
            <w:hideMark/>
          </w:tcPr>
          <w:p w14:paraId="7099312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-0,4324</w:t>
            </w:r>
          </w:p>
        </w:tc>
        <w:tc>
          <w:tcPr>
            <w:tcW w:w="1420" w:type="dxa"/>
            <w:tcBorders>
              <w:top w:val="nil"/>
              <w:left w:val="nil"/>
              <w:bottom w:val="single" w:sz="4" w:space="0" w:color="auto"/>
              <w:right w:val="single" w:sz="4" w:space="0" w:color="auto"/>
            </w:tcBorders>
            <w:shd w:val="clear" w:color="auto" w:fill="auto"/>
            <w:noWrap/>
            <w:vAlign w:val="center"/>
            <w:hideMark/>
          </w:tcPr>
          <w:p w14:paraId="3FFFD93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1,2055</w:t>
            </w:r>
          </w:p>
        </w:tc>
        <w:tc>
          <w:tcPr>
            <w:tcW w:w="1500" w:type="dxa"/>
            <w:tcBorders>
              <w:top w:val="nil"/>
              <w:left w:val="nil"/>
              <w:bottom w:val="single" w:sz="4" w:space="0" w:color="auto"/>
              <w:right w:val="single" w:sz="4" w:space="0" w:color="auto"/>
            </w:tcBorders>
            <w:shd w:val="clear" w:color="auto" w:fill="auto"/>
            <w:noWrap/>
            <w:vAlign w:val="center"/>
            <w:hideMark/>
          </w:tcPr>
          <w:p w14:paraId="553D25C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-0,0021</w:t>
            </w:r>
          </w:p>
        </w:tc>
        <w:tc>
          <w:tcPr>
            <w:tcW w:w="1680" w:type="dxa"/>
            <w:tcBorders>
              <w:top w:val="nil"/>
              <w:left w:val="nil"/>
              <w:bottom w:val="single" w:sz="4" w:space="0" w:color="auto"/>
              <w:right w:val="single" w:sz="4" w:space="0" w:color="auto"/>
            </w:tcBorders>
            <w:shd w:val="clear" w:color="auto" w:fill="auto"/>
            <w:noWrap/>
            <w:vAlign w:val="center"/>
            <w:hideMark/>
          </w:tcPr>
          <w:p w14:paraId="25DEA3A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0,0197</w:t>
            </w:r>
          </w:p>
        </w:tc>
      </w:tr>
      <w:tr w:rsidR="00AB310A" w:rsidRPr="00AB310A" w14:paraId="0AF2428C"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6D0605CD"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COST</w:t>
            </w:r>
          </w:p>
        </w:tc>
        <w:tc>
          <w:tcPr>
            <w:tcW w:w="1500" w:type="dxa"/>
            <w:tcBorders>
              <w:top w:val="nil"/>
              <w:left w:val="nil"/>
              <w:bottom w:val="single" w:sz="4" w:space="0" w:color="auto"/>
              <w:right w:val="single" w:sz="4" w:space="0" w:color="auto"/>
            </w:tcBorders>
            <w:shd w:val="clear" w:color="auto" w:fill="auto"/>
            <w:noWrap/>
            <w:vAlign w:val="center"/>
            <w:hideMark/>
          </w:tcPr>
          <w:p w14:paraId="1B19849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-0,2706</w:t>
            </w:r>
          </w:p>
        </w:tc>
        <w:tc>
          <w:tcPr>
            <w:tcW w:w="1500" w:type="dxa"/>
            <w:tcBorders>
              <w:top w:val="nil"/>
              <w:left w:val="nil"/>
              <w:bottom w:val="single" w:sz="4" w:space="0" w:color="auto"/>
              <w:right w:val="single" w:sz="4" w:space="0" w:color="auto"/>
            </w:tcBorders>
            <w:shd w:val="clear" w:color="auto" w:fill="auto"/>
            <w:noWrap/>
            <w:vAlign w:val="center"/>
            <w:hideMark/>
          </w:tcPr>
          <w:p w14:paraId="3D000C6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-0,3607</w:t>
            </w:r>
          </w:p>
        </w:tc>
        <w:tc>
          <w:tcPr>
            <w:tcW w:w="1500" w:type="dxa"/>
            <w:tcBorders>
              <w:top w:val="nil"/>
              <w:left w:val="nil"/>
              <w:bottom w:val="single" w:sz="4" w:space="0" w:color="auto"/>
              <w:right w:val="single" w:sz="4" w:space="0" w:color="auto"/>
            </w:tcBorders>
            <w:shd w:val="clear" w:color="auto" w:fill="auto"/>
            <w:noWrap/>
            <w:vAlign w:val="center"/>
            <w:hideMark/>
          </w:tcPr>
          <w:p w14:paraId="45E81E0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0,3630</w:t>
            </w:r>
          </w:p>
        </w:tc>
        <w:tc>
          <w:tcPr>
            <w:tcW w:w="1420" w:type="dxa"/>
            <w:tcBorders>
              <w:top w:val="nil"/>
              <w:left w:val="nil"/>
              <w:bottom w:val="single" w:sz="4" w:space="0" w:color="auto"/>
              <w:right w:val="single" w:sz="4" w:space="0" w:color="auto"/>
            </w:tcBorders>
            <w:shd w:val="clear" w:color="auto" w:fill="auto"/>
            <w:noWrap/>
            <w:vAlign w:val="center"/>
            <w:hideMark/>
          </w:tcPr>
          <w:p w14:paraId="74D4301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0,7079</w:t>
            </w:r>
          </w:p>
        </w:tc>
        <w:tc>
          <w:tcPr>
            <w:tcW w:w="1500" w:type="dxa"/>
            <w:tcBorders>
              <w:top w:val="nil"/>
              <w:left w:val="nil"/>
              <w:bottom w:val="single" w:sz="4" w:space="0" w:color="auto"/>
              <w:right w:val="single" w:sz="4" w:space="0" w:color="auto"/>
            </w:tcBorders>
            <w:shd w:val="clear" w:color="auto" w:fill="auto"/>
            <w:noWrap/>
            <w:vAlign w:val="center"/>
            <w:hideMark/>
          </w:tcPr>
          <w:p w14:paraId="0B456B0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0,0011</w:t>
            </w:r>
          </w:p>
        </w:tc>
        <w:tc>
          <w:tcPr>
            <w:tcW w:w="1680" w:type="dxa"/>
            <w:tcBorders>
              <w:top w:val="nil"/>
              <w:left w:val="nil"/>
              <w:bottom w:val="single" w:sz="4" w:space="0" w:color="auto"/>
              <w:right w:val="single" w:sz="4" w:space="0" w:color="auto"/>
            </w:tcBorders>
            <w:shd w:val="clear" w:color="auto" w:fill="auto"/>
            <w:noWrap/>
            <w:vAlign w:val="center"/>
            <w:hideMark/>
          </w:tcPr>
          <w:p w14:paraId="012887E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0,0216</w:t>
            </w:r>
          </w:p>
        </w:tc>
      </w:tr>
      <w:tr w:rsidR="00AB310A" w:rsidRPr="00AB310A" w14:paraId="5EA2774D"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AEFACFC"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AMT</w:t>
            </w:r>
          </w:p>
        </w:tc>
        <w:tc>
          <w:tcPr>
            <w:tcW w:w="1500" w:type="dxa"/>
            <w:tcBorders>
              <w:top w:val="nil"/>
              <w:left w:val="nil"/>
              <w:bottom w:val="single" w:sz="4" w:space="0" w:color="auto"/>
              <w:right w:val="single" w:sz="4" w:space="0" w:color="auto"/>
            </w:tcBorders>
            <w:shd w:val="clear" w:color="auto" w:fill="auto"/>
            <w:noWrap/>
            <w:vAlign w:val="center"/>
            <w:hideMark/>
          </w:tcPr>
          <w:p w14:paraId="27CC006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-0,0914</w:t>
            </w:r>
          </w:p>
        </w:tc>
        <w:tc>
          <w:tcPr>
            <w:tcW w:w="1500" w:type="dxa"/>
            <w:tcBorders>
              <w:top w:val="nil"/>
              <w:left w:val="nil"/>
              <w:bottom w:val="single" w:sz="4" w:space="0" w:color="auto"/>
              <w:right w:val="single" w:sz="4" w:space="0" w:color="auto"/>
            </w:tcBorders>
            <w:shd w:val="clear" w:color="auto" w:fill="auto"/>
            <w:noWrap/>
            <w:vAlign w:val="center"/>
            <w:hideMark/>
          </w:tcPr>
          <w:p w14:paraId="583817C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-0,3199</w:t>
            </w:r>
          </w:p>
        </w:tc>
        <w:tc>
          <w:tcPr>
            <w:tcW w:w="1500" w:type="dxa"/>
            <w:tcBorders>
              <w:top w:val="nil"/>
              <w:left w:val="nil"/>
              <w:bottom w:val="single" w:sz="4" w:space="0" w:color="auto"/>
              <w:right w:val="single" w:sz="4" w:space="0" w:color="auto"/>
            </w:tcBorders>
            <w:shd w:val="clear" w:color="auto" w:fill="auto"/>
            <w:noWrap/>
            <w:vAlign w:val="center"/>
            <w:hideMark/>
          </w:tcPr>
          <w:p w14:paraId="7AF4A01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0,4209</w:t>
            </w:r>
          </w:p>
        </w:tc>
        <w:tc>
          <w:tcPr>
            <w:tcW w:w="1420" w:type="dxa"/>
            <w:tcBorders>
              <w:top w:val="nil"/>
              <w:left w:val="nil"/>
              <w:bottom w:val="single" w:sz="4" w:space="0" w:color="auto"/>
              <w:right w:val="single" w:sz="4" w:space="0" w:color="auto"/>
            </w:tcBorders>
            <w:shd w:val="clear" w:color="auto" w:fill="auto"/>
            <w:noWrap/>
            <w:vAlign w:val="center"/>
            <w:hideMark/>
          </w:tcPr>
          <w:p w14:paraId="15AD96E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0,9285</w:t>
            </w:r>
          </w:p>
        </w:tc>
        <w:tc>
          <w:tcPr>
            <w:tcW w:w="1500" w:type="dxa"/>
            <w:tcBorders>
              <w:top w:val="nil"/>
              <w:left w:val="nil"/>
              <w:bottom w:val="single" w:sz="4" w:space="0" w:color="auto"/>
              <w:right w:val="single" w:sz="4" w:space="0" w:color="auto"/>
            </w:tcBorders>
            <w:shd w:val="clear" w:color="auto" w:fill="auto"/>
            <w:noWrap/>
            <w:vAlign w:val="center"/>
            <w:hideMark/>
          </w:tcPr>
          <w:p w14:paraId="3F81DC0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-0,0039</w:t>
            </w:r>
          </w:p>
        </w:tc>
        <w:tc>
          <w:tcPr>
            <w:tcW w:w="1680" w:type="dxa"/>
            <w:tcBorders>
              <w:top w:val="nil"/>
              <w:left w:val="nil"/>
              <w:bottom w:val="single" w:sz="4" w:space="0" w:color="auto"/>
              <w:right w:val="single" w:sz="4" w:space="0" w:color="auto"/>
            </w:tcBorders>
            <w:shd w:val="clear" w:color="auto" w:fill="auto"/>
            <w:noWrap/>
            <w:vAlign w:val="center"/>
            <w:hideMark/>
          </w:tcPr>
          <w:p w14:paraId="73E2CB6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0,0221</w:t>
            </w:r>
          </w:p>
        </w:tc>
      </w:tr>
      <w:tr w:rsidR="00AB310A" w:rsidRPr="00AB310A" w14:paraId="5AB5A33C"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19C79E11"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FAST</w:t>
            </w:r>
          </w:p>
        </w:tc>
        <w:tc>
          <w:tcPr>
            <w:tcW w:w="1500" w:type="dxa"/>
            <w:tcBorders>
              <w:top w:val="nil"/>
              <w:left w:val="nil"/>
              <w:bottom w:val="single" w:sz="4" w:space="0" w:color="auto"/>
              <w:right w:val="single" w:sz="4" w:space="0" w:color="auto"/>
            </w:tcBorders>
            <w:shd w:val="clear" w:color="auto" w:fill="auto"/>
            <w:noWrap/>
            <w:vAlign w:val="center"/>
            <w:hideMark/>
          </w:tcPr>
          <w:p w14:paraId="1A07A48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-0,1237</w:t>
            </w:r>
          </w:p>
        </w:tc>
        <w:tc>
          <w:tcPr>
            <w:tcW w:w="1500" w:type="dxa"/>
            <w:tcBorders>
              <w:top w:val="nil"/>
              <w:left w:val="nil"/>
              <w:bottom w:val="single" w:sz="4" w:space="0" w:color="auto"/>
              <w:right w:val="single" w:sz="4" w:space="0" w:color="auto"/>
            </w:tcBorders>
            <w:shd w:val="clear" w:color="auto" w:fill="auto"/>
            <w:noWrap/>
            <w:vAlign w:val="center"/>
            <w:hideMark/>
          </w:tcPr>
          <w:p w14:paraId="323FAB4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-0,1296</w:t>
            </w:r>
          </w:p>
        </w:tc>
        <w:tc>
          <w:tcPr>
            <w:tcW w:w="1500" w:type="dxa"/>
            <w:tcBorders>
              <w:top w:val="nil"/>
              <w:left w:val="nil"/>
              <w:bottom w:val="single" w:sz="4" w:space="0" w:color="auto"/>
              <w:right w:val="single" w:sz="4" w:space="0" w:color="auto"/>
            </w:tcBorders>
            <w:shd w:val="clear" w:color="auto" w:fill="auto"/>
            <w:noWrap/>
            <w:vAlign w:val="center"/>
            <w:hideMark/>
          </w:tcPr>
          <w:p w14:paraId="4F9AB3A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0,3055</w:t>
            </w:r>
          </w:p>
        </w:tc>
        <w:tc>
          <w:tcPr>
            <w:tcW w:w="1420" w:type="dxa"/>
            <w:tcBorders>
              <w:top w:val="nil"/>
              <w:left w:val="nil"/>
              <w:bottom w:val="single" w:sz="4" w:space="0" w:color="auto"/>
              <w:right w:val="single" w:sz="4" w:space="0" w:color="auto"/>
            </w:tcBorders>
            <w:shd w:val="clear" w:color="auto" w:fill="auto"/>
            <w:noWrap/>
            <w:vAlign w:val="center"/>
            <w:hideMark/>
          </w:tcPr>
          <w:p w14:paraId="7CEA3CD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0,8871</w:t>
            </w:r>
          </w:p>
        </w:tc>
        <w:tc>
          <w:tcPr>
            <w:tcW w:w="1500" w:type="dxa"/>
            <w:tcBorders>
              <w:top w:val="nil"/>
              <w:left w:val="nil"/>
              <w:bottom w:val="single" w:sz="4" w:space="0" w:color="auto"/>
              <w:right w:val="single" w:sz="4" w:space="0" w:color="auto"/>
            </w:tcBorders>
            <w:shd w:val="clear" w:color="auto" w:fill="auto"/>
            <w:noWrap/>
            <w:vAlign w:val="center"/>
            <w:hideMark/>
          </w:tcPr>
          <w:p w14:paraId="412C1E8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-0,0004</w:t>
            </w:r>
          </w:p>
        </w:tc>
        <w:tc>
          <w:tcPr>
            <w:tcW w:w="1680" w:type="dxa"/>
            <w:tcBorders>
              <w:top w:val="nil"/>
              <w:left w:val="nil"/>
              <w:bottom w:val="single" w:sz="4" w:space="0" w:color="auto"/>
              <w:right w:val="single" w:sz="4" w:space="0" w:color="auto"/>
            </w:tcBorders>
            <w:shd w:val="clear" w:color="auto" w:fill="auto"/>
            <w:noWrap/>
            <w:vAlign w:val="center"/>
            <w:hideMark/>
          </w:tcPr>
          <w:p w14:paraId="549B090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0,0254</w:t>
            </w:r>
          </w:p>
        </w:tc>
      </w:tr>
      <w:tr w:rsidR="00AB310A" w:rsidRPr="00AB310A" w14:paraId="36EDB667"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5442B43"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ABBV</w:t>
            </w:r>
          </w:p>
        </w:tc>
        <w:tc>
          <w:tcPr>
            <w:tcW w:w="1500" w:type="dxa"/>
            <w:tcBorders>
              <w:top w:val="nil"/>
              <w:left w:val="nil"/>
              <w:bottom w:val="single" w:sz="4" w:space="0" w:color="auto"/>
              <w:right w:val="single" w:sz="4" w:space="0" w:color="auto"/>
            </w:tcBorders>
            <w:shd w:val="clear" w:color="auto" w:fill="auto"/>
            <w:noWrap/>
            <w:vAlign w:val="center"/>
            <w:hideMark/>
          </w:tcPr>
          <w:p w14:paraId="233C637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0,1165</w:t>
            </w:r>
          </w:p>
        </w:tc>
        <w:tc>
          <w:tcPr>
            <w:tcW w:w="1500" w:type="dxa"/>
            <w:tcBorders>
              <w:top w:val="nil"/>
              <w:left w:val="nil"/>
              <w:bottom w:val="single" w:sz="4" w:space="0" w:color="auto"/>
              <w:right w:val="single" w:sz="4" w:space="0" w:color="auto"/>
            </w:tcBorders>
            <w:shd w:val="clear" w:color="auto" w:fill="auto"/>
            <w:noWrap/>
            <w:vAlign w:val="center"/>
            <w:hideMark/>
          </w:tcPr>
          <w:p w14:paraId="5EC1641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-0,4529</w:t>
            </w:r>
          </w:p>
        </w:tc>
        <w:tc>
          <w:tcPr>
            <w:tcW w:w="1500" w:type="dxa"/>
            <w:tcBorders>
              <w:top w:val="nil"/>
              <w:left w:val="nil"/>
              <w:bottom w:val="single" w:sz="4" w:space="0" w:color="auto"/>
              <w:right w:val="single" w:sz="4" w:space="0" w:color="auto"/>
            </w:tcBorders>
            <w:shd w:val="clear" w:color="auto" w:fill="auto"/>
            <w:noWrap/>
            <w:vAlign w:val="center"/>
            <w:hideMark/>
          </w:tcPr>
          <w:p w14:paraId="3C298A3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0,3758</w:t>
            </w:r>
          </w:p>
        </w:tc>
        <w:tc>
          <w:tcPr>
            <w:tcW w:w="1420" w:type="dxa"/>
            <w:tcBorders>
              <w:top w:val="nil"/>
              <w:left w:val="nil"/>
              <w:bottom w:val="single" w:sz="4" w:space="0" w:color="auto"/>
              <w:right w:val="single" w:sz="4" w:space="0" w:color="auto"/>
            </w:tcBorders>
            <w:shd w:val="clear" w:color="auto" w:fill="auto"/>
            <w:noWrap/>
            <w:vAlign w:val="center"/>
            <w:hideMark/>
          </w:tcPr>
          <w:p w14:paraId="20A935B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0,6490</w:t>
            </w:r>
          </w:p>
        </w:tc>
        <w:tc>
          <w:tcPr>
            <w:tcW w:w="1500" w:type="dxa"/>
            <w:tcBorders>
              <w:top w:val="nil"/>
              <w:left w:val="nil"/>
              <w:bottom w:val="single" w:sz="4" w:space="0" w:color="auto"/>
              <w:right w:val="single" w:sz="4" w:space="0" w:color="auto"/>
            </w:tcBorders>
            <w:shd w:val="clear" w:color="auto" w:fill="auto"/>
            <w:noWrap/>
            <w:vAlign w:val="center"/>
            <w:hideMark/>
          </w:tcPr>
          <w:p w14:paraId="167F0C2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-0,0002</w:t>
            </w:r>
          </w:p>
        </w:tc>
        <w:tc>
          <w:tcPr>
            <w:tcW w:w="1680" w:type="dxa"/>
            <w:tcBorders>
              <w:top w:val="nil"/>
              <w:left w:val="nil"/>
              <w:bottom w:val="single" w:sz="4" w:space="0" w:color="auto"/>
              <w:right w:val="single" w:sz="4" w:space="0" w:color="auto"/>
            </w:tcBorders>
            <w:shd w:val="clear" w:color="auto" w:fill="auto"/>
            <w:noWrap/>
            <w:vAlign w:val="center"/>
            <w:hideMark/>
          </w:tcPr>
          <w:p w14:paraId="2302A12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0,0274</w:t>
            </w:r>
          </w:p>
        </w:tc>
      </w:tr>
      <w:tr w:rsidR="00AB310A" w:rsidRPr="00AB310A" w14:paraId="264B115C"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587B67B5"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CSCO</w:t>
            </w:r>
          </w:p>
        </w:tc>
        <w:tc>
          <w:tcPr>
            <w:tcW w:w="1500" w:type="dxa"/>
            <w:tcBorders>
              <w:top w:val="nil"/>
              <w:left w:val="nil"/>
              <w:bottom w:val="single" w:sz="4" w:space="0" w:color="auto"/>
              <w:right w:val="single" w:sz="4" w:space="0" w:color="auto"/>
            </w:tcBorders>
            <w:shd w:val="clear" w:color="auto" w:fill="auto"/>
            <w:noWrap/>
            <w:vAlign w:val="center"/>
            <w:hideMark/>
          </w:tcPr>
          <w:p w14:paraId="11465FE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-0,0353</w:t>
            </w:r>
          </w:p>
        </w:tc>
        <w:tc>
          <w:tcPr>
            <w:tcW w:w="1500" w:type="dxa"/>
            <w:tcBorders>
              <w:top w:val="nil"/>
              <w:left w:val="nil"/>
              <w:bottom w:val="single" w:sz="4" w:space="0" w:color="auto"/>
              <w:right w:val="single" w:sz="4" w:space="0" w:color="auto"/>
            </w:tcBorders>
            <w:shd w:val="clear" w:color="auto" w:fill="auto"/>
            <w:noWrap/>
            <w:vAlign w:val="center"/>
            <w:hideMark/>
          </w:tcPr>
          <w:p w14:paraId="53D8D50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-0,1389</w:t>
            </w:r>
          </w:p>
        </w:tc>
        <w:tc>
          <w:tcPr>
            <w:tcW w:w="1500" w:type="dxa"/>
            <w:tcBorders>
              <w:top w:val="nil"/>
              <w:left w:val="nil"/>
              <w:bottom w:val="single" w:sz="4" w:space="0" w:color="auto"/>
              <w:right w:val="single" w:sz="4" w:space="0" w:color="auto"/>
            </w:tcBorders>
            <w:shd w:val="clear" w:color="auto" w:fill="auto"/>
            <w:noWrap/>
            <w:vAlign w:val="center"/>
            <w:hideMark/>
          </w:tcPr>
          <w:p w14:paraId="4071B11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0,3601</w:t>
            </w:r>
          </w:p>
        </w:tc>
        <w:tc>
          <w:tcPr>
            <w:tcW w:w="1420" w:type="dxa"/>
            <w:tcBorders>
              <w:top w:val="nil"/>
              <w:left w:val="nil"/>
              <w:bottom w:val="single" w:sz="4" w:space="0" w:color="auto"/>
              <w:right w:val="single" w:sz="4" w:space="0" w:color="auto"/>
            </w:tcBorders>
            <w:shd w:val="clear" w:color="auto" w:fill="auto"/>
            <w:noWrap/>
            <w:vAlign w:val="center"/>
            <w:hideMark/>
          </w:tcPr>
          <w:p w14:paraId="64A435C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0,6983</w:t>
            </w:r>
          </w:p>
        </w:tc>
        <w:tc>
          <w:tcPr>
            <w:tcW w:w="1500" w:type="dxa"/>
            <w:tcBorders>
              <w:top w:val="nil"/>
              <w:left w:val="nil"/>
              <w:bottom w:val="single" w:sz="4" w:space="0" w:color="auto"/>
              <w:right w:val="single" w:sz="4" w:space="0" w:color="auto"/>
            </w:tcBorders>
            <w:shd w:val="clear" w:color="auto" w:fill="auto"/>
            <w:noWrap/>
            <w:vAlign w:val="center"/>
            <w:hideMark/>
          </w:tcPr>
          <w:p w14:paraId="0AB0968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-0,0027</w:t>
            </w:r>
          </w:p>
        </w:tc>
        <w:tc>
          <w:tcPr>
            <w:tcW w:w="1680" w:type="dxa"/>
            <w:tcBorders>
              <w:top w:val="nil"/>
              <w:left w:val="nil"/>
              <w:bottom w:val="single" w:sz="4" w:space="0" w:color="auto"/>
              <w:right w:val="single" w:sz="4" w:space="0" w:color="auto"/>
            </w:tcBorders>
            <w:shd w:val="clear" w:color="auto" w:fill="auto"/>
            <w:noWrap/>
            <w:vAlign w:val="center"/>
            <w:hideMark/>
          </w:tcPr>
          <w:p w14:paraId="338C3E9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0,0300</w:t>
            </w:r>
          </w:p>
        </w:tc>
      </w:tr>
      <w:tr w:rsidR="00AB310A" w:rsidRPr="00AB310A" w14:paraId="114E9AC1"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28E5C7B9"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AOS</w:t>
            </w:r>
          </w:p>
        </w:tc>
        <w:tc>
          <w:tcPr>
            <w:tcW w:w="1500" w:type="dxa"/>
            <w:tcBorders>
              <w:top w:val="nil"/>
              <w:left w:val="nil"/>
              <w:bottom w:val="single" w:sz="4" w:space="0" w:color="auto"/>
              <w:right w:val="single" w:sz="4" w:space="0" w:color="auto"/>
            </w:tcBorders>
            <w:shd w:val="clear" w:color="auto" w:fill="auto"/>
            <w:noWrap/>
            <w:vAlign w:val="center"/>
            <w:hideMark/>
          </w:tcPr>
          <w:p w14:paraId="122BBAC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0,2456</w:t>
            </w:r>
          </w:p>
        </w:tc>
        <w:tc>
          <w:tcPr>
            <w:tcW w:w="1500" w:type="dxa"/>
            <w:tcBorders>
              <w:top w:val="nil"/>
              <w:left w:val="nil"/>
              <w:bottom w:val="single" w:sz="4" w:space="0" w:color="auto"/>
              <w:right w:val="single" w:sz="4" w:space="0" w:color="auto"/>
            </w:tcBorders>
            <w:shd w:val="clear" w:color="auto" w:fill="auto"/>
            <w:noWrap/>
            <w:vAlign w:val="center"/>
            <w:hideMark/>
          </w:tcPr>
          <w:p w14:paraId="32A860F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0,1876</w:t>
            </w:r>
          </w:p>
        </w:tc>
        <w:tc>
          <w:tcPr>
            <w:tcW w:w="1500" w:type="dxa"/>
            <w:tcBorders>
              <w:top w:val="nil"/>
              <w:left w:val="nil"/>
              <w:bottom w:val="single" w:sz="4" w:space="0" w:color="auto"/>
              <w:right w:val="single" w:sz="4" w:space="0" w:color="auto"/>
            </w:tcBorders>
            <w:shd w:val="clear" w:color="auto" w:fill="auto"/>
            <w:noWrap/>
            <w:vAlign w:val="center"/>
            <w:hideMark/>
          </w:tcPr>
          <w:p w14:paraId="009BEDC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0,3719</w:t>
            </w:r>
          </w:p>
        </w:tc>
        <w:tc>
          <w:tcPr>
            <w:tcW w:w="1420" w:type="dxa"/>
            <w:tcBorders>
              <w:top w:val="nil"/>
              <w:left w:val="nil"/>
              <w:bottom w:val="single" w:sz="4" w:space="0" w:color="auto"/>
              <w:right w:val="single" w:sz="4" w:space="0" w:color="auto"/>
            </w:tcBorders>
            <w:shd w:val="clear" w:color="auto" w:fill="auto"/>
            <w:noWrap/>
            <w:vAlign w:val="center"/>
            <w:hideMark/>
          </w:tcPr>
          <w:p w14:paraId="78FE625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0,9339</w:t>
            </w:r>
          </w:p>
        </w:tc>
        <w:tc>
          <w:tcPr>
            <w:tcW w:w="1500" w:type="dxa"/>
            <w:tcBorders>
              <w:top w:val="nil"/>
              <w:left w:val="nil"/>
              <w:bottom w:val="single" w:sz="4" w:space="0" w:color="auto"/>
              <w:right w:val="single" w:sz="4" w:space="0" w:color="auto"/>
            </w:tcBorders>
            <w:shd w:val="clear" w:color="auto" w:fill="auto"/>
            <w:noWrap/>
            <w:vAlign w:val="center"/>
            <w:hideMark/>
          </w:tcPr>
          <w:p w14:paraId="520F2BB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-0,0010</w:t>
            </w:r>
          </w:p>
        </w:tc>
        <w:tc>
          <w:tcPr>
            <w:tcW w:w="1680" w:type="dxa"/>
            <w:tcBorders>
              <w:top w:val="nil"/>
              <w:left w:val="nil"/>
              <w:bottom w:val="single" w:sz="4" w:space="0" w:color="auto"/>
              <w:right w:val="single" w:sz="4" w:space="0" w:color="auto"/>
            </w:tcBorders>
            <w:shd w:val="clear" w:color="auto" w:fill="auto"/>
            <w:noWrap/>
            <w:vAlign w:val="center"/>
            <w:hideMark/>
          </w:tcPr>
          <w:p w14:paraId="2B0C48B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0,0340</w:t>
            </w:r>
          </w:p>
        </w:tc>
      </w:tr>
      <w:tr w:rsidR="00AB310A" w:rsidRPr="00AB310A" w14:paraId="352B63D9"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F93A4C6"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ANSS</w:t>
            </w:r>
          </w:p>
        </w:tc>
        <w:tc>
          <w:tcPr>
            <w:tcW w:w="1500" w:type="dxa"/>
            <w:tcBorders>
              <w:top w:val="nil"/>
              <w:left w:val="nil"/>
              <w:bottom w:val="single" w:sz="4" w:space="0" w:color="auto"/>
              <w:right w:val="single" w:sz="4" w:space="0" w:color="auto"/>
            </w:tcBorders>
            <w:shd w:val="clear" w:color="auto" w:fill="auto"/>
            <w:noWrap/>
            <w:vAlign w:val="center"/>
            <w:hideMark/>
          </w:tcPr>
          <w:p w14:paraId="2E24FE6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-0,5933</w:t>
            </w:r>
          </w:p>
        </w:tc>
        <w:tc>
          <w:tcPr>
            <w:tcW w:w="1500" w:type="dxa"/>
            <w:tcBorders>
              <w:top w:val="nil"/>
              <w:left w:val="nil"/>
              <w:bottom w:val="single" w:sz="4" w:space="0" w:color="auto"/>
              <w:right w:val="single" w:sz="4" w:space="0" w:color="auto"/>
            </w:tcBorders>
            <w:shd w:val="clear" w:color="auto" w:fill="auto"/>
            <w:noWrap/>
            <w:vAlign w:val="center"/>
            <w:hideMark/>
          </w:tcPr>
          <w:p w14:paraId="5C413B7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0,0626</w:t>
            </w:r>
          </w:p>
        </w:tc>
        <w:tc>
          <w:tcPr>
            <w:tcW w:w="1500" w:type="dxa"/>
            <w:tcBorders>
              <w:top w:val="nil"/>
              <w:left w:val="nil"/>
              <w:bottom w:val="single" w:sz="4" w:space="0" w:color="auto"/>
              <w:right w:val="single" w:sz="4" w:space="0" w:color="auto"/>
            </w:tcBorders>
            <w:shd w:val="clear" w:color="auto" w:fill="auto"/>
            <w:noWrap/>
            <w:vAlign w:val="center"/>
            <w:hideMark/>
          </w:tcPr>
          <w:p w14:paraId="4D923F7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0,3498</w:t>
            </w:r>
          </w:p>
        </w:tc>
        <w:tc>
          <w:tcPr>
            <w:tcW w:w="1420" w:type="dxa"/>
            <w:tcBorders>
              <w:top w:val="nil"/>
              <w:left w:val="nil"/>
              <w:bottom w:val="single" w:sz="4" w:space="0" w:color="auto"/>
              <w:right w:val="single" w:sz="4" w:space="0" w:color="auto"/>
            </w:tcBorders>
            <w:shd w:val="clear" w:color="auto" w:fill="auto"/>
            <w:noWrap/>
            <w:vAlign w:val="center"/>
            <w:hideMark/>
          </w:tcPr>
          <w:p w14:paraId="7E994A6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1,0947</w:t>
            </w:r>
          </w:p>
        </w:tc>
        <w:tc>
          <w:tcPr>
            <w:tcW w:w="1500" w:type="dxa"/>
            <w:tcBorders>
              <w:top w:val="nil"/>
              <w:left w:val="nil"/>
              <w:bottom w:val="single" w:sz="4" w:space="0" w:color="auto"/>
              <w:right w:val="single" w:sz="4" w:space="0" w:color="auto"/>
            </w:tcBorders>
            <w:shd w:val="clear" w:color="auto" w:fill="auto"/>
            <w:noWrap/>
            <w:vAlign w:val="center"/>
            <w:hideMark/>
          </w:tcPr>
          <w:p w14:paraId="59C989D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-0,0020</w:t>
            </w:r>
          </w:p>
        </w:tc>
        <w:tc>
          <w:tcPr>
            <w:tcW w:w="1680" w:type="dxa"/>
            <w:tcBorders>
              <w:top w:val="nil"/>
              <w:left w:val="nil"/>
              <w:bottom w:val="single" w:sz="4" w:space="0" w:color="auto"/>
              <w:right w:val="single" w:sz="4" w:space="0" w:color="auto"/>
            </w:tcBorders>
            <w:shd w:val="clear" w:color="auto" w:fill="auto"/>
            <w:noWrap/>
            <w:vAlign w:val="center"/>
            <w:hideMark/>
          </w:tcPr>
          <w:p w14:paraId="23BA17A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0,0376</w:t>
            </w:r>
          </w:p>
        </w:tc>
      </w:tr>
      <w:tr w:rsidR="00AB310A" w:rsidRPr="00AB310A" w14:paraId="57CCB400"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5CA25C6A"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META</w:t>
            </w:r>
          </w:p>
        </w:tc>
        <w:tc>
          <w:tcPr>
            <w:tcW w:w="1500" w:type="dxa"/>
            <w:tcBorders>
              <w:top w:val="nil"/>
              <w:left w:val="nil"/>
              <w:bottom w:val="single" w:sz="4" w:space="0" w:color="auto"/>
              <w:right w:val="single" w:sz="4" w:space="0" w:color="auto"/>
            </w:tcBorders>
            <w:shd w:val="clear" w:color="auto" w:fill="auto"/>
            <w:noWrap/>
            <w:vAlign w:val="center"/>
            <w:hideMark/>
          </w:tcPr>
          <w:p w14:paraId="5BC02D8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-0,4236</w:t>
            </w:r>
          </w:p>
        </w:tc>
        <w:tc>
          <w:tcPr>
            <w:tcW w:w="1500" w:type="dxa"/>
            <w:tcBorders>
              <w:top w:val="nil"/>
              <w:left w:val="nil"/>
              <w:bottom w:val="single" w:sz="4" w:space="0" w:color="auto"/>
              <w:right w:val="single" w:sz="4" w:space="0" w:color="auto"/>
            </w:tcBorders>
            <w:shd w:val="clear" w:color="auto" w:fill="auto"/>
            <w:noWrap/>
            <w:vAlign w:val="center"/>
            <w:hideMark/>
          </w:tcPr>
          <w:p w14:paraId="769F071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-0,0394</w:t>
            </w:r>
          </w:p>
        </w:tc>
        <w:tc>
          <w:tcPr>
            <w:tcW w:w="1500" w:type="dxa"/>
            <w:tcBorders>
              <w:top w:val="nil"/>
              <w:left w:val="nil"/>
              <w:bottom w:val="single" w:sz="4" w:space="0" w:color="auto"/>
              <w:right w:val="single" w:sz="4" w:space="0" w:color="auto"/>
            </w:tcBorders>
            <w:shd w:val="clear" w:color="auto" w:fill="auto"/>
            <w:noWrap/>
            <w:vAlign w:val="center"/>
            <w:hideMark/>
          </w:tcPr>
          <w:p w14:paraId="4DDF7A3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-0,5960</w:t>
            </w:r>
          </w:p>
        </w:tc>
        <w:tc>
          <w:tcPr>
            <w:tcW w:w="1420" w:type="dxa"/>
            <w:tcBorders>
              <w:top w:val="nil"/>
              <w:left w:val="nil"/>
              <w:bottom w:val="single" w:sz="4" w:space="0" w:color="auto"/>
              <w:right w:val="single" w:sz="4" w:space="0" w:color="auto"/>
            </w:tcBorders>
            <w:shd w:val="clear" w:color="auto" w:fill="auto"/>
            <w:noWrap/>
            <w:vAlign w:val="center"/>
            <w:hideMark/>
          </w:tcPr>
          <w:p w14:paraId="11602B7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1,1204</w:t>
            </w:r>
          </w:p>
        </w:tc>
        <w:tc>
          <w:tcPr>
            <w:tcW w:w="1500" w:type="dxa"/>
            <w:tcBorders>
              <w:top w:val="nil"/>
              <w:left w:val="nil"/>
              <w:bottom w:val="single" w:sz="4" w:space="0" w:color="auto"/>
              <w:right w:val="single" w:sz="4" w:space="0" w:color="auto"/>
            </w:tcBorders>
            <w:shd w:val="clear" w:color="auto" w:fill="auto"/>
            <w:noWrap/>
            <w:vAlign w:val="center"/>
            <w:hideMark/>
          </w:tcPr>
          <w:p w14:paraId="3170DA9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0,0016</w:t>
            </w:r>
          </w:p>
        </w:tc>
        <w:tc>
          <w:tcPr>
            <w:tcW w:w="1680" w:type="dxa"/>
            <w:tcBorders>
              <w:top w:val="nil"/>
              <w:left w:val="nil"/>
              <w:bottom w:val="single" w:sz="4" w:space="0" w:color="auto"/>
              <w:right w:val="single" w:sz="4" w:space="0" w:color="auto"/>
            </w:tcBorders>
            <w:shd w:val="clear" w:color="auto" w:fill="auto"/>
            <w:noWrap/>
            <w:vAlign w:val="center"/>
            <w:hideMark/>
          </w:tcPr>
          <w:p w14:paraId="517D87B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0,0378</w:t>
            </w:r>
          </w:p>
        </w:tc>
      </w:tr>
      <w:tr w:rsidR="00AB310A" w:rsidRPr="00AB310A" w14:paraId="5204492B"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63223E23"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CMCSA</w:t>
            </w:r>
          </w:p>
        </w:tc>
        <w:tc>
          <w:tcPr>
            <w:tcW w:w="1500" w:type="dxa"/>
            <w:tcBorders>
              <w:top w:val="nil"/>
              <w:left w:val="nil"/>
              <w:bottom w:val="single" w:sz="4" w:space="0" w:color="auto"/>
              <w:right w:val="single" w:sz="4" w:space="0" w:color="auto"/>
            </w:tcBorders>
            <w:shd w:val="clear" w:color="auto" w:fill="auto"/>
            <w:noWrap/>
            <w:vAlign w:val="center"/>
            <w:hideMark/>
          </w:tcPr>
          <w:p w14:paraId="33B6B24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0,2570</w:t>
            </w:r>
          </w:p>
        </w:tc>
        <w:tc>
          <w:tcPr>
            <w:tcW w:w="1500" w:type="dxa"/>
            <w:tcBorders>
              <w:top w:val="nil"/>
              <w:left w:val="nil"/>
              <w:bottom w:val="single" w:sz="4" w:space="0" w:color="auto"/>
              <w:right w:val="single" w:sz="4" w:space="0" w:color="auto"/>
            </w:tcBorders>
            <w:shd w:val="clear" w:color="auto" w:fill="auto"/>
            <w:noWrap/>
            <w:vAlign w:val="center"/>
            <w:hideMark/>
          </w:tcPr>
          <w:p w14:paraId="02E17D4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-0,0463</w:t>
            </w:r>
          </w:p>
        </w:tc>
        <w:tc>
          <w:tcPr>
            <w:tcW w:w="1500" w:type="dxa"/>
            <w:tcBorders>
              <w:top w:val="nil"/>
              <w:left w:val="nil"/>
              <w:bottom w:val="single" w:sz="4" w:space="0" w:color="auto"/>
              <w:right w:val="single" w:sz="4" w:space="0" w:color="auto"/>
            </w:tcBorders>
            <w:shd w:val="clear" w:color="auto" w:fill="auto"/>
            <w:noWrap/>
            <w:vAlign w:val="center"/>
            <w:hideMark/>
          </w:tcPr>
          <w:p w14:paraId="1F8EA99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0,3513</w:t>
            </w:r>
          </w:p>
        </w:tc>
        <w:tc>
          <w:tcPr>
            <w:tcW w:w="1420" w:type="dxa"/>
            <w:tcBorders>
              <w:top w:val="nil"/>
              <w:left w:val="nil"/>
              <w:bottom w:val="single" w:sz="4" w:space="0" w:color="auto"/>
              <w:right w:val="single" w:sz="4" w:space="0" w:color="auto"/>
            </w:tcBorders>
            <w:shd w:val="clear" w:color="auto" w:fill="auto"/>
            <w:noWrap/>
            <w:vAlign w:val="center"/>
            <w:hideMark/>
          </w:tcPr>
          <w:p w14:paraId="3F0DA9B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0,7424</w:t>
            </w:r>
          </w:p>
        </w:tc>
        <w:tc>
          <w:tcPr>
            <w:tcW w:w="1500" w:type="dxa"/>
            <w:tcBorders>
              <w:top w:val="nil"/>
              <w:left w:val="nil"/>
              <w:bottom w:val="single" w:sz="4" w:space="0" w:color="auto"/>
              <w:right w:val="single" w:sz="4" w:space="0" w:color="auto"/>
            </w:tcBorders>
            <w:shd w:val="clear" w:color="auto" w:fill="auto"/>
            <w:noWrap/>
            <w:vAlign w:val="center"/>
            <w:hideMark/>
          </w:tcPr>
          <w:p w14:paraId="0A343BA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-0,0032</w:t>
            </w:r>
          </w:p>
        </w:tc>
        <w:tc>
          <w:tcPr>
            <w:tcW w:w="1680" w:type="dxa"/>
            <w:tcBorders>
              <w:top w:val="nil"/>
              <w:left w:val="nil"/>
              <w:bottom w:val="single" w:sz="4" w:space="0" w:color="auto"/>
              <w:right w:val="single" w:sz="4" w:space="0" w:color="auto"/>
            </w:tcBorders>
            <w:shd w:val="clear" w:color="auto" w:fill="auto"/>
            <w:noWrap/>
            <w:vAlign w:val="center"/>
            <w:hideMark/>
          </w:tcPr>
          <w:p w14:paraId="10E23B2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0,0388</w:t>
            </w:r>
          </w:p>
        </w:tc>
      </w:tr>
      <w:tr w:rsidR="00AB310A" w:rsidRPr="00AB310A" w14:paraId="153D2E41"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977D615"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RCL</w:t>
            </w:r>
          </w:p>
        </w:tc>
        <w:tc>
          <w:tcPr>
            <w:tcW w:w="1500" w:type="dxa"/>
            <w:tcBorders>
              <w:top w:val="nil"/>
              <w:left w:val="nil"/>
              <w:bottom w:val="single" w:sz="4" w:space="0" w:color="auto"/>
              <w:right w:val="single" w:sz="4" w:space="0" w:color="auto"/>
            </w:tcBorders>
            <w:shd w:val="clear" w:color="auto" w:fill="auto"/>
            <w:noWrap/>
            <w:vAlign w:val="center"/>
            <w:hideMark/>
          </w:tcPr>
          <w:p w14:paraId="555CA6D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1,2411</w:t>
            </w:r>
          </w:p>
        </w:tc>
        <w:tc>
          <w:tcPr>
            <w:tcW w:w="1500" w:type="dxa"/>
            <w:tcBorders>
              <w:top w:val="nil"/>
              <w:left w:val="nil"/>
              <w:bottom w:val="single" w:sz="4" w:space="0" w:color="auto"/>
              <w:right w:val="single" w:sz="4" w:space="0" w:color="auto"/>
            </w:tcBorders>
            <w:shd w:val="clear" w:color="auto" w:fill="auto"/>
            <w:noWrap/>
            <w:vAlign w:val="center"/>
            <w:hideMark/>
          </w:tcPr>
          <w:p w14:paraId="5E795D5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1,0553</w:t>
            </w:r>
          </w:p>
        </w:tc>
        <w:tc>
          <w:tcPr>
            <w:tcW w:w="1500" w:type="dxa"/>
            <w:tcBorders>
              <w:top w:val="nil"/>
              <w:left w:val="nil"/>
              <w:bottom w:val="single" w:sz="4" w:space="0" w:color="auto"/>
              <w:right w:val="single" w:sz="4" w:space="0" w:color="auto"/>
            </w:tcBorders>
            <w:shd w:val="clear" w:color="auto" w:fill="auto"/>
            <w:noWrap/>
            <w:vAlign w:val="center"/>
            <w:hideMark/>
          </w:tcPr>
          <w:p w14:paraId="70FDFD1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-0,8469</w:t>
            </w:r>
          </w:p>
        </w:tc>
        <w:tc>
          <w:tcPr>
            <w:tcW w:w="1420" w:type="dxa"/>
            <w:tcBorders>
              <w:top w:val="nil"/>
              <w:left w:val="nil"/>
              <w:bottom w:val="single" w:sz="4" w:space="0" w:color="auto"/>
              <w:right w:val="single" w:sz="4" w:space="0" w:color="auto"/>
            </w:tcBorders>
            <w:shd w:val="clear" w:color="auto" w:fill="auto"/>
            <w:noWrap/>
            <w:vAlign w:val="center"/>
            <w:hideMark/>
          </w:tcPr>
          <w:p w14:paraId="5AE411B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2,2967</w:t>
            </w:r>
          </w:p>
        </w:tc>
        <w:tc>
          <w:tcPr>
            <w:tcW w:w="1500" w:type="dxa"/>
            <w:tcBorders>
              <w:top w:val="nil"/>
              <w:left w:val="nil"/>
              <w:bottom w:val="single" w:sz="4" w:space="0" w:color="auto"/>
              <w:right w:val="single" w:sz="4" w:space="0" w:color="auto"/>
            </w:tcBorders>
            <w:shd w:val="clear" w:color="auto" w:fill="auto"/>
            <w:noWrap/>
            <w:vAlign w:val="center"/>
            <w:hideMark/>
          </w:tcPr>
          <w:p w14:paraId="7A88346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-0,0036</w:t>
            </w:r>
          </w:p>
        </w:tc>
        <w:tc>
          <w:tcPr>
            <w:tcW w:w="1680" w:type="dxa"/>
            <w:tcBorders>
              <w:top w:val="nil"/>
              <w:left w:val="nil"/>
              <w:bottom w:val="single" w:sz="4" w:space="0" w:color="auto"/>
              <w:right w:val="single" w:sz="4" w:space="0" w:color="auto"/>
            </w:tcBorders>
            <w:shd w:val="clear" w:color="auto" w:fill="auto"/>
            <w:noWrap/>
            <w:vAlign w:val="center"/>
            <w:hideMark/>
          </w:tcPr>
          <w:p w14:paraId="564E4F1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0,0407</w:t>
            </w:r>
          </w:p>
        </w:tc>
      </w:tr>
      <w:tr w:rsidR="00AB310A" w:rsidRPr="00AB310A" w14:paraId="278BFFB0"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6724219E"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CLX</w:t>
            </w:r>
          </w:p>
        </w:tc>
        <w:tc>
          <w:tcPr>
            <w:tcW w:w="1500" w:type="dxa"/>
            <w:tcBorders>
              <w:top w:val="nil"/>
              <w:left w:val="nil"/>
              <w:bottom w:val="single" w:sz="4" w:space="0" w:color="auto"/>
              <w:right w:val="single" w:sz="4" w:space="0" w:color="auto"/>
            </w:tcBorders>
            <w:shd w:val="clear" w:color="auto" w:fill="auto"/>
            <w:noWrap/>
            <w:vAlign w:val="center"/>
            <w:hideMark/>
          </w:tcPr>
          <w:p w14:paraId="702A987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-0,2463</w:t>
            </w:r>
          </w:p>
        </w:tc>
        <w:tc>
          <w:tcPr>
            <w:tcW w:w="1500" w:type="dxa"/>
            <w:tcBorders>
              <w:top w:val="nil"/>
              <w:left w:val="nil"/>
              <w:bottom w:val="single" w:sz="4" w:space="0" w:color="auto"/>
              <w:right w:val="single" w:sz="4" w:space="0" w:color="auto"/>
            </w:tcBorders>
            <w:shd w:val="clear" w:color="auto" w:fill="auto"/>
            <w:noWrap/>
            <w:vAlign w:val="center"/>
            <w:hideMark/>
          </w:tcPr>
          <w:p w14:paraId="2D2806E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-0,2968</w:t>
            </w:r>
          </w:p>
        </w:tc>
        <w:tc>
          <w:tcPr>
            <w:tcW w:w="1500" w:type="dxa"/>
            <w:tcBorders>
              <w:top w:val="nil"/>
              <w:left w:val="nil"/>
              <w:bottom w:val="single" w:sz="4" w:space="0" w:color="auto"/>
              <w:right w:val="single" w:sz="4" w:space="0" w:color="auto"/>
            </w:tcBorders>
            <w:shd w:val="clear" w:color="auto" w:fill="auto"/>
            <w:noWrap/>
            <w:vAlign w:val="center"/>
            <w:hideMark/>
          </w:tcPr>
          <w:p w14:paraId="739E183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-0,4331</w:t>
            </w:r>
          </w:p>
        </w:tc>
        <w:tc>
          <w:tcPr>
            <w:tcW w:w="1420" w:type="dxa"/>
            <w:tcBorders>
              <w:top w:val="nil"/>
              <w:left w:val="nil"/>
              <w:bottom w:val="single" w:sz="4" w:space="0" w:color="auto"/>
              <w:right w:val="single" w:sz="4" w:space="0" w:color="auto"/>
            </w:tcBorders>
            <w:shd w:val="clear" w:color="auto" w:fill="auto"/>
            <w:noWrap/>
            <w:vAlign w:val="center"/>
            <w:hideMark/>
          </w:tcPr>
          <w:p w14:paraId="13150F8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0,3726</w:t>
            </w:r>
          </w:p>
        </w:tc>
        <w:tc>
          <w:tcPr>
            <w:tcW w:w="1500" w:type="dxa"/>
            <w:tcBorders>
              <w:top w:val="nil"/>
              <w:left w:val="nil"/>
              <w:bottom w:val="single" w:sz="4" w:space="0" w:color="auto"/>
              <w:right w:val="single" w:sz="4" w:space="0" w:color="auto"/>
            </w:tcBorders>
            <w:shd w:val="clear" w:color="auto" w:fill="auto"/>
            <w:noWrap/>
            <w:vAlign w:val="center"/>
            <w:hideMark/>
          </w:tcPr>
          <w:p w14:paraId="2A01F54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-0,0002</w:t>
            </w:r>
          </w:p>
        </w:tc>
        <w:tc>
          <w:tcPr>
            <w:tcW w:w="1680" w:type="dxa"/>
            <w:tcBorders>
              <w:top w:val="nil"/>
              <w:left w:val="nil"/>
              <w:bottom w:val="single" w:sz="4" w:space="0" w:color="auto"/>
              <w:right w:val="single" w:sz="4" w:space="0" w:color="auto"/>
            </w:tcBorders>
            <w:shd w:val="clear" w:color="auto" w:fill="auto"/>
            <w:noWrap/>
            <w:vAlign w:val="center"/>
            <w:hideMark/>
          </w:tcPr>
          <w:p w14:paraId="282B7DF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0,0430</w:t>
            </w:r>
          </w:p>
        </w:tc>
      </w:tr>
      <w:tr w:rsidR="00AB310A" w:rsidRPr="00AB310A" w14:paraId="658BB81B"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40DCDB0E"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MSI</w:t>
            </w:r>
          </w:p>
        </w:tc>
        <w:tc>
          <w:tcPr>
            <w:tcW w:w="1500" w:type="dxa"/>
            <w:tcBorders>
              <w:top w:val="nil"/>
              <w:left w:val="nil"/>
              <w:bottom w:val="single" w:sz="4" w:space="0" w:color="auto"/>
              <w:right w:val="single" w:sz="4" w:space="0" w:color="auto"/>
            </w:tcBorders>
            <w:shd w:val="clear" w:color="auto" w:fill="auto"/>
            <w:noWrap/>
            <w:vAlign w:val="center"/>
            <w:hideMark/>
          </w:tcPr>
          <w:p w14:paraId="73CC72F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0,1567</w:t>
            </w:r>
          </w:p>
        </w:tc>
        <w:tc>
          <w:tcPr>
            <w:tcW w:w="1500" w:type="dxa"/>
            <w:tcBorders>
              <w:top w:val="nil"/>
              <w:left w:val="nil"/>
              <w:bottom w:val="single" w:sz="4" w:space="0" w:color="auto"/>
              <w:right w:val="single" w:sz="4" w:space="0" w:color="auto"/>
            </w:tcBorders>
            <w:shd w:val="clear" w:color="auto" w:fill="auto"/>
            <w:noWrap/>
            <w:vAlign w:val="center"/>
            <w:hideMark/>
          </w:tcPr>
          <w:p w14:paraId="05624CA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-0,1500</w:t>
            </w:r>
          </w:p>
        </w:tc>
        <w:tc>
          <w:tcPr>
            <w:tcW w:w="1500" w:type="dxa"/>
            <w:tcBorders>
              <w:top w:val="nil"/>
              <w:left w:val="nil"/>
              <w:bottom w:val="single" w:sz="4" w:space="0" w:color="auto"/>
              <w:right w:val="single" w:sz="4" w:space="0" w:color="auto"/>
            </w:tcBorders>
            <w:shd w:val="clear" w:color="auto" w:fill="auto"/>
            <w:noWrap/>
            <w:vAlign w:val="center"/>
            <w:hideMark/>
          </w:tcPr>
          <w:p w14:paraId="2722CEF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0,3388</w:t>
            </w:r>
          </w:p>
        </w:tc>
        <w:tc>
          <w:tcPr>
            <w:tcW w:w="1420" w:type="dxa"/>
            <w:tcBorders>
              <w:top w:val="nil"/>
              <w:left w:val="nil"/>
              <w:bottom w:val="single" w:sz="4" w:space="0" w:color="auto"/>
              <w:right w:val="single" w:sz="4" w:space="0" w:color="auto"/>
            </w:tcBorders>
            <w:shd w:val="clear" w:color="auto" w:fill="auto"/>
            <w:noWrap/>
            <w:vAlign w:val="center"/>
            <w:hideMark/>
          </w:tcPr>
          <w:p w14:paraId="7D6B046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0,8841</w:t>
            </w:r>
          </w:p>
        </w:tc>
        <w:tc>
          <w:tcPr>
            <w:tcW w:w="1500" w:type="dxa"/>
            <w:tcBorders>
              <w:top w:val="nil"/>
              <w:left w:val="nil"/>
              <w:bottom w:val="single" w:sz="4" w:space="0" w:color="auto"/>
              <w:right w:val="single" w:sz="4" w:space="0" w:color="auto"/>
            </w:tcBorders>
            <w:shd w:val="clear" w:color="auto" w:fill="auto"/>
            <w:noWrap/>
            <w:vAlign w:val="center"/>
            <w:hideMark/>
          </w:tcPr>
          <w:p w14:paraId="0D954E2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-0,0002</w:t>
            </w:r>
          </w:p>
        </w:tc>
        <w:tc>
          <w:tcPr>
            <w:tcW w:w="1680" w:type="dxa"/>
            <w:tcBorders>
              <w:top w:val="nil"/>
              <w:left w:val="nil"/>
              <w:bottom w:val="single" w:sz="4" w:space="0" w:color="auto"/>
              <w:right w:val="single" w:sz="4" w:space="0" w:color="auto"/>
            </w:tcBorders>
            <w:shd w:val="clear" w:color="auto" w:fill="auto"/>
            <w:noWrap/>
            <w:vAlign w:val="center"/>
            <w:hideMark/>
          </w:tcPr>
          <w:p w14:paraId="33E4A49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0,0455</w:t>
            </w:r>
          </w:p>
        </w:tc>
      </w:tr>
      <w:tr w:rsidR="00AB310A" w:rsidRPr="00AB310A" w14:paraId="7540C742"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3C22CFEE"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IEX</w:t>
            </w:r>
          </w:p>
        </w:tc>
        <w:tc>
          <w:tcPr>
            <w:tcW w:w="1500" w:type="dxa"/>
            <w:tcBorders>
              <w:top w:val="nil"/>
              <w:left w:val="nil"/>
              <w:bottom w:val="single" w:sz="4" w:space="0" w:color="auto"/>
              <w:right w:val="single" w:sz="4" w:space="0" w:color="auto"/>
            </w:tcBorders>
            <w:shd w:val="clear" w:color="auto" w:fill="auto"/>
            <w:noWrap/>
            <w:vAlign w:val="center"/>
            <w:hideMark/>
          </w:tcPr>
          <w:p w14:paraId="1E8FBB6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0,1096</w:t>
            </w:r>
          </w:p>
        </w:tc>
        <w:tc>
          <w:tcPr>
            <w:tcW w:w="1500" w:type="dxa"/>
            <w:tcBorders>
              <w:top w:val="nil"/>
              <w:left w:val="nil"/>
              <w:bottom w:val="single" w:sz="4" w:space="0" w:color="auto"/>
              <w:right w:val="single" w:sz="4" w:space="0" w:color="auto"/>
            </w:tcBorders>
            <w:shd w:val="clear" w:color="auto" w:fill="auto"/>
            <w:noWrap/>
            <w:vAlign w:val="center"/>
            <w:hideMark/>
          </w:tcPr>
          <w:p w14:paraId="0B15EF8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0,1090</w:t>
            </w:r>
          </w:p>
        </w:tc>
        <w:tc>
          <w:tcPr>
            <w:tcW w:w="1500" w:type="dxa"/>
            <w:tcBorders>
              <w:top w:val="nil"/>
              <w:left w:val="nil"/>
              <w:bottom w:val="single" w:sz="4" w:space="0" w:color="auto"/>
              <w:right w:val="single" w:sz="4" w:space="0" w:color="auto"/>
            </w:tcBorders>
            <w:shd w:val="clear" w:color="auto" w:fill="auto"/>
            <w:noWrap/>
            <w:vAlign w:val="center"/>
            <w:hideMark/>
          </w:tcPr>
          <w:p w14:paraId="63931151"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0,2667</w:t>
            </w:r>
          </w:p>
        </w:tc>
        <w:tc>
          <w:tcPr>
            <w:tcW w:w="1420" w:type="dxa"/>
            <w:tcBorders>
              <w:top w:val="nil"/>
              <w:left w:val="nil"/>
              <w:bottom w:val="single" w:sz="4" w:space="0" w:color="auto"/>
              <w:right w:val="single" w:sz="4" w:space="0" w:color="auto"/>
            </w:tcBorders>
            <w:shd w:val="clear" w:color="auto" w:fill="auto"/>
            <w:noWrap/>
            <w:vAlign w:val="center"/>
            <w:hideMark/>
          </w:tcPr>
          <w:p w14:paraId="1C0C334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0,8442</w:t>
            </w:r>
          </w:p>
        </w:tc>
        <w:tc>
          <w:tcPr>
            <w:tcW w:w="1500" w:type="dxa"/>
            <w:tcBorders>
              <w:top w:val="nil"/>
              <w:left w:val="nil"/>
              <w:bottom w:val="single" w:sz="4" w:space="0" w:color="auto"/>
              <w:right w:val="single" w:sz="4" w:space="0" w:color="auto"/>
            </w:tcBorders>
            <w:shd w:val="clear" w:color="auto" w:fill="auto"/>
            <w:noWrap/>
            <w:vAlign w:val="center"/>
            <w:hideMark/>
          </w:tcPr>
          <w:p w14:paraId="1B1734D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-0,0020</w:t>
            </w:r>
          </w:p>
        </w:tc>
        <w:tc>
          <w:tcPr>
            <w:tcW w:w="1680" w:type="dxa"/>
            <w:tcBorders>
              <w:top w:val="nil"/>
              <w:left w:val="nil"/>
              <w:bottom w:val="single" w:sz="4" w:space="0" w:color="auto"/>
              <w:right w:val="single" w:sz="4" w:space="0" w:color="auto"/>
            </w:tcBorders>
            <w:shd w:val="clear" w:color="auto" w:fill="auto"/>
            <w:noWrap/>
            <w:vAlign w:val="center"/>
            <w:hideMark/>
          </w:tcPr>
          <w:p w14:paraId="6453932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0,0456</w:t>
            </w:r>
          </w:p>
        </w:tc>
      </w:tr>
      <w:tr w:rsidR="00AB310A" w:rsidRPr="00AB310A" w14:paraId="2FF49968"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5129207E"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ALLE</w:t>
            </w:r>
          </w:p>
        </w:tc>
        <w:tc>
          <w:tcPr>
            <w:tcW w:w="1500" w:type="dxa"/>
            <w:tcBorders>
              <w:top w:val="nil"/>
              <w:left w:val="nil"/>
              <w:bottom w:val="single" w:sz="4" w:space="0" w:color="auto"/>
              <w:right w:val="single" w:sz="4" w:space="0" w:color="auto"/>
            </w:tcBorders>
            <w:shd w:val="clear" w:color="auto" w:fill="auto"/>
            <w:noWrap/>
            <w:vAlign w:val="center"/>
            <w:hideMark/>
          </w:tcPr>
          <w:p w14:paraId="31D062C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0,3237</w:t>
            </w:r>
          </w:p>
        </w:tc>
        <w:tc>
          <w:tcPr>
            <w:tcW w:w="1500" w:type="dxa"/>
            <w:tcBorders>
              <w:top w:val="nil"/>
              <w:left w:val="nil"/>
              <w:bottom w:val="single" w:sz="4" w:space="0" w:color="auto"/>
              <w:right w:val="single" w:sz="4" w:space="0" w:color="auto"/>
            </w:tcBorders>
            <w:shd w:val="clear" w:color="auto" w:fill="auto"/>
            <w:noWrap/>
            <w:vAlign w:val="center"/>
            <w:hideMark/>
          </w:tcPr>
          <w:p w14:paraId="226B5B4B"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0,0510</w:t>
            </w:r>
          </w:p>
        </w:tc>
        <w:tc>
          <w:tcPr>
            <w:tcW w:w="1500" w:type="dxa"/>
            <w:tcBorders>
              <w:top w:val="nil"/>
              <w:left w:val="nil"/>
              <w:bottom w:val="single" w:sz="4" w:space="0" w:color="auto"/>
              <w:right w:val="single" w:sz="4" w:space="0" w:color="auto"/>
            </w:tcBorders>
            <w:shd w:val="clear" w:color="auto" w:fill="auto"/>
            <w:noWrap/>
            <w:vAlign w:val="center"/>
            <w:hideMark/>
          </w:tcPr>
          <w:p w14:paraId="0B9A19A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0,3557</w:t>
            </w:r>
          </w:p>
        </w:tc>
        <w:tc>
          <w:tcPr>
            <w:tcW w:w="1420" w:type="dxa"/>
            <w:tcBorders>
              <w:top w:val="nil"/>
              <w:left w:val="nil"/>
              <w:bottom w:val="single" w:sz="4" w:space="0" w:color="auto"/>
              <w:right w:val="single" w:sz="4" w:space="0" w:color="auto"/>
            </w:tcBorders>
            <w:shd w:val="clear" w:color="auto" w:fill="auto"/>
            <w:noWrap/>
            <w:vAlign w:val="center"/>
            <w:hideMark/>
          </w:tcPr>
          <w:p w14:paraId="31D6C12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1,1280</w:t>
            </w:r>
          </w:p>
        </w:tc>
        <w:tc>
          <w:tcPr>
            <w:tcW w:w="1500" w:type="dxa"/>
            <w:tcBorders>
              <w:top w:val="nil"/>
              <w:left w:val="nil"/>
              <w:bottom w:val="single" w:sz="4" w:space="0" w:color="auto"/>
              <w:right w:val="single" w:sz="4" w:space="0" w:color="auto"/>
            </w:tcBorders>
            <w:shd w:val="clear" w:color="auto" w:fill="auto"/>
            <w:noWrap/>
            <w:vAlign w:val="center"/>
            <w:hideMark/>
          </w:tcPr>
          <w:p w14:paraId="16BC084D"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-0,0039</w:t>
            </w:r>
          </w:p>
        </w:tc>
        <w:tc>
          <w:tcPr>
            <w:tcW w:w="1680" w:type="dxa"/>
            <w:tcBorders>
              <w:top w:val="nil"/>
              <w:left w:val="nil"/>
              <w:bottom w:val="single" w:sz="4" w:space="0" w:color="auto"/>
              <w:right w:val="single" w:sz="4" w:space="0" w:color="auto"/>
            </w:tcBorders>
            <w:shd w:val="clear" w:color="auto" w:fill="auto"/>
            <w:noWrap/>
            <w:vAlign w:val="center"/>
            <w:hideMark/>
          </w:tcPr>
          <w:p w14:paraId="4697285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0,0465</w:t>
            </w:r>
          </w:p>
        </w:tc>
      </w:tr>
      <w:tr w:rsidR="00AB310A" w:rsidRPr="00AB310A" w14:paraId="27D50C5F"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55ADFCE7"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QRVO</w:t>
            </w:r>
          </w:p>
        </w:tc>
        <w:tc>
          <w:tcPr>
            <w:tcW w:w="1500" w:type="dxa"/>
            <w:tcBorders>
              <w:top w:val="nil"/>
              <w:left w:val="nil"/>
              <w:bottom w:val="single" w:sz="4" w:space="0" w:color="auto"/>
              <w:right w:val="single" w:sz="4" w:space="0" w:color="auto"/>
            </w:tcBorders>
            <w:shd w:val="clear" w:color="auto" w:fill="auto"/>
            <w:noWrap/>
            <w:vAlign w:val="center"/>
            <w:hideMark/>
          </w:tcPr>
          <w:p w14:paraId="0ECC06C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-0,0102</w:t>
            </w:r>
          </w:p>
        </w:tc>
        <w:tc>
          <w:tcPr>
            <w:tcW w:w="1500" w:type="dxa"/>
            <w:tcBorders>
              <w:top w:val="nil"/>
              <w:left w:val="nil"/>
              <w:bottom w:val="single" w:sz="4" w:space="0" w:color="auto"/>
              <w:right w:val="single" w:sz="4" w:space="0" w:color="auto"/>
            </w:tcBorders>
            <w:shd w:val="clear" w:color="auto" w:fill="auto"/>
            <w:noWrap/>
            <w:vAlign w:val="center"/>
            <w:hideMark/>
          </w:tcPr>
          <w:p w14:paraId="442BF5F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0,4295</w:t>
            </w:r>
          </w:p>
        </w:tc>
        <w:tc>
          <w:tcPr>
            <w:tcW w:w="1500" w:type="dxa"/>
            <w:tcBorders>
              <w:top w:val="nil"/>
              <w:left w:val="nil"/>
              <w:bottom w:val="single" w:sz="4" w:space="0" w:color="auto"/>
              <w:right w:val="single" w:sz="4" w:space="0" w:color="auto"/>
            </w:tcBorders>
            <w:shd w:val="clear" w:color="auto" w:fill="auto"/>
            <w:noWrap/>
            <w:vAlign w:val="center"/>
            <w:hideMark/>
          </w:tcPr>
          <w:p w14:paraId="658845D2"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-0,4003</w:t>
            </w:r>
          </w:p>
        </w:tc>
        <w:tc>
          <w:tcPr>
            <w:tcW w:w="1420" w:type="dxa"/>
            <w:tcBorders>
              <w:top w:val="nil"/>
              <w:left w:val="nil"/>
              <w:bottom w:val="single" w:sz="4" w:space="0" w:color="auto"/>
              <w:right w:val="single" w:sz="4" w:space="0" w:color="auto"/>
            </w:tcBorders>
            <w:shd w:val="clear" w:color="auto" w:fill="auto"/>
            <w:noWrap/>
            <w:vAlign w:val="center"/>
            <w:hideMark/>
          </w:tcPr>
          <w:p w14:paraId="37EB668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1,0746</w:t>
            </w:r>
          </w:p>
        </w:tc>
        <w:tc>
          <w:tcPr>
            <w:tcW w:w="1500" w:type="dxa"/>
            <w:tcBorders>
              <w:top w:val="nil"/>
              <w:left w:val="nil"/>
              <w:bottom w:val="single" w:sz="4" w:space="0" w:color="auto"/>
              <w:right w:val="single" w:sz="4" w:space="0" w:color="auto"/>
            </w:tcBorders>
            <w:shd w:val="clear" w:color="auto" w:fill="auto"/>
            <w:noWrap/>
            <w:vAlign w:val="center"/>
            <w:hideMark/>
          </w:tcPr>
          <w:p w14:paraId="5CC814D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-0,0017</w:t>
            </w:r>
          </w:p>
        </w:tc>
        <w:tc>
          <w:tcPr>
            <w:tcW w:w="1680" w:type="dxa"/>
            <w:tcBorders>
              <w:top w:val="nil"/>
              <w:left w:val="nil"/>
              <w:bottom w:val="single" w:sz="4" w:space="0" w:color="auto"/>
              <w:right w:val="single" w:sz="4" w:space="0" w:color="auto"/>
            </w:tcBorders>
            <w:shd w:val="clear" w:color="auto" w:fill="auto"/>
            <w:noWrap/>
            <w:vAlign w:val="center"/>
            <w:hideMark/>
          </w:tcPr>
          <w:p w14:paraId="02D45BD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0,0470</w:t>
            </w:r>
          </w:p>
        </w:tc>
      </w:tr>
      <w:tr w:rsidR="00AB310A" w:rsidRPr="00AB310A" w14:paraId="5D115C2F"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33485F3F"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LUV</w:t>
            </w:r>
          </w:p>
        </w:tc>
        <w:tc>
          <w:tcPr>
            <w:tcW w:w="1500" w:type="dxa"/>
            <w:tcBorders>
              <w:top w:val="nil"/>
              <w:left w:val="nil"/>
              <w:bottom w:val="single" w:sz="4" w:space="0" w:color="auto"/>
              <w:right w:val="single" w:sz="4" w:space="0" w:color="auto"/>
            </w:tcBorders>
            <w:shd w:val="clear" w:color="auto" w:fill="auto"/>
            <w:noWrap/>
            <w:vAlign w:val="center"/>
            <w:hideMark/>
          </w:tcPr>
          <w:p w14:paraId="7A7AD05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0,8086</w:t>
            </w:r>
          </w:p>
        </w:tc>
        <w:tc>
          <w:tcPr>
            <w:tcW w:w="1500" w:type="dxa"/>
            <w:tcBorders>
              <w:top w:val="nil"/>
              <w:left w:val="nil"/>
              <w:bottom w:val="single" w:sz="4" w:space="0" w:color="auto"/>
              <w:right w:val="single" w:sz="4" w:space="0" w:color="auto"/>
            </w:tcBorders>
            <w:shd w:val="clear" w:color="auto" w:fill="auto"/>
            <w:noWrap/>
            <w:vAlign w:val="center"/>
            <w:hideMark/>
          </w:tcPr>
          <w:p w14:paraId="5497C5B7"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0,6896</w:t>
            </w:r>
          </w:p>
        </w:tc>
        <w:tc>
          <w:tcPr>
            <w:tcW w:w="1500" w:type="dxa"/>
            <w:tcBorders>
              <w:top w:val="nil"/>
              <w:left w:val="nil"/>
              <w:bottom w:val="single" w:sz="4" w:space="0" w:color="auto"/>
              <w:right w:val="single" w:sz="4" w:space="0" w:color="auto"/>
            </w:tcBorders>
            <w:shd w:val="clear" w:color="auto" w:fill="auto"/>
            <w:noWrap/>
            <w:vAlign w:val="center"/>
            <w:hideMark/>
          </w:tcPr>
          <w:p w14:paraId="5D88E02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0,4697</w:t>
            </w:r>
          </w:p>
        </w:tc>
        <w:tc>
          <w:tcPr>
            <w:tcW w:w="1420" w:type="dxa"/>
            <w:tcBorders>
              <w:top w:val="nil"/>
              <w:left w:val="nil"/>
              <w:bottom w:val="single" w:sz="4" w:space="0" w:color="auto"/>
              <w:right w:val="single" w:sz="4" w:space="0" w:color="auto"/>
            </w:tcBorders>
            <w:shd w:val="clear" w:color="auto" w:fill="auto"/>
            <w:noWrap/>
            <w:vAlign w:val="center"/>
            <w:hideMark/>
          </w:tcPr>
          <w:p w14:paraId="670C673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1,0805</w:t>
            </w:r>
          </w:p>
        </w:tc>
        <w:tc>
          <w:tcPr>
            <w:tcW w:w="1500" w:type="dxa"/>
            <w:tcBorders>
              <w:top w:val="nil"/>
              <w:left w:val="nil"/>
              <w:bottom w:val="single" w:sz="4" w:space="0" w:color="auto"/>
              <w:right w:val="single" w:sz="4" w:space="0" w:color="auto"/>
            </w:tcBorders>
            <w:shd w:val="clear" w:color="auto" w:fill="auto"/>
            <w:noWrap/>
            <w:vAlign w:val="center"/>
            <w:hideMark/>
          </w:tcPr>
          <w:p w14:paraId="61DFF55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-0,0074</w:t>
            </w:r>
          </w:p>
        </w:tc>
        <w:tc>
          <w:tcPr>
            <w:tcW w:w="1680" w:type="dxa"/>
            <w:tcBorders>
              <w:top w:val="nil"/>
              <w:left w:val="nil"/>
              <w:bottom w:val="single" w:sz="4" w:space="0" w:color="auto"/>
              <w:right w:val="single" w:sz="4" w:space="0" w:color="auto"/>
            </w:tcBorders>
            <w:shd w:val="clear" w:color="auto" w:fill="auto"/>
            <w:noWrap/>
            <w:vAlign w:val="center"/>
            <w:hideMark/>
          </w:tcPr>
          <w:p w14:paraId="67D4782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0,0478</w:t>
            </w:r>
          </w:p>
        </w:tc>
      </w:tr>
      <w:tr w:rsidR="00AB310A" w:rsidRPr="00AB310A" w14:paraId="1CECF7A7"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7E0A5AE0"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ADM</w:t>
            </w:r>
          </w:p>
        </w:tc>
        <w:tc>
          <w:tcPr>
            <w:tcW w:w="1500" w:type="dxa"/>
            <w:tcBorders>
              <w:top w:val="nil"/>
              <w:left w:val="nil"/>
              <w:bottom w:val="single" w:sz="4" w:space="0" w:color="auto"/>
              <w:right w:val="single" w:sz="4" w:space="0" w:color="auto"/>
            </w:tcBorders>
            <w:shd w:val="clear" w:color="auto" w:fill="auto"/>
            <w:noWrap/>
            <w:vAlign w:val="center"/>
            <w:hideMark/>
          </w:tcPr>
          <w:p w14:paraId="6E4D417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0,5687</w:t>
            </w:r>
          </w:p>
        </w:tc>
        <w:tc>
          <w:tcPr>
            <w:tcW w:w="1500" w:type="dxa"/>
            <w:tcBorders>
              <w:top w:val="nil"/>
              <w:left w:val="nil"/>
              <w:bottom w:val="single" w:sz="4" w:space="0" w:color="auto"/>
              <w:right w:val="single" w:sz="4" w:space="0" w:color="auto"/>
            </w:tcBorders>
            <w:shd w:val="clear" w:color="auto" w:fill="auto"/>
            <w:noWrap/>
            <w:vAlign w:val="center"/>
            <w:hideMark/>
          </w:tcPr>
          <w:p w14:paraId="24D5DA23"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-0,2409</w:t>
            </w:r>
          </w:p>
        </w:tc>
        <w:tc>
          <w:tcPr>
            <w:tcW w:w="1500" w:type="dxa"/>
            <w:tcBorders>
              <w:top w:val="nil"/>
              <w:left w:val="nil"/>
              <w:bottom w:val="single" w:sz="4" w:space="0" w:color="auto"/>
              <w:right w:val="single" w:sz="4" w:space="0" w:color="auto"/>
            </w:tcBorders>
            <w:shd w:val="clear" w:color="auto" w:fill="auto"/>
            <w:noWrap/>
            <w:vAlign w:val="center"/>
            <w:hideMark/>
          </w:tcPr>
          <w:p w14:paraId="3B1E2B1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0,3091</w:t>
            </w:r>
          </w:p>
        </w:tc>
        <w:tc>
          <w:tcPr>
            <w:tcW w:w="1420" w:type="dxa"/>
            <w:tcBorders>
              <w:top w:val="nil"/>
              <w:left w:val="nil"/>
              <w:bottom w:val="single" w:sz="4" w:space="0" w:color="auto"/>
              <w:right w:val="single" w:sz="4" w:space="0" w:color="auto"/>
            </w:tcBorders>
            <w:shd w:val="clear" w:color="auto" w:fill="auto"/>
            <w:noWrap/>
            <w:vAlign w:val="center"/>
            <w:hideMark/>
          </w:tcPr>
          <w:p w14:paraId="0F67B19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0,7681</w:t>
            </w:r>
          </w:p>
        </w:tc>
        <w:tc>
          <w:tcPr>
            <w:tcW w:w="1500" w:type="dxa"/>
            <w:tcBorders>
              <w:top w:val="nil"/>
              <w:left w:val="nil"/>
              <w:bottom w:val="single" w:sz="4" w:space="0" w:color="auto"/>
              <w:right w:val="single" w:sz="4" w:space="0" w:color="auto"/>
            </w:tcBorders>
            <w:shd w:val="clear" w:color="auto" w:fill="auto"/>
            <w:noWrap/>
            <w:vAlign w:val="center"/>
            <w:hideMark/>
          </w:tcPr>
          <w:p w14:paraId="1814324A"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-0,0010</w:t>
            </w:r>
          </w:p>
        </w:tc>
        <w:tc>
          <w:tcPr>
            <w:tcW w:w="1680" w:type="dxa"/>
            <w:tcBorders>
              <w:top w:val="nil"/>
              <w:left w:val="nil"/>
              <w:bottom w:val="single" w:sz="4" w:space="0" w:color="auto"/>
              <w:right w:val="single" w:sz="4" w:space="0" w:color="auto"/>
            </w:tcBorders>
            <w:shd w:val="clear" w:color="auto" w:fill="auto"/>
            <w:noWrap/>
            <w:vAlign w:val="center"/>
            <w:hideMark/>
          </w:tcPr>
          <w:p w14:paraId="59DA0B36"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0,0483</w:t>
            </w:r>
          </w:p>
        </w:tc>
      </w:tr>
      <w:tr w:rsidR="00AB310A" w:rsidRPr="00AB310A" w14:paraId="73C5F28A"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49E57DC3"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NKE</w:t>
            </w:r>
          </w:p>
        </w:tc>
        <w:tc>
          <w:tcPr>
            <w:tcW w:w="1500" w:type="dxa"/>
            <w:tcBorders>
              <w:top w:val="nil"/>
              <w:left w:val="nil"/>
              <w:bottom w:val="single" w:sz="4" w:space="0" w:color="auto"/>
              <w:right w:val="single" w:sz="4" w:space="0" w:color="auto"/>
            </w:tcBorders>
            <w:shd w:val="clear" w:color="auto" w:fill="auto"/>
            <w:noWrap/>
            <w:vAlign w:val="center"/>
            <w:hideMark/>
          </w:tcPr>
          <w:p w14:paraId="04166F3F"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-0,0243</w:t>
            </w:r>
          </w:p>
        </w:tc>
        <w:tc>
          <w:tcPr>
            <w:tcW w:w="1500" w:type="dxa"/>
            <w:tcBorders>
              <w:top w:val="nil"/>
              <w:left w:val="nil"/>
              <w:bottom w:val="single" w:sz="4" w:space="0" w:color="auto"/>
              <w:right w:val="single" w:sz="4" w:space="0" w:color="auto"/>
            </w:tcBorders>
            <w:shd w:val="clear" w:color="auto" w:fill="auto"/>
            <w:noWrap/>
            <w:vAlign w:val="center"/>
            <w:hideMark/>
          </w:tcPr>
          <w:p w14:paraId="6BB6695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0,0400</w:t>
            </w:r>
          </w:p>
        </w:tc>
        <w:tc>
          <w:tcPr>
            <w:tcW w:w="1500" w:type="dxa"/>
            <w:tcBorders>
              <w:top w:val="nil"/>
              <w:left w:val="nil"/>
              <w:bottom w:val="single" w:sz="4" w:space="0" w:color="auto"/>
              <w:right w:val="single" w:sz="4" w:space="0" w:color="auto"/>
            </w:tcBorders>
            <w:shd w:val="clear" w:color="auto" w:fill="auto"/>
            <w:noWrap/>
            <w:vAlign w:val="center"/>
            <w:hideMark/>
          </w:tcPr>
          <w:p w14:paraId="4FF474A4"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-0,3865</w:t>
            </w:r>
          </w:p>
        </w:tc>
        <w:tc>
          <w:tcPr>
            <w:tcW w:w="1420" w:type="dxa"/>
            <w:tcBorders>
              <w:top w:val="nil"/>
              <w:left w:val="nil"/>
              <w:bottom w:val="single" w:sz="4" w:space="0" w:color="auto"/>
              <w:right w:val="single" w:sz="4" w:space="0" w:color="auto"/>
            </w:tcBorders>
            <w:shd w:val="clear" w:color="auto" w:fill="auto"/>
            <w:noWrap/>
            <w:vAlign w:val="center"/>
            <w:hideMark/>
          </w:tcPr>
          <w:p w14:paraId="702B946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1,1562</w:t>
            </w:r>
          </w:p>
        </w:tc>
        <w:tc>
          <w:tcPr>
            <w:tcW w:w="1500" w:type="dxa"/>
            <w:tcBorders>
              <w:top w:val="nil"/>
              <w:left w:val="nil"/>
              <w:bottom w:val="single" w:sz="4" w:space="0" w:color="auto"/>
              <w:right w:val="single" w:sz="4" w:space="0" w:color="auto"/>
            </w:tcBorders>
            <w:shd w:val="clear" w:color="auto" w:fill="auto"/>
            <w:noWrap/>
            <w:vAlign w:val="center"/>
            <w:hideMark/>
          </w:tcPr>
          <w:p w14:paraId="52E9825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-0,0015</w:t>
            </w:r>
          </w:p>
        </w:tc>
        <w:tc>
          <w:tcPr>
            <w:tcW w:w="1680" w:type="dxa"/>
            <w:tcBorders>
              <w:top w:val="nil"/>
              <w:left w:val="nil"/>
              <w:bottom w:val="single" w:sz="4" w:space="0" w:color="auto"/>
              <w:right w:val="single" w:sz="4" w:space="0" w:color="auto"/>
            </w:tcBorders>
            <w:shd w:val="clear" w:color="auto" w:fill="auto"/>
            <w:noWrap/>
            <w:vAlign w:val="center"/>
            <w:hideMark/>
          </w:tcPr>
          <w:p w14:paraId="633B44A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0,0486</w:t>
            </w:r>
          </w:p>
        </w:tc>
      </w:tr>
      <w:tr w:rsidR="00AB310A" w:rsidRPr="00AB310A" w14:paraId="3C4C269D" w14:textId="77777777" w:rsidTr="00AB310A">
        <w:trPr>
          <w:trHeight w:val="300"/>
          <w:jc w:val="center"/>
        </w:trPr>
        <w:tc>
          <w:tcPr>
            <w:tcW w:w="1200" w:type="dxa"/>
            <w:tcBorders>
              <w:top w:val="nil"/>
              <w:left w:val="single" w:sz="4" w:space="0" w:color="auto"/>
              <w:bottom w:val="single" w:sz="4" w:space="0" w:color="auto"/>
              <w:right w:val="single" w:sz="4" w:space="0" w:color="auto"/>
            </w:tcBorders>
            <w:shd w:val="clear" w:color="000000" w:fill="002060"/>
            <w:noWrap/>
            <w:vAlign w:val="bottom"/>
            <w:hideMark/>
          </w:tcPr>
          <w:p w14:paraId="0BF68E99" w14:textId="77777777" w:rsidR="00AB310A" w:rsidRPr="00AB310A" w:rsidRDefault="00AB310A" w:rsidP="00AB310A">
            <w:pPr>
              <w:spacing w:after="0" w:line="240" w:lineRule="auto"/>
              <w:jc w:val="center"/>
              <w:rPr>
                <w:rFonts w:ascii="Times New Roman" w:eastAsia="Times New Roman" w:hAnsi="Times New Roman" w:cs="Times New Roman"/>
                <w:color w:val="FFFFFF"/>
                <w:kern w:val="0"/>
                <w:lang w:eastAsia="es-ES"/>
                <w14:ligatures w14:val="none"/>
              </w:rPr>
            </w:pPr>
            <w:r w:rsidRPr="00AB310A">
              <w:rPr>
                <w:rFonts w:ascii="Times New Roman" w:eastAsia="Times New Roman" w:hAnsi="Times New Roman" w:cs="Times New Roman"/>
                <w:color w:val="FFFFFF"/>
                <w:kern w:val="0"/>
                <w:lang w:eastAsia="es-ES"/>
                <w14:ligatures w14:val="none"/>
              </w:rPr>
              <w:t>NWSA</w:t>
            </w:r>
          </w:p>
        </w:tc>
        <w:tc>
          <w:tcPr>
            <w:tcW w:w="1500" w:type="dxa"/>
            <w:tcBorders>
              <w:top w:val="nil"/>
              <w:left w:val="nil"/>
              <w:bottom w:val="single" w:sz="4" w:space="0" w:color="auto"/>
              <w:right w:val="single" w:sz="4" w:space="0" w:color="auto"/>
            </w:tcBorders>
            <w:shd w:val="clear" w:color="auto" w:fill="auto"/>
            <w:noWrap/>
            <w:vAlign w:val="center"/>
            <w:hideMark/>
          </w:tcPr>
          <w:p w14:paraId="0CC93DCE"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0,3634</w:t>
            </w:r>
          </w:p>
        </w:tc>
        <w:tc>
          <w:tcPr>
            <w:tcW w:w="1500" w:type="dxa"/>
            <w:tcBorders>
              <w:top w:val="nil"/>
              <w:left w:val="nil"/>
              <w:bottom w:val="single" w:sz="4" w:space="0" w:color="auto"/>
              <w:right w:val="single" w:sz="4" w:space="0" w:color="auto"/>
            </w:tcBorders>
            <w:shd w:val="clear" w:color="auto" w:fill="auto"/>
            <w:noWrap/>
            <w:vAlign w:val="center"/>
            <w:hideMark/>
          </w:tcPr>
          <w:p w14:paraId="1F54C07C"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0,7855</w:t>
            </w:r>
          </w:p>
        </w:tc>
        <w:tc>
          <w:tcPr>
            <w:tcW w:w="1500" w:type="dxa"/>
            <w:tcBorders>
              <w:top w:val="nil"/>
              <w:left w:val="nil"/>
              <w:bottom w:val="single" w:sz="4" w:space="0" w:color="auto"/>
              <w:right w:val="single" w:sz="4" w:space="0" w:color="auto"/>
            </w:tcBorders>
            <w:shd w:val="clear" w:color="auto" w:fill="auto"/>
            <w:noWrap/>
            <w:vAlign w:val="center"/>
            <w:hideMark/>
          </w:tcPr>
          <w:p w14:paraId="116914D0"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0,4031</w:t>
            </w:r>
          </w:p>
        </w:tc>
        <w:tc>
          <w:tcPr>
            <w:tcW w:w="1420" w:type="dxa"/>
            <w:tcBorders>
              <w:top w:val="nil"/>
              <w:left w:val="nil"/>
              <w:bottom w:val="single" w:sz="4" w:space="0" w:color="auto"/>
              <w:right w:val="single" w:sz="4" w:space="0" w:color="auto"/>
            </w:tcBorders>
            <w:shd w:val="clear" w:color="auto" w:fill="auto"/>
            <w:noWrap/>
            <w:vAlign w:val="center"/>
            <w:hideMark/>
          </w:tcPr>
          <w:p w14:paraId="07503925"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0,8542</w:t>
            </w:r>
          </w:p>
        </w:tc>
        <w:tc>
          <w:tcPr>
            <w:tcW w:w="1500" w:type="dxa"/>
            <w:tcBorders>
              <w:top w:val="nil"/>
              <w:left w:val="nil"/>
              <w:bottom w:val="single" w:sz="4" w:space="0" w:color="auto"/>
              <w:right w:val="single" w:sz="4" w:space="0" w:color="auto"/>
            </w:tcBorders>
            <w:shd w:val="clear" w:color="auto" w:fill="auto"/>
            <w:noWrap/>
            <w:vAlign w:val="center"/>
            <w:hideMark/>
          </w:tcPr>
          <w:p w14:paraId="2BAD0228"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-0,0011</w:t>
            </w:r>
          </w:p>
        </w:tc>
        <w:tc>
          <w:tcPr>
            <w:tcW w:w="1680" w:type="dxa"/>
            <w:tcBorders>
              <w:top w:val="nil"/>
              <w:left w:val="nil"/>
              <w:bottom w:val="single" w:sz="4" w:space="0" w:color="auto"/>
              <w:right w:val="single" w:sz="4" w:space="0" w:color="auto"/>
            </w:tcBorders>
            <w:shd w:val="clear" w:color="auto" w:fill="auto"/>
            <w:noWrap/>
            <w:vAlign w:val="center"/>
            <w:hideMark/>
          </w:tcPr>
          <w:p w14:paraId="27387779" w14:textId="77777777" w:rsidR="00AB310A" w:rsidRPr="00AB310A" w:rsidRDefault="00AB310A" w:rsidP="00AB310A">
            <w:pPr>
              <w:spacing w:after="0" w:line="240" w:lineRule="auto"/>
              <w:jc w:val="center"/>
              <w:rPr>
                <w:rFonts w:ascii="Times New Roman" w:eastAsia="Times New Roman" w:hAnsi="Times New Roman" w:cs="Times New Roman"/>
                <w:color w:val="000000"/>
                <w:kern w:val="0"/>
                <w:lang w:eastAsia="es-ES"/>
                <w14:ligatures w14:val="none"/>
              </w:rPr>
            </w:pPr>
            <w:r w:rsidRPr="00AB310A">
              <w:rPr>
                <w:rFonts w:ascii="Times New Roman" w:eastAsia="Times New Roman" w:hAnsi="Times New Roman" w:cs="Times New Roman"/>
                <w:color w:val="000000"/>
                <w:kern w:val="0"/>
                <w:lang w:eastAsia="es-ES"/>
                <w14:ligatures w14:val="none"/>
              </w:rPr>
              <w:t>0,0487</w:t>
            </w:r>
          </w:p>
        </w:tc>
      </w:tr>
    </w:tbl>
    <w:p w14:paraId="64C1E8A8" w14:textId="77777777" w:rsidR="00AB310A" w:rsidRDefault="00AB310A" w:rsidP="00AB310A">
      <w:pPr>
        <w:spacing w:line="360" w:lineRule="auto"/>
        <w:rPr>
          <w:rFonts w:ascii="Times New Roman" w:eastAsiaTheme="minorEastAsia" w:hAnsi="Times New Roman" w:cs="Times New Roman"/>
          <w:sz w:val="24"/>
          <w:szCs w:val="24"/>
          <w:lang w:eastAsia="es-ES"/>
        </w:rPr>
      </w:pPr>
    </w:p>
    <w:p w14:paraId="1C749C08" w14:textId="77777777" w:rsidR="00AB310A" w:rsidRDefault="00AB310A" w:rsidP="00C46C71">
      <w:pPr>
        <w:spacing w:line="360" w:lineRule="auto"/>
        <w:jc w:val="both"/>
        <w:rPr>
          <w:rFonts w:ascii="Times New Roman" w:eastAsiaTheme="minorEastAsia" w:hAnsi="Times New Roman" w:cs="Times New Roman"/>
          <w:sz w:val="24"/>
          <w:szCs w:val="24"/>
          <w:lang w:eastAsia="es-ES"/>
        </w:rPr>
      </w:pPr>
    </w:p>
    <w:p w14:paraId="4A49AE4B" w14:textId="34D3D905" w:rsidR="00F10669" w:rsidRPr="00C46C71" w:rsidRDefault="00C46C71" w:rsidP="00C46C71">
      <w:pPr>
        <w:spacing w:line="360" w:lineRule="auto"/>
        <w:jc w:val="both"/>
        <w:rPr>
          <w:rFonts w:ascii="Times New Roman" w:eastAsiaTheme="minorEastAsia" w:hAnsi="Times New Roman" w:cs="Times New Roman"/>
          <w:sz w:val="24"/>
          <w:szCs w:val="24"/>
          <w:lang w:eastAsia="es-ES"/>
        </w:rPr>
      </w:pPr>
      <w:r w:rsidRPr="00C46C71">
        <w:rPr>
          <w:rFonts w:ascii="Times New Roman" w:eastAsiaTheme="minorEastAsia" w:hAnsi="Times New Roman" w:cs="Times New Roman"/>
          <w:sz w:val="24"/>
          <w:szCs w:val="24"/>
          <w:lang w:eastAsia="es-ES"/>
        </w:rPr>
        <w:lastRenderedPageBreak/>
        <w:t xml:space="preserve">El total de acciones para las </w:t>
      </w:r>
      <w:r>
        <w:rPr>
          <w:rFonts w:ascii="Times New Roman" w:eastAsiaTheme="minorEastAsia" w:hAnsi="Times New Roman" w:cs="Times New Roman"/>
          <w:sz w:val="24"/>
          <w:szCs w:val="24"/>
          <w:lang w:eastAsia="es-ES"/>
        </w:rPr>
        <w:t>cuales</w:t>
      </w:r>
      <w:r w:rsidRPr="00C46C71">
        <w:rPr>
          <w:rFonts w:ascii="Times New Roman" w:eastAsiaTheme="minorEastAsia" w:hAnsi="Times New Roman" w:cs="Times New Roman"/>
          <w:sz w:val="24"/>
          <w:szCs w:val="24"/>
          <w:lang w:eastAsia="es-ES"/>
        </w:rPr>
        <w:t xml:space="preserve"> los flujos de capitales representan un impacto directo y sostenido en sus </w:t>
      </w:r>
      <w:r>
        <w:rPr>
          <w:rFonts w:ascii="Times New Roman" w:eastAsiaTheme="minorEastAsia" w:hAnsi="Times New Roman" w:cs="Times New Roman"/>
          <w:sz w:val="24"/>
          <w:szCs w:val="24"/>
          <w:lang w:eastAsia="es-ES"/>
        </w:rPr>
        <w:t>rentabilidades</w:t>
      </w:r>
      <w:r w:rsidRPr="00C46C71">
        <w:rPr>
          <w:rFonts w:ascii="Times New Roman" w:eastAsiaTheme="minorEastAsia" w:hAnsi="Times New Roman" w:cs="Times New Roman"/>
          <w:sz w:val="24"/>
          <w:szCs w:val="24"/>
          <w:lang w:eastAsia="es-ES"/>
        </w:rPr>
        <w:t xml:space="preserve"> a lo largo de los últimos </w:t>
      </w:r>
      <w:r w:rsidR="001B6EE4">
        <w:rPr>
          <w:rFonts w:ascii="Times New Roman" w:eastAsiaTheme="minorEastAsia" w:hAnsi="Times New Roman" w:cs="Times New Roman"/>
          <w:sz w:val="24"/>
          <w:szCs w:val="24"/>
          <w:lang w:eastAsia="es-ES"/>
        </w:rPr>
        <w:t>cuatro</w:t>
      </w:r>
      <w:r w:rsidRPr="00C46C71">
        <w:rPr>
          <w:rFonts w:ascii="Times New Roman" w:eastAsiaTheme="minorEastAsia" w:hAnsi="Times New Roman" w:cs="Times New Roman"/>
          <w:sz w:val="24"/>
          <w:szCs w:val="24"/>
          <w:lang w:eastAsia="es-ES"/>
        </w:rPr>
        <w:t xml:space="preserve"> años </w:t>
      </w:r>
      <w:r w:rsidR="001B6EE4">
        <w:rPr>
          <w:rFonts w:ascii="Times New Roman" w:eastAsiaTheme="minorEastAsia" w:hAnsi="Times New Roman" w:cs="Times New Roman"/>
          <w:sz w:val="24"/>
          <w:szCs w:val="24"/>
          <w:lang w:eastAsia="es-ES"/>
        </w:rPr>
        <w:t>representa</w:t>
      </w:r>
      <w:r w:rsidRPr="00C46C71">
        <w:rPr>
          <w:rFonts w:ascii="Times New Roman" w:eastAsiaTheme="minorEastAsia" w:hAnsi="Times New Roman" w:cs="Times New Roman"/>
          <w:sz w:val="24"/>
          <w:szCs w:val="24"/>
          <w:lang w:eastAsia="es-ES"/>
        </w:rPr>
        <w:t xml:space="preserve"> el </w:t>
      </w:r>
      <w:r w:rsidR="00F10669">
        <w:rPr>
          <w:rFonts w:ascii="Times New Roman" w:eastAsiaTheme="minorEastAsia" w:hAnsi="Times New Roman" w:cs="Times New Roman"/>
          <w:sz w:val="24"/>
          <w:szCs w:val="24"/>
          <w:lang w:eastAsia="es-ES"/>
        </w:rPr>
        <w:t>7,3</w:t>
      </w:r>
      <w:r w:rsidRPr="00C46C71">
        <w:rPr>
          <w:rFonts w:ascii="Times New Roman" w:eastAsiaTheme="minorEastAsia" w:hAnsi="Times New Roman" w:cs="Times New Roman"/>
          <w:sz w:val="24"/>
          <w:szCs w:val="24"/>
          <w:lang w:eastAsia="es-ES"/>
        </w:rPr>
        <w:t xml:space="preserve">% del S&amp;P 500. </w:t>
      </w:r>
    </w:p>
    <w:p w14:paraId="351DF3C6" w14:textId="2D165647" w:rsidR="00C46C71" w:rsidRDefault="00C46C71" w:rsidP="00C46C71">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Estos resultados sugieren que,</w:t>
      </w:r>
      <w:r w:rsidRPr="00C46C71">
        <w:rPr>
          <w:rFonts w:ascii="Times New Roman" w:eastAsiaTheme="minorEastAsia" w:hAnsi="Times New Roman" w:cs="Times New Roman"/>
          <w:sz w:val="24"/>
          <w:szCs w:val="24"/>
          <w:lang w:eastAsia="es-ES"/>
        </w:rPr>
        <w:t xml:space="preserve"> aunque los flujos de capital hacia los ETFs de gestión pasiva tienen un efecto notable en ciertas acciones, este impacto</w:t>
      </w:r>
      <w:r>
        <w:rPr>
          <w:rFonts w:ascii="Times New Roman" w:eastAsiaTheme="minorEastAsia" w:hAnsi="Times New Roman" w:cs="Times New Roman"/>
          <w:sz w:val="24"/>
          <w:szCs w:val="24"/>
          <w:lang w:eastAsia="es-ES"/>
        </w:rPr>
        <w:t xml:space="preserve"> es asimétrico a lo largo del índice</w:t>
      </w:r>
      <w:r w:rsidRPr="00C46C71">
        <w:rPr>
          <w:rFonts w:ascii="Times New Roman" w:eastAsiaTheme="minorEastAsia" w:hAnsi="Times New Roman" w:cs="Times New Roman"/>
          <w:sz w:val="24"/>
          <w:szCs w:val="24"/>
          <w:lang w:eastAsia="es-ES"/>
        </w:rPr>
        <w:t>. Las acciones que muestran una sensibilidad significativa son aquellas que, por diversas razones, pueden estar más expuestas a los flujos de capital, lo que puede deberse a factores como su tamaño, sector, liquidez y volatilidad, entre otros.</w:t>
      </w:r>
      <w:r>
        <w:rPr>
          <w:rFonts w:ascii="Times New Roman" w:eastAsiaTheme="minorEastAsia" w:hAnsi="Times New Roman" w:cs="Times New Roman"/>
          <w:sz w:val="24"/>
          <w:szCs w:val="24"/>
          <w:lang w:eastAsia="es-ES"/>
        </w:rPr>
        <w:t xml:space="preserve"> En las próximas páginas se tratará de buscar ciertos patrones comunes a estas empresas con el objetivo de desarrollar una visión clara de cuales pueden ser los factores que propicien una mayor sensibilidad hacia los movimientos de capitales y de este modo poder anticipar la evolución de este fenómeno.</w:t>
      </w:r>
    </w:p>
    <w:p w14:paraId="79C41D9C" w14:textId="245CC426" w:rsidR="00247B58" w:rsidRDefault="00247B58" w:rsidP="00247B58">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Antes de analizar </w:t>
      </w:r>
      <w:r w:rsidR="007E11DC">
        <w:rPr>
          <w:rFonts w:ascii="Times New Roman" w:eastAsiaTheme="minorEastAsia" w:hAnsi="Times New Roman" w:cs="Times New Roman"/>
          <w:sz w:val="24"/>
          <w:szCs w:val="24"/>
          <w:lang w:eastAsia="es-ES"/>
        </w:rPr>
        <w:t xml:space="preserve">de pasar a analizar </w:t>
      </w:r>
      <w:r>
        <w:rPr>
          <w:rFonts w:ascii="Times New Roman" w:eastAsiaTheme="minorEastAsia" w:hAnsi="Times New Roman" w:cs="Times New Roman"/>
          <w:sz w:val="24"/>
          <w:szCs w:val="24"/>
          <w:lang w:eastAsia="es-ES"/>
        </w:rPr>
        <w:t>las empresas</w:t>
      </w:r>
      <w:r w:rsidR="007E11DC">
        <w:rPr>
          <w:rFonts w:ascii="Times New Roman" w:eastAsiaTheme="minorEastAsia" w:hAnsi="Times New Roman" w:cs="Times New Roman"/>
          <w:sz w:val="24"/>
          <w:szCs w:val="24"/>
          <w:lang w:eastAsia="es-ES"/>
        </w:rPr>
        <w:t xml:space="preserve"> resultantes</w:t>
      </w:r>
      <w:r>
        <w:rPr>
          <w:rFonts w:ascii="Times New Roman" w:eastAsiaTheme="minorEastAsia" w:hAnsi="Times New Roman" w:cs="Times New Roman"/>
          <w:sz w:val="24"/>
          <w:szCs w:val="24"/>
          <w:lang w:eastAsia="es-ES"/>
        </w:rPr>
        <w:t>, es importante prestar atención a los resultados de los coeficientes de la variable Flujos</w:t>
      </w:r>
      <w:r w:rsidR="007E11DC">
        <w:rPr>
          <w:rFonts w:ascii="Times New Roman" w:eastAsiaTheme="minorEastAsia" w:hAnsi="Times New Roman" w:cs="Times New Roman"/>
          <w:sz w:val="24"/>
          <w:szCs w:val="24"/>
          <w:lang w:eastAsia="es-ES"/>
        </w:rPr>
        <w:t xml:space="preserve">, </w:t>
      </w:r>
      <w:r>
        <w:rPr>
          <w:rFonts w:ascii="Times New Roman" w:eastAsiaTheme="minorEastAsia" w:hAnsi="Times New Roman" w:cs="Times New Roman"/>
          <w:sz w:val="24"/>
          <w:szCs w:val="24"/>
          <w:lang w:eastAsia="es-ES"/>
        </w:rPr>
        <w:t>para poder entender mejor los efectos en las cotizaciones. Como se puede apreciar</w:t>
      </w:r>
      <w:r w:rsidR="00CD1663">
        <w:rPr>
          <w:rFonts w:ascii="Times New Roman" w:eastAsiaTheme="minorEastAsia" w:hAnsi="Times New Roman" w:cs="Times New Roman"/>
          <w:sz w:val="24"/>
          <w:szCs w:val="24"/>
          <w:lang w:eastAsia="es-ES"/>
        </w:rPr>
        <w:t xml:space="preserve"> en el Gráfico 3</w:t>
      </w:r>
      <w:r>
        <w:rPr>
          <w:rFonts w:ascii="Times New Roman" w:eastAsiaTheme="minorEastAsia" w:hAnsi="Times New Roman" w:cs="Times New Roman"/>
          <w:sz w:val="24"/>
          <w:szCs w:val="24"/>
          <w:lang w:eastAsia="es-ES"/>
        </w:rPr>
        <w:t>, salvo en</w:t>
      </w:r>
      <w:r w:rsidR="00F10669">
        <w:rPr>
          <w:rFonts w:ascii="Times New Roman" w:eastAsiaTheme="minorEastAsia" w:hAnsi="Times New Roman" w:cs="Times New Roman"/>
          <w:sz w:val="24"/>
          <w:szCs w:val="24"/>
          <w:lang w:eastAsia="es-ES"/>
        </w:rPr>
        <w:t xml:space="preserve"> una minoría de casos</w:t>
      </w:r>
      <w:r>
        <w:rPr>
          <w:rFonts w:ascii="Times New Roman" w:eastAsiaTheme="minorEastAsia" w:hAnsi="Times New Roman" w:cs="Times New Roman"/>
          <w:sz w:val="24"/>
          <w:szCs w:val="24"/>
          <w:lang w:eastAsia="es-ES"/>
        </w:rPr>
        <w:t xml:space="preserve">, los coeficientes son grandes y positivos. </w:t>
      </w:r>
      <w:r w:rsidRPr="00247B58">
        <w:rPr>
          <w:rFonts w:ascii="Times New Roman" w:eastAsiaTheme="minorEastAsia" w:hAnsi="Times New Roman" w:cs="Times New Roman"/>
          <w:sz w:val="24"/>
          <w:szCs w:val="24"/>
          <w:lang w:eastAsia="es-ES"/>
        </w:rPr>
        <w:t xml:space="preserve">Este patrón sugiere que las entradas netas de capital hacia los ETFs de gestión pasiva tienen un impacto significativo y positivo en los rendimientos de las acciones del S&amp;P 500 que son sensibles a estos flujos. </w:t>
      </w:r>
    </w:p>
    <w:p w14:paraId="326A0AAD" w14:textId="77777777" w:rsidR="00D44327" w:rsidRDefault="00D44327" w:rsidP="00247B58">
      <w:pPr>
        <w:spacing w:line="360" w:lineRule="auto"/>
        <w:jc w:val="both"/>
        <w:rPr>
          <w:rFonts w:ascii="Times New Roman" w:eastAsiaTheme="minorEastAsia" w:hAnsi="Times New Roman" w:cs="Times New Roman"/>
          <w:sz w:val="24"/>
          <w:szCs w:val="24"/>
          <w:lang w:eastAsia="es-ES"/>
        </w:rPr>
      </w:pPr>
    </w:p>
    <w:p w14:paraId="560E78E5" w14:textId="77777777" w:rsidR="00F10669" w:rsidRDefault="00F10669" w:rsidP="00247B58">
      <w:pPr>
        <w:spacing w:line="360" w:lineRule="auto"/>
        <w:jc w:val="both"/>
        <w:rPr>
          <w:rFonts w:ascii="Times New Roman" w:eastAsiaTheme="minorEastAsia" w:hAnsi="Times New Roman" w:cs="Times New Roman"/>
          <w:b/>
          <w:bCs/>
          <w:sz w:val="24"/>
          <w:szCs w:val="24"/>
          <w:lang w:eastAsia="es-ES"/>
        </w:rPr>
      </w:pPr>
      <w:r w:rsidRPr="00F10669">
        <w:rPr>
          <w:rFonts w:ascii="Times New Roman" w:eastAsiaTheme="minorEastAsia" w:hAnsi="Times New Roman" w:cs="Times New Roman"/>
          <w:b/>
          <w:bCs/>
          <w:sz w:val="24"/>
          <w:szCs w:val="24"/>
          <w:lang w:eastAsia="es-ES"/>
        </w:rPr>
        <w:drawing>
          <wp:anchor distT="0" distB="0" distL="114300" distR="114300" simplePos="0" relativeHeight="251654656" behindDoc="1" locked="0" layoutInCell="1" allowOverlap="1" wp14:anchorId="2664D8EB" wp14:editId="4F9F062F">
            <wp:simplePos x="0" y="0"/>
            <wp:positionH relativeFrom="column">
              <wp:posOffset>3810</wp:posOffset>
            </wp:positionH>
            <wp:positionV relativeFrom="paragraph">
              <wp:posOffset>357918</wp:posOffset>
            </wp:positionV>
            <wp:extent cx="5400040" cy="3309620"/>
            <wp:effectExtent l="0" t="0" r="0" b="0"/>
            <wp:wrapTight wrapText="bothSides">
              <wp:wrapPolygon edited="0">
                <wp:start x="0" y="0"/>
                <wp:lineTo x="0" y="21509"/>
                <wp:lineTo x="21488" y="21509"/>
                <wp:lineTo x="21488" y="0"/>
                <wp:lineTo x="0" y="0"/>
              </wp:wrapPolygon>
            </wp:wrapTight>
            <wp:docPr id="923067097" name="Imagen 1"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67097" name="Imagen 1" descr="Gráfico, Gráfico en cascad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400040" cy="3309620"/>
                    </a:xfrm>
                    <a:prstGeom prst="rect">
                      <a:avLst/>
                    </a:prstGeom>
                  </pic:spPr>
                </pic:pic>
              </a:graphicData>
            </a:graphic>
          </wp:anchor>
        </w:drawing>
      </w:r>
      <w:r w:rsidR="00CD1663" w:rsidRPr="00CD1663">
        <w:rPr>
          <w:rFonts w:ascii="Times New Roman" w:eastAsiaTheme="minorEastAsia" w:hAnsi="Times New Roman" w:cs="Times New Roman"/>
          <w:b/>
          <w:bCs/>
          <w:sz w:val="24"/>
          <w:szCs w:val="24"/>
          <w:lang w:eastAsia="es-ES"/>
        </w:rPr>
        <w:t xml:space="preserve">Gráfico </w:t>
      </w:r>
      <w:r w:rsidR="00E0767D">
        <w:rPr>
          <w:rFonts w:ascii="Times New Roman" w:eastAsiaTheme="minorEastAsia" w:hAnsi="Times New Roman" w:cs="Times New Roman"/>
          <w:b/>
          <w:bCs/>
          <w:sz w:val="24"/>
          <w:szCs w:val="24"/>
          <w:lang w:eastAsia="es-ES"/>
        </w:rPr>
        <w:t>4</w:t>
      </w:r>
      <w:r w:rsidR="00CD1663" w:rsidRPr="00CD1663">
        <w:rPr>
          <w:rFonts w:ascii="Times New Roman" w:eastAsiaTheme="minorEastAsia" w:hAnsi="Times New Roman" w:cs="Times New Roman"/>
          <w:b/>
          <w:bCs/>
          <w:sz w:val="24"/>
          <w:szCs w:val="24"/>
          <w:lang w:eastAsia="es-ES"/>
        </w:rPr>
        <w:t>:</w:t>
      </w:r>
    </w:p>
    <w:p w14:paraId="4BC740BE" w14:textId="4A4F0F65" w:rsidR="00247B58" w:rsidRPr="00FE5E29" w:rsidRDefault="00D4055E" w:rsidP="00247B58">
      <w:pPr>
        <w:spacing w:line="36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sz w:val="24"/>
          <w:szCs w:val="24"/>
          <w:lang w:eastAsia="es-ES"/>
        </w:rPr>
        <w:lastRenderedPageBreak/>
        <w:t xml:space="preserve">Estos resultados apuntan directamente a la anteriormente mencionada </w:t>
      </w:r>
      <w:r w:rsidR="00247B58" w:rsidRPr="00247B58">
        <w:rPr>
          <w:rFonts w:ascii="Times New Roman" w:eastAsiaTheme="minorEastAsia" w:hAnsi="Times New Roman" w:cs="Times New Roman"/>
          <w:sz w:val="24"/>
          <w:szCs w:val="24"/>
          <w:lang w:eastAsia="es-ES"/>
        </w:rPr>
        <w:t>"</w:t>
      </w:r>
      <w:proofErr w:type="spellStart"/>
      <w:r w:rsidR="00247B58" w:rsidRPr="00247B58">
        <w:rPr>
          <w:rFonts w:ascii="Times New Roman" w:eastAsiaTheme="minorEastAsia" w:hAnsi="Times New Roman" w:cs="Times New Roman"/>
          <w:sz w:val="24"/>
          <w:szCs w:val="24"/>
          <w:lang w:eastAsia="es-ES"/>
        </w:rPr>
        <w:t>Inelastic</w:t>
      </w:r>
      <w:proofErr w:type="spellEnd"/>
      <w:r w:rsidR="00247B58" w:rsidRPr="00247B58">
        <w:rPr>
          <w:rFonts w:ascii="Times New Roman" w:eastAsiaTheme="minorEastAsia" w:hAnsi="Times New Roman" w:cs="Times New Roman"/>
          <w:sz w:val="24"/>
          <w:szCs w:val="24"/>
          <w:lang w:eastAsia="es-ES"/>
        </w:rPr>
        <w:t xml:space="preserve"> </w:t>
      </w:r>
      <w:proofErr w:type="spellStart"/>
      <w:r w:rsidR="00247B58" w:rsidRPr="00247B58">
        <w:rPr>
          <w:rFonts w:ascii="Times New Roman" w:eastAsiaTheme="minorEastAsia" w:hAnsi="Times New Roman" w:cs="Times New Roman"/>
          <w:sz w:val="24"/>
          <w:szCs w:val="24"/>
          <w:lang w:eastAsia="es-ES"/>
        </w:rPr>
        <w:t>Market</w:t>
      </w:r>
      <w:proofErr w:type="spellEnd"/>
      <w:r w:rsidR="00247B58" w:rsidRPr="00247B58">
        <w:rPr>
          <w:rFonts w:ascii="Times New Roman" w:eastAsiaTheme="minorEastAsia" w:hAnsi="Times New Roman" w:cs="Times New Roman"/>
          <w:sz w:val="24"/>
          <w:szCs w:val="24"/>
          <w:lang w:eastAsia="es-ES"/>
        </w:rPr>
        <w:t xml:space="preserve"> </w:t>
      </w:r>
      <w:proofErr w:type="spellStart"/>
      <w:r w:rsidR="00247B58" w:rsidRPr="00247B58">
        <w:rPr>
          <w:rFonts w:ascii="Times New Roman" w:eastAsiaTheme="minorEastAsia" w:hAnsi="Times New Roman" w:cs="Times New Roman"/>
          <w:sz w:val="24"/>
          <w:szCs w:val="24"/>
          <w:lang w:eastAsia="es-ES"/>
        </w:rPr>
        <w:t>Hypothesis</w:t>
      </w:r>
      <w:proofErr w:type="spellEnd"/>
      <w:r>
        <w:rPr>
          <w:rFonts w:ascii="Times New Roman" w:eastAsiaTheme="minorEastAsia" w:hAnsi="Times New Roman" w:cs="Times New Roman"/>
          <w:sz w:val="24"/>
          <w:szCs w:val="24"/>
          <w:lang w:eastAsia="es-ES"/>
        </w:rPr>
        <w:t>”</w:t>
      </w:r>
      <w:r w:rsidR="00247B58" w:rsidRPr="00247B58">
        <w:rPr>
          <w:rFonts w:ascii="Times New Roman" w:eastAsiaTheme="minorEastAsia" w:hAnsi="Times New Roman" w:cs="Times New Roman"/>
          <w:sz w:val="24"/>
          <w:szCs w:val="24"/>
          <w:lang w:eastAsia="es-ES"/>
        </w:rPr>
        <w:t>. En un mercado inelástico, un aumento en la demanda de acciones (por ejemplo, a través de flujos de capital hacia ETFs de gestión pasiva) puede provocar aumentos significativos en los precios de las acciones porque no hay suficiente liquidez para absorber la demanda adicional sin un ajuste de precios.</w:t>
      </w:r>
    </w:p>
    <w:p w14:paraId="2464C113" w14:textId="391218EA" w:rsidR="00A35975" w:rsidRDefault="00247B58" w:rsidP="00247B58">
      <w:pPr>
        <w:spacing w:line="360" w:lineRule="auto"/>
        <w:jc w:val="both"/>
        <w:rPr>
          <w:rFonts w:ascii="Times New Roman" w:eastAsiaTheme="minorEastAsia" w:hAnsi="Times New Roman" w:cs="Times New Roman"/>
          <w:sz w:val="24"/>
          <w:szCs w:val="24"/>
          <w:lang w:eastAsia="es-ES"/>
        </w:rPr>
      </w:pPr>
      <w:r w:rsidRPr="00247B58">
        <w:rPr>
          <w:rFonts w:ascii="Times New Roman" w:eastAsiaTheme="minorEastAsia" w:hAnsi="Times New Roman" w:cs="Times New Roman"/>
          <w:sz w:val="24"/>
          <w:szCs w:val="24"/>
          <w:lang w:eastAsia="es-ES"/>
        </w:rPr>
        <w:t>L</w:t>
      </w:r>
      <w:r w:rsidR="00587B3C">
        <w:rPr>
          <w:rFonts w:ascii="Times New Roman" w:eastAsiaTheme="minorEastAsia" w:hAnsi="Times New Roman" w:cs="Times New Roman"/>
          <w:sz w:val="24"/>
          <w:szCs w:val="24"/>
          <w:lang w:eastAsia="es-ES"/>
        </w:rPr>
        <w:t>os coeficientes estimados, al ser</w:t>
      </w:r>
      <w:r w:rsidRPr="00247B58">
        <w:rPr>
          <w:rFonts w:ascii="Times New Roman" w:eastAsiaTheme="minorEastAsia" w:hAnsi="Times New Roman" w:cs="Times New Roman"/>
          <w:sz w:val="24"/>
          <w:szCs w:val="24"/>
          <w:lang w:eastAsia="es-ES"/>
        </w:rPr>
        <w:t xml:space="preserve"> </w:t>
      </w:r>
      <w:r w:rsidR="00F10669">
        <w:rPr>
          <w:rFonts w:ascii="Times New Roman" w:eastAsiaTheme="minorEastAsia" w:hAnsi="Times New Roman" w:cs="Times New Roman"/>
          <w:sz w:val="24"/>
          <w:szCs w:val="24"/>
          <w:lang w:eastAsia="es-ES"/>
        </w:rPr>
        <w:t xml:space="preserve">significativos </w:t>
      </w:r>
      <w:r w:rsidRPr="00247B58">
        <w:rPr>
          <w:rFonts w:ascii="Times New Roman" w:eastAsiaTheme="minorEastAsia" w:hAnsi="Times New Roman" w:cs="Times New Roman"/>
          <w:sz w:val="24"/>
          <w:szCs w:val="24"/>
          <w:lang w:eastAsia="es-ES"/>
        </w:rPr>
        <w:t xml:space="preserve">y positivos </w:t>
      </w:r>
      <w:r w:rsidR="00F10669">
        <w:rPr>
          <w:rFonts w:ascii="Times New Roman" w:eastAsiaTheme="minorEastAsia" w:hAnsi="Times New Roman" w:cs="Times New Roman"/>
          <w:sz w:val="24"/>
          <w:szCs w:val="24"/>
          <w:lang w:eastAsia="es-ES"/>
        </w:rPr>
        <w:t xml:space="preserve">en su mayoría </w:t>
      </w:r>
      <w:r w:rsidRPr="00247B58">
        <w:rPr>
          <w:rFonts w:ascii="Times New Roman" w:eastAsiaTheme="minorEastAsia" w:hAnsi="Times New Roman" w:cs="Times New Roman"/>
          <w:sz w:val="24"/>
          <w:szCs w:val="24"/>
          <w:lang w:eastAsia="es-ES"/>
        </w:rPr>
        <w:t xml:space="preserve">sugieren que estas acciones tienen una alta sensibilidad a la demanda adicional creada por los flujos hacia los ETFs. Esto implica que el mercado no puede absorber completamente estos flujos sin que se produzcan </w:t>
      </w:r>
      <w:r w:rsidR="00D4055E">
        <w:rPr>
          <w:rFonts w:ascii="Times New Roman" w:eastAsiaTheme="minorEastAsia" w:hAnsi="Times New Roman" w:cs="Times New Roman"/>
          <w:sz w:val="24"/>
          <w:szCs w:val="24"/>
          <w:lang w:eastAsia="es-ES"/>
        </w:rPr>
        <w:t>variaciones</w:t>
      </w:r>
      <w:r w:rsidRPr="00247B58">
        <w:rPr>
          <w:rFonts w:ascii="Times New Roman" w:eastAsiaTheme="minorEastAsia" w:hAnsi="Times New Roman" w:cs="Times New Roman"/>
          <w:sz w:val="24"/>
          <w:szCs w:val="24"/>
          <w:lang w:eastAsia="es-ES"/>
        </w:rPr>
        <w:t xml:space="preserve"> significativ</w:t>
      </w:r>
      <w:r w:rsidR="00D4055E">
        <w:rPr>
          <w:rFonts w:ascii="Times New Roman" w:eastAsiaTheme="minorEastAsia" w:hAnsi="Times New Roman" w:cs="Times New Roman"/>
          <w:sz w:val="24"/>
          <w:szCs w:val="24"/>
          <w:lang w:eastAsia="es-ES"/>
        </w:rPr>
        <w:t>a</w:t>
      </w:r>
      <w:r w:rsidRPr="00247B58">
        <w:rPr>
          <w:rFonts w:ascii="Times New Roman" w:eastAsiaTheme="minorEastAsia" w:hAnsi="Times New Roman" w:cs="Times New Roman"/>
          <w:sz w:val="24"/>
          <w:szCs w:val="24"/>
          <w:lang w:eastAsia="es-ES"/>
        </w:rPr>
        <w:t xml:space="preserve">s en los precios de las acciones. En otras palabras, los flujos de capital hacia los ETFs de gestión pasiva están </w:t>
      </w:r>
      <w:r w:rsidR="00823574">
        <w:rPr>
          <w:rFonts w:ascii="Times New Roman" w:eastAsiaTheme="minorEastAsia" w:hAnsi="Times New Roman" w:cs="Times New Roman"/>
          <w:sz w:val="24"/>
          <w:szCs w:val="24"/>
          <w:lang w:eastAsia="es-ES"/>
        </w:rPr>
        <w:t>teniendo un impacto</w:t>
      </w:r>
      <w:r w:rsidR="00A35975">
        <w:rPr>
          <w:rFonts w:ascii="Times New Roman" w:eastAsiaTheme="minorEastAsia" w:hAnsi="Times New Roman" w:cs="Times New Roman"/>
          <w:sz w:val="24"/>
          <w:szCs w:val="24"/>
          <w:lang w:eastAsia="es-ES"/>
        </w:rPr>
        <w:t xml:space="preserve"> considerable</w:t>
      </w:r>
      <w:r w:rsidRPr="00247B58">
        <w:rPr>
          <w:rFonts w:ascii="Times New Roman" w:eastAsiaTheme="minorEastAsia" w:hAnsi="Times New Roman" w:cs="Times New Roman"/>
          <w:sz w:val="24"/>
          <w:szCs w:val="24"/>
          <w:lang w:eastAsia="es-ES"/>
        </w:rPr>
        <w:t xml:space="preserve"> sobre los precios de </w:t>
      </w:r>
      <w:r w:rsidR="00587B3C">
        <w:rPr>
          <w:rFonts w:ascii="Times New Roman" w:eastAsiaTheme="minorEastAsia" w:hAnsi="Times New Roman" w:cs="Times New Roman"/>
          <w:sz w:val="24"/>
          <w:szCs w:val="24"/>
          <w:lang w:eastAsia="es-ES"/>
        </w:rPr>
        <w:t>ciertas</w:t>
      </w:r>
      <w:r w:rsidRPr="00247B58">
        <w:rPr>
          <w:rFonts w:ascii="Times New Roman" w:eastAsiaTheme="minorEastAsia" w:hAnsi="Times New Roman" w:cs="Times New Roman"/>
          <w:sz w:val="24"/>
          <w:szCs w:val="24"/>
          <w:lang w:eastAsia="es-ES"/>
        </w:rPr>
        <w:t xml:space="preserve"> acciones</w:t>
      </w:r>
      <w:r w:rsidR="00A35975">
        <w:rPr>
          <w:rFonts w:ascii="Times New Roman" w:eastAsiaTheme="minorEastAsia" w:hAnsi="Times New Roman" w:cs="Times New Roman"/>
          <w:sz w:val="24"/>
          <w:szCs w:val="24"/>
          <w:lang w:eastAsia="es-ES"/>
        </w:rPr>
        <w:t>.</w:t>
      </w:r>
    </w:p>
    <w:p w14:paraId="67F38B97" w14:textId="26EB1A82" w:rsidR="00247B58" w:rsidRPr="00247B58" w:rsidRDefault="00247B58" w:rsidP="00247B58">
      <w:pPr>
        <w:spacing w:line="360" w:lineRule="auto"/>
        <w:jc w:val="both"/>
        <w:rPr>
          <w:rFonts w:ascii="Times New Roman" w:eastAsiaTheme="minorEastAsia" w:hAnsi="Times New Roman" w:cs="Times New Roman"/>
          <w:sz w:val="24"/>
          <w:szCs w:val="24"/>
          <w:lang w:eastAsia="es-ES"/>
        </w:rPr>
      </w:pPr>
      <w:r w:rsidRPr="00247B58">
        <w:rPr>
          <w:rFonts w:ascii="Times New Roman" w:eastAsiaTheme="minorEastAsia" w:hAnsi="Times New Roman" w:cs="Times New Roman"/>
          <w:sz w:val="24"/>
          <w:szCs w:val="24"/>
          <w:lang w:eastAsia="es-ES"/>
        </w:rPr>
        <w:t xml:space="preserve">La presencia de algunos coeficientes negativos también es relevante. Aunque son </w:t>
      </w:r>
      <w:r w:rsidR="00B3653C">
        <w:rPr>
          <w:rFonts w:ascii="Times New Roman" w:eastAsiaTheme="minorEastAsia" w:hAnsi="Times New Roman" w:cs="Times New Roman"/>
          <w:sz w:val="24"/>
          <w:szCs w:val="24"/>
          <w:lang w:eastAsia="es-ES"/>
        </w:rPr>
        <w:t>muy poco frecuentes</w:t>
      </w:r>
      <w:r w:rsidRPr="00247B58">
        <w:rPr>
          <w:rFonts w:ascii="Times New Roman" w:eastAsiaTheme="minorEastAsia" w:hAnsi="Times New Roman" w:cs="Times New Roman"/>
          <w:sz w:val="24"/>
          <w:szCs w:val="24"/>
          <w:lang w:eastAsia="es-ES"/>
        </w:rPr>
        <w:t xml:space="preserve">, indican </w:t>
      </w:r>
      <w:r w:rsidR="00FE5E29" w:rsidRPr="00247B58">
        <w:rPr>
          <w:rFonts w:ascii="Times New Roman" w:eastAsiaTheme="minorEastAsia" w:hAnsi="Times New Roman" w:cs="Times New Roman"/>
          <w:sz w:val="24"/>
          <w:szCs w:val="24"/>
          <w:lang w:eastAsia="es-ES"/>
        </w:rPr>
        <w:t>que,</w:t>
      </w:r>
      <w:r w:rsidRPr="00247B58">
        <w:rPr>
          <w:rFonts w:ascii="Times New Roman" w:eastAsiaTheme="minorEastAsia" w:hAnsi="Times New Roman" w:cs="Times New Roman"/>
          <w:sz w:val="24"/>
          <w:szCs w:val="24"/>
          <w:lang w:eastAsia="es-ES"/>
        </w:rPr>
        <w:t xml:space="preserve"> para ciertas acciones, los flujos hacia los ETFs pueden tener un efecto adverso. Esto podría deberse a factores específicos de esas acciones o a dinámicas particulares de mercado que hacen que reaccionen de manera diferente a los flujos de capital.</w:t>
      </w:r>
      <w:r w:rsidR="00B3653C">
        <w:rPr>
          <w:rFonts w:ascii="Times New Roman" w:eastAsiaTheme="minorEastAsia" w:hAnsi="Times New Roman" w:cs="Times New Roman"/>
          <w:sz w:val="24"/>
          <w:szCs w:val="24"/>
          <w:lang w:eastAsia="es-ES"/>
        </w:rPr>
        <w:t xml:space="preserve"> Esto constituye otra línea de investigación a futuro muy interesante.</w:t>
      </w:r>
    </w:p>
    <w:p w14:paraId="7BACE8F5" w14:textId="734F0224" w:rsidR="00422A0F" w:rsidRDefault="00B3653C" w:rsidP="00247B58">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En conclusión</w:t>
      </w:r>
      <w:r w:rsidR="00247B58" w:rsidRPr="00247B58">
        <w:rPr>
          <w:rFonts w:ascii="Times New Roman" w:eastAsiaTheme="minorEastAsia" w:hAnsi="Times New Roman" w:cs="Times New Roman"/>
          <w:sz w:val="24"/>
          <w:szCs w:val="24"/>
          <w:lang w:eastAsia="es-ES"/>
        </w:rPr>
        <w:t xml:space="preserve">, los resultados obtenidos apoyan la </w:t>
      </w:r>
      <w:r>
        <w:rPr>
          <w:rFonts w:ascii="Times New Roman" w:eastAsiaTheme="minorEastAsia" w:hAnsi="Times New Roman" w:cs="Times New Roman"/>
          <w:sz w:val="24"/>
          <w:szCs w:val="24"/>
          <w:lang w:eastAsia="es-ES"/>
        </w:rPr>
        <w:t>“</w:t>
      </w:r>
      <w:proofErr w:type="spellStart"/>
      <w:r w:rsidR="00247B58" w:rsidRPr="00247B58">
        <w:rPr>
          <w:rFonts w:ascii="Times New Roman" w:eastAsiaTheme="minorEastAsia" w:hAnsi="Times New Roman" w:cs="Times New Roman"/>
          <w:sz w:val="24"/>
          <w:szCs w:val="24"/>
          <w:lang w:eastAsia="es-ES"/>
        </w:rPr>
        <w:t>Inelastic</w:t>
      </w:r>
      <w:proofErr w:type="spellEnd"/>
      <w:r w:rsidR="00247B58" w:rsidRPr="00247B58">
        <w:rPr>
          <w:rFonts w:ascii="Times New Roman" w:eastAsiaTheme="minorEastAsia" w:hAnsi="Times New Roman" w:cs="Times New Roman"/>
          <w:sz w:val="24"/>
          <w:szCs w:val="24"/>
          <w:lang w:eastAsia="es-ES"/>
        </w:rPr>
        <w:t xml:space="preserve"> </w:t>
      </w:r>
      <w:proofErr w:type="spellStart"/>
      <w:r w:rsidR="00247B58" w:rsidRPr="00247B58">
        <w:rPr>
          <w:rFonts w:ascii="Times New Roman" w:eastAsiaTheme="minorEastAsia" w:hAnsi="Times New Roman" w:cs="Times New Roman"/>
          <w:sz w:val="24"/>
          <w:szCs w:val="24"/>
          <w:lang w:eastAsia="es-ES"/>
        </w:rPr>
        <w:t>Market</w:t>
      </w:r>
      <w:proofErr w:type="spellEnd"/>
      <w:r w:rsidR="00247B58" w:rsidRPr="00247B58">
        <w:rPr>
          <w:rFonts w:ascii="Times New Roman" w:eastAsiaTheme="minorEastAsia" w:hAnsi="Times New Roman" w:cs="Times New Roman"/>
          <w:sz w:val="24"/>
          <w:szCs w:val="24"/>
          <w:lang w:eastAsia="es-ES"/>
        </w:rPr>
        <w:t xml:space="preserve"> </w:t>
      </w:r>
      <w:proofErr w:type="spellStart"/>
      <w:r w:rsidR="00247B58" w:rsidRPr="00247B58">
        <w:rPr>
          <w:rFonts w:ascii="Times New Roman" w:eastAsiaTheme="minorEastAsia" w:hAnsi="Times New Roman" w:cs="Times New Roman"/>
          <w:sz w:val="24"/>
          <w:szCs w:val="24"/>
          <w:lang w:eastAsia="es-ES"/>
        </w:rPr>
        <w:t>Hypothesis</w:t>
      </w:r>
      <w:proofErr w:type="spellEnd"/>
      <w:r>
        <w:rPr>
          <w:rFonts w:ascii="Times New Roman" w:eastAsiaTheme="minorEastAsia" w:hAnsi="Times New Roman" w:cs="Times New Roman"/>
          <w:sz w:val="24"/>
          <w:szCs w:val="24"/>
          <w:lang w:eastAsia="es-ES"/>
        </w:rPr>
        <w:t>”</w:t>
      </w:r>
      <w:r w:rsidR="00247B58" w:rsidRPr="00247B58">
        <w:rPr>
          <w:rFonts w:ascii="Times New Roman" w:eastAsiaTheme="minorEastAsia" w:hAnsi="Times New Roman" w:cs="Times New Roman"/>
          <w:sz w:val="24"/>
          <w:szCs w:val="24"/>
          <w:lang w:eastAsia="es-ES"/>
        </w:rPr>
        <w:t xml:space="preserve"> al mostrar que los flujos de capital hacia los ETFs de gestión pasiva tienen un impacto significativo</w:t>
      </w:r>
      <w:r w:rsidR="00B61A6C">
        <w:rPr>
          <w:rFonts w:ascii="Times New Roman" w:eastAsiaTheme="minorEastAsia" w:hAnsi="Times New Roman" w:cs="Times New Roman"/>
          <w:sz w:val="24"/>
          <w:szCs w:val="24"/>
          <w:lang w:eastAsia="es-ES"/>
        </w:rPr>
        <w:t xml:space="preserve"> y </w:t>
      </w:r>
      <w:r w:rsidR="00247B58" w:rsidRPr="00247B58">
        <w:rPr>
          <w:rFonts w:ascii="Times New Roman" w:eastAsiaTheme="minorEastAsia" w:hAnsi="Times New Roman" w:cs="Times New Roman"/>
          <w:sz w:val="24"/>
          <w:szCs w:val="24"/>
          <w:lang w:eastAsia="es-ES"/>
        </w:rPr>
        <w:t xml:space="preserve">positivo en los precios de las acciones. </w:t>
      </w:r>
      <w:r>
        <w:rPr>
          <w:rFonts w:ascii="Times New Roman" w:eastAsiaTheme="minorEastAsia" w:hAnsi="Times New Roman" w:cs="Times New Roman"/>
          <w:sz w:val="24"/>
          <w:szCs w:val="24"/>
          <w:lang w:eastAsia="es-ES"/>
        </w:rPr>
        <w:t xml:space="preserve">Esto es una muestra de inelasticidad del mercado, lo que </w:t>
      </w:r>
      <w:r w:rsidR="00247B58" w:rsidRPr="00247B58">
        <w:rPr>
          <w:rFonts w:ascii="Times New Roman" w:eastAsiaTheme="minorEastAsia" w:hAnsi="Times New Roman" w:cs="Times New Roman"/>
          <w:sz w:val="24"/>
          <w:szCs w:val="24"/>
          <w:lang w:eastAsia="es-ES"/>
        </w:rPr>
        <w:t>significa que flujos relativamente pequeños de capital pueden tener efectos</w:t>
      </w:r>
      <w:r w:rsidR="00B61A6C">
        <w:rPr>
          <w:rFonts w:ascii="Times New Roman" w:eastAsiaTheme="minorEastAsia" w:hAnsi="Times New Roman" w:cs="Times New Roman"/>
          <w:sz w:val="24"/>
          <w:szCs w:val="24"/>
          <w:lang w:eastAsia="es-ES"/>
        </w:rPr>
        <w:t xml:space="preserve"> relevantes</w:t>
      </w:r>
      <w:r w:rsidR="00247B58" w:rsidRPr="00247B58">
        <w:rPr>
          <w:rFonts w:ascii="Times New Roman" w:eastAsiaTheme="minorEastAsia" w:hAnsi="Times New Roman" w:cs="Times New Roman"/>
          <w:sz w:val="24"/>
          <w:szCs w:val="24"/>
          <w:lang w:eastAsia="es-ES"/>
        </w:rPr>
        <w:t xml:space="preserve"> sobre los precios</w:t>
      </w:r>
      <w:r>
        <w:rPr>
          <w:rFonts w:ascii="Times New Roman" w:eastAsiaTheme="minorEastAsia" w:hAnsi="Times New Roman" w:cs="Times New Roman"/>
          <w:sz w:val="24"/>
          <w:szCs w:val="24"/>
          <w:lang w:eastAsia="es-ES"/>
        </w:rPr>
        <w:t>.</w:t>
      </w:r>
      <w:r w:rsidR="00247B58" w:rsidRPr="00247B58">
        <w:rPr>
          <w:rFonts w:ascii="Times New Roman" w:eastAsiaTheme="minorEastAsia" w:hAnsi="Times New Roman" w:cs="Times New Roman"/>
          <w:sz w:val="24"/>
          <w:szCs w:val="24"/>
          <w:lang w:eastAsia="es-ES"/>
        </w:rPr>
        <w:t xml:space="preserve"> </w:t>
      </w:r>
      <w:r w:rsidR="00A35975">
        <w:rPr>
          <w:rFonts w:ascii="Times New Roman" w:eastAsiaTheme="minorEastAsia" w:hAnsi="Times New Roman" w:cs="Times New Roman"/>
          <w:sz w:val="24"/>
          <w:szCs w:val="24"/>
          <w:lang w:eastAsia="es-ES"/>
        </w:rPr>
        <w:t>Además, los resultados verifican la hipótesis inicial al demostrar que los precios de determinadas acciones se están viendo influidos por los flujos monetarios hacia instrumentos de gestión pasiva.</w:t>
      </w:r>
    </w:p>
    <w:p w14:paraId="2DE97CDF" w14:textId="67DAB13A" w:rsidR="003E0B4E" w:rsidRDefault="00722646" w:rsidP="00247B58">
      <w:pPr>
        <w:spacing w:line="360" w:lineRule="auto"/>
        <w:jc w:val="both"/>
        <w:rPr>
          <w:rFonts w:ascii="Times New Roman" w:eastAsiaTheme="minorEastAsia" w:hAnsi="Times New Roman" w:cs="Times New Roman"/>
          <w:b/>
          <w:bCs/>
          <w:sz w:val="24"/>
          <w:szCs w:val="24"/>
          <w:lang w:eastAsia="es-ES"/>
        </w:rPr>
      </w:pPr>
      <w:r w:rsidRPr="00487CBD">
        <w:rPr>
          <w:rFonts w:ascii="Times New Roman" w:eastAsiaTheme="minorEastAsia" w:hAnsi="Times New Roman" w:cs="Times New Roman"/>
          <w:b/>
          <w:bCs/>
          <w:sz w:val="24"/>
          <w:szCs w:val="24"/>
          <w:lang w:eastAsia="es-ES"/>
        </w:rPr>
        <w:t xml:space="preserve">Análisis de las acciones </w:t>
      </w:r>
      <w:r w:rsidR="00487CBD" w:rsidRPr="00487CBD">
        <w:rPr>
          <w:rFonts w:ascii="Times New Roman" w:eastAsiaTheme="minorEastAsia" w:hAnsi="Times New Roman" w:cs="Times New Roman"/>
          <w:b/>
          <w:bCs/>
          <w:sz w:val="24"/>
          <w:szCs w:val="24"/>
          <w:lang w:eastAsia="es-ES"/>
        </w:rPr>
        <w:t>para las cuales el impacto de los flujos es significativo</w:t>
      </w:r>
    </w:p>
    <w:p w14:paraId="0BD27F67" w14:textId="19EE443A" w:rsidR="00F65B60" w:rsidRPr="00F65B60" w:rsidRDefault="003A4811" w:rsidP="00247B58">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Una vez </w:t>
      </w:r>
      <w:r w:rsidR="008816AB">
        <w:rPr>
          <w:rFonts w:ascii="Times New Roman" w:eastAsiaTheme="minorEastAsia" w:hAnsi="Times New Roman" w:cs="Times New Roman"/>
          <w:sz w:val="24"/>
          <w:szCs w:val="24"/>
          <w:lang w:eastAsia="es-ES"/>
        </w:rPr>
        <w:t>recopilada la lista de las 36 acciones del S&amp;P 500 para las cuales los flujos monetarios hacia ETFs tiene</w:t>
      </w:r>
      <w:r w:rsidR="00577E55">
        <w:rPr>
          <w:rFonts w:ascii="Times New Roman" w:eastAsiaTheme="minorEastAsia" w:hAnsi="Times New Roman" w:cs="Times New Roman"/>
          <w:sz w:val="24"/>
          <w:szCs w:val="24"/>
          <w:lang w:eastAsia="es-ES"/>
        </w:rPr>
        <w:t>n</w:t>
      </w:r>
      <w:r w:rsidR="008816AB">
        <w:rPr>
          <w:rFonts w:ascii="Times New Roman" w:eastAsiaTheme="minorEastAsia" w:hAnsi="Times New Roman" w:cs="Times New Roman"/>
          <w:sz w:val="24"/>
          <w:szCs w:val="24"/>
          <w:lang w:eastAsia="es-ES"/>
        </w:rPr>
        <w:t xml:space="preserve"> un impacto significativo, es hora de analizar este conjunto de acciones y compararlas con el resto del índice para </w:t>
      </w:r>
      <w:r w:rsidR="00577E55">
        <w:rPr>
          <w:rFonts w:ascii="Times New Roman" w:eastAsiaTheme="minorEastAsia" w:hAnsi="Times New Roman" w:cs="Times New Roman"/>
          <w:sz w:val="24"/>
          <w:szCs w:val="24"/>
          <w:lang w:eastAsia="es-ES"/>
        </w:rPr>
        <w:t>ver que caracteriza a estas empresas.</w:t>
      </w:r>
    </w:p>
    <w:p w14:paraId="33161D6F" w14:textId="484FB332" w:rsidR="00EF5FFF" w:rsidRPr="00A35975" w:rsidRDefault="008816AB" w:rsidP="008816AB">
      <w:pPr>
        <w:spacing w:line="360" w:lineRule="auto"/>
        <w:jc w:val="both"/>
        <w:rPr>
          <w:rFonts w:ascii="Times New Roman" w:eastAsiaTheme="minorEastAsia" w:hAnsi="Times New Roman" w:cs="Times New Roman"/>
          <w:sz w:val="24"/>
          <w:szCs w:val="24"/>
          <w:lang w:eastAsia="es-ES"/>
        </w:rPr>
      </w:pPr>
      <w:r w:rsidRPr="008816AB">
        <w:rPr>
          <w:rFonts w:ascii="Times New Roman" w:eastAsiaTheme="minorEastAsia" w:hAnsi="Times New Roman" w:cs="Times New Roman"/>
          <w:sz w:val="24"/>
          <w:szCs w:val="24"/>
          <w:lang w:eastAsia="es-ES"/>
        </w:rPr>
        <w:t xml:space="preserve">Se analizarán aspectos como la capitalización de mercado, el sector al que pertenecen, </w:t>
      </w:r>
      <w:r w:rsidR="00422A0F">
        <w:rPr>
          <w:rFonts w:ascii="Times New Roman" w:eastAsiaTheme="minorEastAsia" w:hAnsi="Times New Roman" w:cs="Times New Roman"/>
          <w:sz w:val="24"/>
          <w:szCs w:val="24"/>
          <w:lang w:eastAsia="es-ES"/>
        </w:rPr>
        <w:t xml:space="preserve">el volumen </w:t>
      </w:r>
      <w:r w:rsidRPr="008816AB">
        <w:rPr>
          <w:rFonts w:ascii="Times New Roman" w:eastAsiaTheme="minorEastAsia" w:hAnsi="Times New Roman" w:cs="Times New Roman"/>
          <w:sz w:val="24"/>
          <w:szCs w:val="24"/>
          <w:lang w:eastAsia="es-ES"/>
        </w:rPr>
        <w:t xml:space="preserve">y la volatilidad de las acciones. </w:t>
      </w:r>
      <w:r w:rsidR="00EF5FFF">
        <w:rPr>
          <w:rFonts w:ascii="Times New Roman" w:eastAsiaTheme="minorEastAsia" w:hAnsi="Times New Roman" w:cs="Times New Roman"/>
          <w:sz w:val="24"/>
          <w:szCs w:val="24"/>
          <w:lang w:eastAsia="es-ES"/>
        </w:rPr>
        <w:t>El objetivo es crear un perfil detallado de sobre qué acciones se ven más afectadas por el fenómeno estudiado.</w:t>
      </w:r>
    </w:p>
    <w:p w14:paraId="370229E2" w14:textId="41A00615" w:rsidR="00422A0F" w:rsidRDefault="00EF5FFF" w:rsidP="008816AB">
      <w:pPr>
        <w:spacing w:line="360" w:lineRule="auto"/>
        <w:jc w:val="both"/>
        <w:rPr>
          <w:rFonts w:ascii="Times New Roman" w:eastAsiaTheme="minorEastAsia" w:hAnsi="Times New Roman" w:cs="Times New Roman"/>
          <w:sz w:val="24"/>
          <w:szCs w:val="24"/>
          <w:u w:val="single"/>
          <w:lang w:eastAsia="es-ES"/>
        </w:rPr>
      </w:pPr>
      <w:r w:rsidRPr="00EF5FFF">
        <w:rPr>
          <w:rFonts w:ascii="Times New Roman" w:eastAsiaTheme="minorEastAsia" w:hAnsi="Times New Roman" w:cs="Times New Roman"/>
          <w:sz w:val="24"/>
          <w:szCs w:val="24"/>
          <w:u w:val="single"/>
          <w:lang w:eastAsia="es-ES"/>
        </w:rPr>
        <w:lastRenderedPageBreak/>
        <w:t>Tamaño</w:t>
      </w:r>
    </w:p>
    <w:p w14:paraId="108A2158" w14:textId="409046E8" w:rsidR="00EF5FFF" w:rsidRPr="00EF5FFF" w:rsidRDefault="00EF5FFF" w:rsidP="00EF5FFF">
      <w:pPr>
        <w:spacing w:line="360" w:lineRule="auto"/>
        <w:jc w:val="both"/>
        <w:rPr>
          <w:rFonts w:ascii="Times New Roman" w:eastAsiaTheme="minorEastAsia" w:hAnsi="Times New Roman" w:cs="Times New Roman"/>
          <w:sz w:val="24"/>
          <w:szCs w:val="24"/>
          <w:lang w:eastAsia="es-ES"/>
        </w:rPr>
      </w:pPr>
      <w:r w:rsidRPr="00EF5FFF">
        <w:rPr>
          <w:rFonts w:ascii="Times New Roman" w:eastAsiaTheme="minorEastAsia" w:hAnsi="Times New Roman" w:cs="Times New Roman"/>
          <w:sz w:val="24"/>
          <w:szCs w:val="24"/>
          <w:lang w:eastAsia="es-ES"/>
        </w:rPr>
        <w:t xml:space="preserve">Para comenzar el análisis, </w:t>
      </w:r>
      <w:r w:rsidR="00235F28">
        <w:rPr>
          <w:rFonts w:ascii="Times New Roman" w:eastAsiaTheme="minorEastAsia" w:hAnsi="Times New Roman" w:cs="Times New Roman"/>
          <w:sz w:val="24"/>
          <w:szCs w:val="24"/>
          <w:lang w:eastAsia="es-ES"/>
        </w:rPr>
        <w:t>se va a examinar</w:t>
      </w:r>
      <w:r w:rsidRPr="00EF5FFF">
        <w:rPr>
          <w:rFonts w:ascii="Times New Roman" w:eastAsiaTheme="minorEastAsia" w:hAnsi="Times New Roman" w:cs="Times New Roman"/>
          <w:sz w:val="24"/>
          <w:szCs w:val="24"/>
          <w:lang w:eastAsia="es-ES"/>
        </w:rPr>
        <w:t xml:space="preserve"> el tamaño de las acciones sensibles a los flujos monetarios hacia los ETFs en comparación con el promedio del S&amp;P 500. </w:t>
      </w:r>
      <w:r w:rsidR="0066324C">
        <w:rPr>
          <w:rFonts w:ascii="Times New Roman" w:eastAsiaTheme="minorEastAsia" w:hAnsi="Times New Roman" w:cs="Times New Roman"/>
          <w:sz w:val="24"/>
          <w:szCs w:val="24"/>
          <w:lang w:eastAsia="es-ES"/>
        </w:rPr>
        <w:t xml:space="preserve">Para ello se empleará la capitalización de mercado como métrica de referencia. </w:t>
      </w:r>
      <w:r w:rsidR="00D411AB">
        <w:rPr>
          <w:rFonts w:ascii="Times New Roman" w:eastAsiaTheme="minorEastAsia" w:hAnsi="Times New Roman" w:cs="Times New Roman"/>
          <w:sz w:val="24"/>
          <w:szCs w:val="24"/>
          <w:lang w:eastAsia="es-ES"/>
        </w:rPr>
        <w:t>Este factor es el que más potencial tiene para</w:t>
      </w:r>
      <w:r w:rsidR="002C2FAF">
        <w:rPr>
          <w:rFonts w:ascii="Times New Roman" w:eastAsiaTheme="minorEastAsia" w:hAnsi="Times New Roman" w:cs="Times New Roman"/>
          <w:sz w:val="24"/>
          <w:szCs w:val="24"/>
          <w:lang w:eastAsia="es-ES"/>
        </w:rPr>
        <w:t xml:space="preserve"> determinar qu</w:t>
      </w:r>
      <w:r w:rsidR="00235F28">
        <w:rPr>
          <w:rFonts w:ascii="Times New Roman" w:eastAsiaTheme="minorEastAsia" w:hAnsi="Times New Roman" w:cs="Times New Roman"/>
          <w:sz w:val="24"/>
          <w:szCs w:val="24"/>
          <w:lang w:eastAsia="es-ES"/>
        </w:rPr>
        <w:t>é</w:t>
      </w:r>
      <w:r w:rsidR="002C2FAF">
        <w:rPr>
          <w:rFonts w:ascii="Times New Roman" w:eastAsiaTheme="minorEastAsia" w:hAnsi="Times New Roman" w:cs="Times New Roman"/>
          <w:sz w:val="24"/>
          <w:szCs w:val="24"/>
          <w:lang w:eastAsia="es-ES"/>
        </w:rPr>
        <w:t xml:space="preserve"> acciones son más sensibles, por un motivo que se explicará en el próximo párrafo. </w:t>
      </w:r>
      <w:r w:rsidRPr="00EF5FFF">
        <w:rPr>
          <w:rFonts w:ascii="Times New Roman" w:eastAsiaTheme="minorEastAsia" w:hAnsi="Times New Roman" w:cs="Times New Roman"/>
          <w:sz w:val="24"/>
          <w:szCs w:val="24"/>
          <w:lang w:eastAsia="es-ES"/>
        </w:rPr>
        <w:t xml:space="preserve">Las 36 acciones que muestran una sensibilidad significativa a estos flujos tienen una capitalización de mercado promedio de </w:t>
      </w:r>
      <w:r w:rsidR="0066324C">
        <w:rPr>
          <w:rFonts w:ascii="Times New Roman" w:eastAsiaTheme="minorEastAsia" w:hAnsi="Times New Roman" w:cs="Times New Roman"/>
          <w:sz w:val="24"/>
          <w:szCs w:val="24"/>
          <w:lang w:eastAsia="es-ES"/>
        </w:rPr>
        <w:t>$</w:t>
      </w:r>
      <w:r w:rsidRPr="00EF5FFF">
        <w:rPr>
          <w:rFonts w:ascii="Times New Roman" w:eastAsiaTheme="minorEastAsia" w:hAnsi="Times New Roman" w:cs="Times New Roman"/>
          <w:sz w:val="24"/>
          <w:szCs w:val="24"/>
          <w:lang w:eastAsia="es-ES"/>
        </w:rPr>
        <w:t xml:space="preserve">130.201.923.356. En contraste, la media de capitalización de mercado del S&amp;P 500 es de </w:t>
      </w:r>
      <w:r w:rsidR="0066324C">
        <w:rPr>
          <w:rFonts w:ascii="Times New Roman" w:eastAsiaTheme="minorEastAsia" w:hAnsi="Times New Roman" w:cs="Times New Roman"/>
          <w:sz w:val="24"/>
          <w:szCs w:val="24"/>
          <w:lang w:eastAsia="es-ES"/>
        </w:rPr>
        <w:t>$</w:t>
      </w:r>
      <w:r w:rsidRPr="00EF5FFF">
        <w:rPr>
          <w:rFonts w:ascii="Times New Roman" w:eastAsiaTheme="minorEastAsia" w:hAnsi="Times New Roman" w:cs="Times New Roman"/>
          <w:sz w:val="24"/>
          <w:szCs w:val="24"/>
          <w:lang w:eastAsia="es-ES"/>
        </w:rPr>
        <w:t>97.508.753.658.</w:t>
      </w:r>
      <w:r w:rsidR="0066324C">
        <w:rPr>
          <w:rFonts w:ascii="Times New Roman" w:eastAsiaTheme="minorEastAsia" w:hAnsi="Times New Roman" w:cs="Times New Roman"/>
          <w:sz w:val="24"/>
          <w:szCs w:val="24"/>
          <w:lang w:eastAsia="es-ES"/>
        </w:rPr>
        <w:t xml:space="preserve"> Esto implica </w:t>
      </w:r>
      <w:proofErr w:type="gramStart"/>
      <w:r w:rsidR="0066324C">
        <w:rPr>
          <w:rFonts w:ascii="Times New Roman" w:eastAsiaTheme="minorEastAsia" w:hAnsi="Times New Roman" w:cs="Times New Roman"/>
          <w:sz w:val="24"/>
          <w:szCs w:val="24"/>
          <w:lang w:eastAsia="es-ES"/>
        </w:rPr>
        <w:t>que</w:t>
      </w:r>
      <w:proofErr w:type="gramEnd"/>
      <w:r w:rsidR="0066324C">
        <w:rPr>
          <w:rFonts w:ascii="Times New Roman" w:eastAsiaTheme="minorEastAsia" w:hAnsi="Times New Roman" w:cs="Times New Roman"/>
          <w:sz w:val="24"/>
          <w:szCs w:val="24"/>
          <w:lang w:eastAsia="es-ES"/>
        </w:rPr>
        <w:t xml:space="preserve"> en promedio</w:t>
      </w:r>
      <w:r w:rsidR="00235F28">
        <w:rPr>
          <w:rFonts w:ascii="Times New Roman" w:eastAsiaTheme="minorEastAsia" w:hAnsi="Times New Roman" w:cs="Times New Roman"/>
          <w:sz w:val="24"/>
          <w:szCs w:val="24"/>
          <w:lang w:eastAsia="es-ES"/>
        </w:rPr>
        <w:t>,</w:t>
      </w:r>
      <w:r w:rsidR="0066324C">
        <w:rPr>
          <w:rFonts w:ascii="Times New Roman" w:eastAsiaTheme="minorEastAsia" w:hAnsi="Times New Roman" w:cs="Times New Roman"/>
          <w:sz w:val="24"/>
          <w:szCs w:val="24"/>
          <w:lang w:eastAsia="es-ES"/>
        </w:rPr>
        <w:t xml:space="preserve"> las 36 acciones analizadas son un 34% más grandes en términos de capitalización de mercado que la media del </w:t>
      </w:r>
      <w:r w:rsidR="00235F28">
        <w:rPr>
          <w:rFonts w:ascii="Times New Roman" w:eastAsiaTheme="minorEastAsia" w:hAnsi="Times New Roman" w:cs="Times New Roman"/>
          <w:sz w:val="24"/>
          <w:szCs w:val="24"/>
          <w:lang w:eastAsia="es-ES"/>
        </w:rPr>
        <w:t>S&amp;P 500</w:t>
      </w:r>
      <w:r w:rsidR="0066324C">
        <w:rPr>
          <w:rFonts w:ascii="Times New Roman" w:eastAsiaTheme="minorEastAsia" w:hAnsi="Times New Roman" w:cs="Times New Roman"/>
          <w:sz w:val="24"/>
          <w:szCs w:val="24"/>
          <w:lang w:eastAsia="es-ES"/>
        </w:rPr>
        <w:t>.</w:t>
      </w:r>
    </w:p>
    <w:p w14:paraId="7E7B0D58" w14:textId="588623C8" w:rsidR="00EF5FFF" w:rsidRDefault="00EF5FFF" w:rsidP="00EF5FFF">
      <w:pPr>
        <w:spacing w:line="360" w:lineRule="auto"/>
        <w:jc w:val="both"/>
        <w:rPr>
          <w:rFonts w:ascii="Times New Roman" w:eastAsiaTheme="minorEastAsia" w:hAnsi="Times New Roman" w:cs="Times New Roman"/>
          <w:sz w:val="24"/>
          <w:szCs w:val="24"/>
          <w:lang w:eastAsia="es-ES"/>
        </w:rPr>
      </w:pPr>
      <w:r w:rsidRPr="00EF5FFF">
        <w:rPr>
          <w:rFonts w:ascii="Times New Roman" w:eastAsiaTheme="minorEastAsia" w:hAnsi="Times New Roman" w:cs="Times New Roman"/>
          <w:sz w:val="24"/>
          <w:szCs w:val="24"/>
          <w:lang w:eastAsia="es-ES"/>
        </w:rPr>
        <w:t xml:space="preserve">Este resultado sugiere que las acciones que son más sensibles a los flujos de capital hacia los ETFs tienden a ser de mayor tamaño. Las empresas con mayor capitalización de mercado pueden atraer más flujos </w:t>
      </w:r>
      <w:r w:rsidR="00B60685">
        <w:rPr>
          <w:rFonts w:ascii="Times New Roman" w:eastAsiaTheme="minorEastAsia" w:hAnsi="Times New Roman" w:cs="Times New Roman"/>
          <w:sz w:val="24"/>
          <w:szCs w:val="24"/>
          <w:lang w:eastAsia="es-ES"/>
        </w:rPr>
        <w:t>de los fondos de gestión pasiva debido a que su peso relativo en el índice es superior</w:t>
      </w:r>
      <w:r w:rsidRPr="00EF5FFF">
        <w:rPr>
          <w:rFonts w:ascii="Times New Roman" w:eastAsiaTheme="minorEastAsia" w:hAnsi="Times New Roman" w:cs="Times New Roman"/>
          <w:sz w:val="24"/>
          <w:szCs w:val="24"/>
          <w:lang w:eastAsia="es-ES"/>
        </w:rPr>
        <w:t xml:space="preserve">, lo </w:t>
      </w:r>
      <w:r w:rsidR="00235F28">
        <w:rPr>
          <w:rFonts w:ascii="Times New Roman" w:eastAsiaTheme="minorEastAsia" w:hAnsi="Times New Roman" w:cs="Times New Roman"/>
          <w:sz w:val="24"/>
          <w:szCs w:val="24"/>
          <w:lang w:eastAsia="es-ES"/>
        </w:rPr>
        <w:t>cual</w:t>
      </w:r>
      <w:r w:rsidRPr="00EF5FFF">
        <w:rPr>
          <w:rFonts w:ascii="Times New Roman" w:eastAsiaTheme="minorEastAsia" w:hAnsi="Times New Roman" w:cs="Times New Roman"/>
          <w:sz w:val="24"/>
          <w:szCs w:val="24"/>
          <w:lang w:eastAsia="es-ES"/>
        </w:rPr>
        <w:t xml:space="preserve"> puede explicar su</w:t>
      </w:r>
      <w:r w:rsidR="00235F28">
        <w:rPr>
          <w:rFonts w:ascii="Times New Roman" w:eastAsiaTheme="minorEastAsia" w:hAnsi="Times New Roman" w:cs="Times New Roman"/>
          <w:sz w:val="24"/>
          <w:szCs w:val="24"/>
          <w:lang w:eastAsia="es-ES"/>
        </w:rPr>
        <w:t xml:space="preserve"> mayor</w:t>
      </w:r>
      <w:r w:rsidRPr="00EF5FFF">
        <w:rPr>
          <w:rFonts w:ascii="Times New Roman" w:eastAsiaTheme="minorEastAsia" w:hAnsi="Times New Roman" w:cs="Times New Roman"/>
          <w:sz w:val="24"/>
          <w:szCs w:val="24"/>
          <w:lang w:eastAsia="es-ES"/>
        </w:rPr>
        <w:t xml:space="preserve"> sensibilidad a los flujos de ETFs. </w:t>
      </w:r>
    </w:p>
    <w:p w14:paraId="36B3E598" w14:textId="77777777" w:rsidR="00235F28" w:rsidRPr="00EF5FFF" w:rsidRDefault="00235F28" w:rsidP="00EF5FFF">
      <w:pPr>
        <w:spacing w:line="360" w:lineRule="auto"/>
        <w:jc w:val="both"/>
        <w:rPr>
          <w:rFonts w:ascii="Times New Roman" w:eastAsiaTheme="minorEastAsia" w:hAnsi="Times New Roman" w:cs="Times New Roman"/>
          <w:sz w:val="24"/>
          <w:szCs w:val="24"/>
          <w:lang w:eastAsia="es-ES"/>
        </w:rPr>
      </w:pPr>
    </w:p>
    <w:p w14:paraId="16CB7724" w14:textId="41FDFCD1" w:rsidR="00EF5FFF" w:rsidRPr="005B2849" w:rsidRDefault="00235F28" w:rsidP="008816AB">
      <w:pPr>
        <w:spacing w:line="360" w:lineRule="auto"/>
        <w:jc w:val="both"/>
        <w:rPr>
          <w:rFonts w:ascii="Times New Roman" w:eastAsiaTheme="minorEastAsia" w:hAnsi="Times New Roman" w:cs="Times New Roman"/>
          <w:b/>
          <w:bCs/>
          <w:sz w:val="24"/>
          <w:szCs w:val="24"/>
          <w:lang w:eastAsia="es-ES"/>
        </w:rPr>
      </w:pPr>
      <w:r w:rsidRPr="00B60685">
        <w:rPr>
          <w:rFonts w:ascii="Times New Roman" w:eastAsiaTheme="minorEastAsia" w:hAnsi="Times New Roman" w:cs="Times New Roman"/>
          <w:sz w:val="24"/>
          <w:szCs w:val="24"/>
          <w:lang w:eastAsia="es-ES"/>
        </w:rPr>
        <w:drawing>
          <wp:anchor distT="0" distB="0" distL="114300" distR="114300" simplePos="0" relativeHeight="251664896" behindDoc="1" locked="0" layoutInCell="1" allowOverlap="1" wp14:anchorId="3DC6B146" wp14:editId="6F7DA3B3">
            <wp:simplePos x="0" y="0"/>
            <wp:positionH relativeFrom="column">
              <wp:posOffset>153670</wp:posOffset>
            </wp:positionH>
            <wp:positionV relativeFrom="paragraph">
              <wp:posOffset>254817</wp:posOffset>
            </wp:positionV>
            <wp:extent cx="5067300" cy="3336925"/>
            <wp:effectExtent l="0" t="0" r="0" b="0"/>
            <wp:wrapTight wrapText="bothSides">
              <wp:wrapPolygon edited="0">
                <wp:start x="0" y="0"/>
                <wp:lineTo x="0" y="21456"/>
                <wp:lineTo x="21519" y="21456"/>
                <wp:lineTo x="21519" y="0"/>
                <wp:lineTo x="0" y="0"/>
              </wp:wrapPolygon>
            </wp:wrapTight>
            <wp:docPr id="538080678"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80678" name="Imagen 1" descr="Gráfico, Gráfico de barr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067300" cy="3336925"/>
                    </a:xfrm>
                    <a:prstGeom prst="rect">
                      <a:avLst/>
                    </a:prstGeom>
                  </pic:spPr>
                </pic:pic>
              </a:graphicData>
            </a:graphic>
            <wp14:sizeRelH relativeFrom="margin">
              <wp14:pctWidth>0</wp14:pctWidth>
            </wp14:sizeRelH>
            <wp14:sizeRelV relativeFrom="margin">
              <wp14:pctHeight>0</wp14:pctHeight>
            </wp14:sizeRelV>
          </wp:anchor>
        </w:drawing>
      </w:r>
      <w:r w:rsidR="00EF5FFF" w:rsidRPr="005B2849">
        <w:rPr>
          <w:rFonts w:ascii="Times New Roman" w:eastAsiaTheme="minorEastAsia" w:hAnsi="Times New Roman" w:cs="Times New Roman"/>
          <w:b/>
          <w:bCs/>
          <w:sz w:val="24"/>
          <w:szCs w:val="24"/>
          <w:lang w:eastAsia="es-ES"/>
        </w:rPr>
        <w:t xml:space="preserve">Gráfico </w:t>
      </w:r>
      <w:r w:rsidR="005B2849" w:rsidRPr="005B2849">
        <w:rPr>
          <w:rFonts w:ascii="Times New Roman" w:eastAsiaTheme="minorEastAsia" w:hAnsi="Times New Roman" w:cs="Times New Roman"/>
          <w:b/>
          <w:bCs/>
          <w:sz w:val="24"/>
          <w:szCs w:val="24"/>
          <w:lang w:eastAsia="es-ES"/>
        </w:rPr>
        <w:t>5</w:t>
      </w:r>
      <w:r>
        <w:rPr>
          <w:rFonts w:ascii="Times New Roman" w:eastAsiaTheme="minorEastAsia" w:hAnsi="Times New Roman" w:cs="Times New Roman"/>
          <w:b/>
          <w:bCs/>
          <w:sz w:val="24"/>
          <w:szCs w:val="24"/>
          <w:lang w:eastAsia="es-ES"/>
        </w:rPr>
        <w:t>:</w:t>
      </w:r>
    </w:p>
    <w:p w14:paraId="46CCA371" w14:textId="7082EFA1" w:rsidR="00422A0F" w:rsidRDefault="00422A0F" w:rsidP="008816AB">
      <w:pPr>
        <w:spacing w:line="360" w:lineRule="auto"/>
        <w:jc w:val="both"/>
        <w:rPr>
          <w:rFonts w:ascii="Times New Roman" w:eastAsiaTheme="minorEastAsia" w:hAnsi="Times New Roman" w:cs="Times New Roman"/>
          <w:sz w:val="24"/>
          <w:szCs w:val="24"/>
          <w:lang w:eastAsia="es-ES"/>
        </w:rPr>
      </w:pPr>
    </w:p>
    <w:p w14:paraId="72229D77" w14:textId="47D8C241" w:rsidR="00422A0F" w:rsidRPr="00235F28" w:rsidRDefault="00422A0F" w:rsidP="008816AB">
      <w:pPr>
        <w:spacing w:line="360" w:lineRule="auto"/>
        <w:jc w:val="both"/>
        <w:rPr>
          <w:rFonts w:ascii="Times New Roman" w:eastAsiaTheme="minorEastAsia" w:hAnsi="Times New Roman" w:cs="Times New Roman"/>
          <w:i/>
          <w:iCs/>
          <w:lang w:eastAsia="es-ES"/>
        </w:rPr>
      </w:pPr>
      <w:r w:rsidRPr="00422A0F">
        <w:rPr>
          <w:rFonts w:ascii="Times New Roman" w:eastAsiaTheme="minorEastAsia" w:hAnsi="Times New Roman" w:cs="Times New Roman"/>
          <w:i/>
          <w:iCs/>
          <w:lang w:eastAsia="es-ES"/>
        </w:rPr>
        <w:t>*Datos en miles de millones de dólares</w:t>
      </w:r>
    </w:p>
    <w:p w14:paraId="404E7A7D" w14:textId="5ED48857" w:rsidR="00F45D7F" w:rsidRPr="00F45D7F" w:rsidRDefault="00F45D7F" w:rsidP="008816AB">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lastRenderedPageBreak/>
        <w:t xml:space="preserve">Tras analizar el factor tamaño, se va a </w:t>
      </w:r>
      <w:r w:rsidR="002E4CDF">
        <w:rPr>
          <w:rFonts w:ascii="Times New Roman" w:eastAsiaTheme="minorEastAsia" w:hAnsi="Times New Roman" w:cs="Times New Roman"/>
          <w:sz w:val="24"/>
          <w:szCs w:val="24"/>
          <w:lang w:eastAsia="es-ES"/>
        </w:rPr>
        <w:t>mostrar</w:t>
      </w:r>
      <w:r>
        <w:rPr>
          <w:rFonts w:ascii="Times New Roman" w:eastAsiaTheme="minorEastAsia" w:hAnsi="Times New Roman" w:cs="Times New Roman"/>
          <w:sz w:val="24"/>
          <w:szCs w:val="24"/>
          <w:lang w:eastAsia="es-ES"/>
        </w:rPr>
        <w:t xml:space="preserve"> en la Tabla 3, un resumen de las principales métricas promedio de la c</w:t>
      </w:r>
      <w:r w:rsidR="002E4CDF">
        <w:rPr>
          <w:rFonts w:ascii="Times New Roman" w:eastAsiaTheme="minorEastAsia" w:hAnsi="Times New Roman" w:cs="Times New Roman"/>
          <w:sz w:val="24"/>
          <w:szCs w:val="24"/>
          <w:lang w:eastAsia="es-ES"/>
        </w:rPr>
        <w:t>esta</w:t>
      </w:r>
      <w:r>
        <w:rPr>
          <w:rFonts w:ascii="Times New Roman" w:eastAsiaTheme="minorEastAsia" w:hAnsi="Times New Roman" w:cs="Times New Roman"/>
          <w:sz w:val="24"/>
          <w:szCs w:val="24"/>
          <w:lang w:eastAsia="es-ES"/>
        </w:rPr>
        <w:t xml:space="preserve"> de 36 acciones frente al promedio del S&amp;P</w:t>
      </w:r>
      <w:r w:rsidR="002E4CDF">
        <w:rPr>
          <w:rFonts w:ascii="Times New Roman" w:eastAsiaTheme="minorEastAsia" w:hAnsi="Times New Roman" w:cs="Times New Roman"/>
          <w:sz w:val="24"/>
          <w:szCs w:val="24"/>
          <w:lang w:eastAsia="es-ES"/>
        </w:rPr>
        <w:t xml:space="preserve"> </w:t>
      </w:r>
      <w:r>
        <w:rPr>
          <w:rFonts w:ascii="Times New Roman" w:eastAsiaTheme="minorEastAsia" w:hAnsi="Times New Roman" w:cs="Times New Roman"/>
          <w:sz w:val="24"/>
          <w:szCs w:val="24"/>
          <w:lang w:eastAsia="es-ES"/>
        </w:rPr>
        <w:t xml:space="preserve">500. </w:t>
      </w:r>
    </w:p>
    <w:p w14:paraId="513326F8" w14:textId="491E8D31" w:rsidR="00F45D7F" w:rsidRPr="00F45D7F" w:rsidRDefault="00F45D7F" w:rsidP="008816AB">
      <w:pPr>
        <w:spacing w:line="360" w:lineRule="auto"/>
        <w:jc w:val="both"/>
        <w:rPr>
          <w:rFonts w:ascii="Times New Roman" w:eastAsiaTheme="minorEastAsia" w:hAnsi="Times New Roman" w:cs="Times New Roman"/>
          <w:b/>
          <w:bCs/>
          <w:sz w:val="24"/>
          <w:szCs w:val="24"/>
          <w:lang w:eastAsia="es-ES"/>
        </w:rPr>
      </w:pPr>
      <w:r w:rsidRPr="00F45D7F">
        <w:rPr>
          <w:rFonts w:ascii="Times New Roman" w:eastAsiaTheme="minorEastAsia" w:hAnsi="Times New Roman" w:cs="Times New Roman"/>
          <w:b/>
          <w:bCs/>
          <w:sz w:val="24"/>
          <w:szCs w:val="24"/>
          <w:lang w:eastAsia="es-ES"/>
        </w:rPr>
        <w:t xml:space="preserve">Tabla </w:t>
      </w:r>
      <w:r>
        <w:rPr>
          <w:rFonts w:ascii="Times New Roman" w:eastAsiaTheme="minorEastAsia" w:hAnsi="Times New Roman" w:cs="Times New Roman"/>
          <w:b/>
          <w:bCs/>
          <w:sz w:val="24"/>
          <w:szCs w:val="24"/>
          <w:lang w:eastAsia="es-ES"/>
        </w:rPr>
        <w:t>3</w:t>
      </w:r>
      <w:r w:rsidRPr="00F45D7F">
        <w:rPr>
          <w:rFonts w:ascii="Times New Roman" w:eastAsiaTheme="minorEastAsia" w:hAnsi="Times New Roman" w:cs="Times New Roman"/>
          <w:b/>
          <w:bCs/>
          <w:sz w:val="24"/>
          <w:szCs w:val="24"/>
          <w:lang w:eastAsia="es-ES"/>
        </w:rPr>
        <w:t>:</w:t>
      </w:r>
    </w:p>
    <w:tbl>
      <w:tblPr>
        <w:tblW w:w="11241" w:type="dxa"/>
        <w:jc w:val="center"/>
        <w:tblCellMar>
          <w:left w:w="70" w:type="dxa"/>
          <w:right w:w="70" w:type="dxa"/>
        </w:tblCellMar>
        <w:tblLook w:val="04A0" w:firstRow="1" w:lastRow="0" w:firstColumn="1" w:lastColumn="0" w:noHBand="0" w:noVBand="1"/>
      </w:tblPr>
      <w:tblGrid>
        <w:gridCol w:w="3129"/>
        <w:gridCol w:w="3511"/>
        <w:gridCol w:w="2595"/>
        <w:gridCol w:w="2006"/>
      </w:tblGrid>
      <w:tr w:rsidR="002E4CDF" w:rsidRPr="00F45D7F" w14:paraId="7121601E" w14:textId="77777777" w:rsidTr="002E4CDF">
        <w:trPr>
          <w:trHeight w:val="78"/>
          <w:jc w:val="center"/>
        </w:trPr>
        <w:tc>
          <w:tcPr>
            <w:tcW w:w="3129" w:type="dxa"/>
            <w:tcBorders>
              <w:top w:val="single" w:sz="4" w:space="0" w:color="auto"/>
              <w:left w:val="single" w:sz="4" w:space="0" w:color="auto"/>
              <w:bottom w:val="single" w:sz="4" w:space="0" w:color="auto"/>
              <w:right w:val="single" w:sz="4" w:space="0" w:color="auto"/>
            </w:tcBorders>
            <w:shd w:val="clear" w:color="000000" w:fill="000779"/>
            <w:noWrap/>
            <w:vAlign w:val="center"/>
            <w:hideMark/>
          </w:tcPr>
          <w:p w14:paraId="1CE206F0" w14:textId="5CEB5E03"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p>
        </w:tc>
        <w:tc>
          <w:tcPr>
            <w:tcW w:w="3511" w:type="dxa"/>
            <w:tcBorders>
              <w:top w:val="single" w:sz="4" w:space="0" w:color="auto"/>
              <w:left w:val="nil"/>
              <w:bottom w:val="nil"/>
              <w:right w:val="single" w:sz="4" w:space="0" w:color="auto"/>
            </w:tcBorders>
            <w:shd w:val="clear" w:color="000000" w:fill="000779"/>
            <w:noWrap/>
            <w:vAlign w:val="center"/>
            <w:hideMark/>
          </w:tcPr>
          <w:p w14:paraId="2630F3B7" w14:textId="4C828895"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P/E</w:t>
            </w:r>
          </w:p>
        </w:tc>
        <w:tc>
          <w:tcPr>
            <w:tcW w:w="2595" w:type="dxa"/>
            <w:tcBorders>
              <w:top w:val="single" w:sz="4" w:space="0" w:color="auto"/>
              <w:left w:val="nil"/>
              <w:bottom w:val="nil"/>
              <w:right w:val="single" w:sz="4" w:space="0" w:color="auto"/>
            </w:tcBorders>
            <w:shd w:val="clear" w:color="000000" w:fill="000779"/>
            <w:noWrap/>
            <w:vAlign w:val="center"/>
            <w:hideMark/>
          </w:tcPr>
          <w:p w14:paraId="3F0274BE" w14:textId="1AB409C0"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Rentabilidad</w:t>
            </w:r>
            <w:r w:rsidR="004C75BD">
              <w:rPr>
                <w:rFonts w:ascii="Times New Roman" w:eastAsia="Times New Roman" w:hAnsi="Times New Roman" w:cs="Times New Roman"/>
                <w:color w:val="FFFFFF"/>
                <w:kern w:val="0"/>
                <w:sz w:val="24"/>
                <w:szCs w:val="24"/>
                <w:lang w:eastAsia="es-ES"/>
                <w14:ligatures w14:val="none"/>
              </w:rPr>
              <w:t xml:space="preserve"> por</w:t>
            </w:r>
            <w:r w:rsidRPr="00F45D7F">
              <w:rPr>
                <w:rFonts w:ascii="Times New Roman" w:eastAsia="Times New Roman" w:hAnsi="Times New Roman" w:cs="Times New Roman"/>
                <w:color w:val="FFFFFF"/>
                <w:kern w:val="0"/>
                <w:sz w:val="24"/>
                <w:szCs w:val="24"/>
                <w:lang w:eastAsia="es-ES"/>
                <w14:ligatures w14:val="none"/>
              </w:rPr>
              <w:t xml:space="preserve"> Dividendo</w:t>
            </w:r>
          </w:p>
        </w:tc>
        <w:tc>
          <w:tcPr>
            <w:tcW w:w="2006" w:type="dxa"/>
            <w:tcBorders>
              <w:top w:val="single" w:sz="4" w:space="0" w:color="auto"/>
              <w:left w:val="nil"/>
              <w:bottom w:val="nil"/>
              <w:right w:val="single" w:sz="4" w:space="0" w:color="auto"/>
            </w:tcBorders>
            <w:shd w:val="clear" w:color="000000" w:fill="000779"/>
            <w:noWrap/>
            <w:vAlign w:val="center"/>
            <w:hideMark/>
          </w:tcPr>
          <w:p w14:paraId="5C457EE1"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Price/Book</w:t>
            </w:r>
          </w:p>
        </w:tc>
      </w:tr>
      <w:tr w:rsidR="002E4CDF" w:rsidRPr="00F45D7F" w14:paraId="6DAC845A" w14:textId="77777777" w:rsidTr="002E4CDF">
        <w:trPr>
          <w:trHeight w:val="78"/>
          <w:jc w:val="center"/>
        </w:trPr>
        <w:tc>
          <w:tcPr>
            <w:tcW w:w="3129" w:type="dxa"/>
            <w:tcBorders>
              <w:top w:val="nil"/>
              <w:left w:val="single" w:sz="4" w:space="0" w:color="auto"/>
              <w:bottom w:val="single" w:sz="4" w:space="0" w:color="auto"/>
              <w:right w:val="single" w:sz="4" w:space="0" w:color="auto"/>
            </w:tcBorders>
            <w:shd w:val="clear" w:color="000000" w:fill="000779"/>
            <w:noWrap/>
            <w:vAlign w:val="center"/>
            <w:hideMark/>
          </w:tcPr>
          <w:p w14:paraId="28714BB2"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Promedio de las 36 acciones</w:t>
            </w:r>
          </w:p>
        </w:tc>
        <w:tc>
          <w:tcPr>
            <w:tcW w:w="3511" w:type="dxa"/>
            <w:tcBorders>
              <w:top w:val="single" w:sz="4" w:space="0" w:color="auto"/>
              <w:left w:val="nil"/>
              <w:bottom w:val="single" w:sz="4" w:space="0" w:color="auto"/>
              <w:right w:val="single" w:sz="4" w:space="0" w:color="auto"/>
            </w:tcBorders>
            <w:shd w:val="clear" w:color="000000" w:fill="DAE9F8"/>
            <w:noWrap/>
            <w:vAlign w:val="bottom"/>
            <w:hideMark/>
          </w:tcPr>
          <w:p w14:paraId="1D71BB9D"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29,8</w:t>
            </w:r>
          </w:p>
        </w:tc>
        <w:tc>
          <w:tcPr>
            <w:tcW w:w="2595" w:type="dxa"/>
            <w:tcBorders>
              <w:top w:val="single" w:sz="4" w:space="0" w:color="auto"/>
              <w:left w:val="nil"/>
              <w:bottom w:val="single" w:sz="4" w:space="0" w:color="auto"/>
              <w:right w:val="single" w:sz="4" w:space="0" w:color="auto"/>
            </w:tcBorders>
            <w:shd w:val="clear" w:color="000000" w:fill="DAE9F8"/>
            <w:noWrap/>
            <w:vAlign w:val="center"/>
            <w:hideMark/>
          </w:tcPr>
          <w:p w14:paraId="2F37489C"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2,350%</w:t>
            </w:r>
          </w:p>
        </w:tc>
        <w:tc>
          <w:tcPr>
            <w:tcW w:w="2006" w:type="dxa"/>
            <w:tcBorders>
              <w:top w:val="single" w:sz="4" w:space="0" w:color="auto"/>
              <w:left w:val="nil"/>
              <w:bottom w:val="single" w:sz="4" w:space="0" w:color="auto"/>
              <w:right w:val="single" w:sz="4" w:space="0" w:color="auto"/>
            </w:tcBorders>
            <w:shd w:val="clear" w:color="000000" w:fill="DAE9F8"/>
            <w:noWrap/>
            <w:vAlign w:val="bottom"/>
            <w:hideMark/>
          </w:tcPr>
          <w:p w14:paraId="76E94297"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17</w:t>
            </w:r>
          </w:p>
        </w:tc>
      </w:tr>
      <w:tr w:rsidR="002E4CDF" w:rsidRPr="00F45D7F" w14:paraId="2D7BA585" w14:textId="77777777" w:rsidTr="002E4CDF">
        <w:trPr>
          <w:trHeight w:val="78"/>
          <w:jc w:val="center"/>
        </w:trPr>
        <w:tc>
          <w:tcPr>
            <w:tcW w:w="3129" w:type="dxa"/>
            <w:tcBorders>
              <w:top w:val="nil"/>
              <w:left w:val="single" w:sz="4" w:space="0" w:color="auto"/>
              <w:bottom w:val="single" w:sz="4" w:space="0" w:color="auto"/>
              <w:right w:val="single" w:sz="4" w:space="0" w:color="auto"/>
            </w:tcBorders>
            <w:shd w:val="clear" w:color="000000" w:fill="000779"/>
            <w:noWrap/>
            <w:vAlign w:val="center"/>
            <w:hideMark/>
          </w:tcPr>
          <w:p w14:paraId="0E5E674F"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Promedio del S&amp;P500</w:t>
            </w:r>
          </w:p>
        </w:tc>
        <w:tc>
          <w:tcPr>
            <w:tcW w:w="3511" w:type="dxa"/>
            <w:tcBorders>
              <w:top w:val="nil"/>
              <w:left w:val="nil"/>
              <w:bottom w:val="single" w:sz="4" w:space="0" w:color="auto"/>
              <w:right w:val="single" w:sz="4" w:space="0" w:color="auto"/>
            </w:tcBorders>
            <w:shd w:val="clear" w:color="000000" w:fill="DAE9F8"/>
            <w:noWrap/>
            <w:vAlign w:val="center"/>
            <w:hideMark/>
          </w:tcPr>
          <w:p w14:paraId="56AE09DB"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31,4</w:t>
            </w:r>
          </w:p>
        </w:tc>
        <w:tc>
          <w:tcPr>
            <w:tcW w:w="2595" w:type="dxa"/>
            <w:tcBorders>
              <w:top w:val="nil"/>
              <w:left w:val="nil"/>
              <w:bottom w:val="single" w:sz="4" w:space="0" w:color="auto"/>
              <w:right w:val="single" w:sz="4" w:space="0" w:color="auto"/>
            </w:tcBorders>
            <w:shd w:val="clear" w:color="000000" w:fill="DAE9F8"/>
            <w:noWrap/>
            <w:vAlign w:val="center"/>
            <w:hideMark/>
          </w:tcPr>
          <w:p w14:paraId="6DBCED53"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2,336%</w:t>
            </w:r>
          </w:p>
        </w:tc>
        <w:tc>
          <w:tcPr>
            <w:tcW w:w="2006" w:type="dxa"/>
            <w:tcBorders>
              <w:top w:val="nil"/>
              <w:left w:val="nil"/>
              <w:bottom w:val="single" w:sz="4" w:space="0" w:color="auto"/>
              <w:right w:val="single" w:sz="4" w:space="0" w:color="auto"/>
            </w:tcBorders>
            <w:shd w:val="clear" w:color="000000" w:fill="DAE9F8"/>
            <w:noWrap/>
            <w:vAlign w:val="center"/>
            <w:hideMark/>
          </w:tcPr>
          <w:p w14:paraId="03E97008"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11</w:t>
            </w:r>
          </w:p>
        </w:tc>
      </w:tr>
      <w:tr w:rsidR="002E4CDF" w:rsidRPr="00F45D7F" w14:paraId="62C95ADF" w14:textId="77777777" w:rsidTr="002E4CDF">
        <w:trPr>
          <w:trHeight w:val="78"/>
          <w:jc w:val="center"/>
        </w:trPr>
        <w:tc>
          <w:tcPr>
            <w:tcW w:w="3129" w:type="dxa"/>
            <w:tcBorders>
              <w:top w:val="nil"/>
              <w:left w:val="nil"/>
              <w:bottom w:val="nil"/>
              <w:right w:val="nil"/>
            </w:tcBorders>
            <w:shd w:val="clear" w:color="auto" w:fill="auto"/>
            <w:noWrap/>
            <w:vAlign w:val="center"/>
            <w:hideMark/>
          </w:tcPr>
          <w:p w14:paraId="7B89A525"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p>
        </w:tc>
        <w:tc>
          <w:tcPr>
            <w:tcW w:w="3511" w:type="dxa"/>
            <w:tcBorders>
              <w:top w:val="nil"/>
              <w:left w:val="nil"/>
              <w:bottom w:val="nil"/>
              <w:right w:val="nil"/>
            </w:tcBorders>
            <w:shd w:val="clear" w:color="auto" w:fill="auto"/>
            <w:noWrap/>
            <w:vAlign w:val="center"/>
            <w:hideMark/>
          </w:tcPr>
          <w:p w14:paraId="6A9187BB" w14:textId="77777777" w:rsidR="00F45D7F" w:rsidRPr="00F45D7F" w:rsidRDefault="00F45D7F" w:rsidP="002E4CDF">
            <w:pPr>
              <w:spacing w:after="0" w:line="240" w:lineRule="auto"/>
              <w:jc w:val="center"/>
              <w:rPr>
                <w:rFonts w:ascii="Times New Roman" w:eastAsia="Times New Roman" w:hAnsi="Times New Roman" w:cs="Times New Roman"/>
                <w:kern w:val="0"/>
                <w:sz w:val="20"/>
                <w:szCs w:val="20"/>
                <w:lang w:eastAsia="es-ES"/>
                <w14:ligatures w14:val="none"/>
              </w:rPr>
            </w:pPr>
          </w:p>
        </w:tc>
        <w:tc>
          <w:tcPr>
            <w:tcW w:w="2595" w:type="dxa"/>
            <w:tcBorders>
              <w:top w:val="nil"/>
              <w:left w:val="nil"/>
              <w:bottom w:val="nil"/>
              <w:right w:val="nil"/>
            </w:tcBorders>
            <w:shd w:val="clear" w:color="auto" w:fill="auto"/>
            <w:noWrap/>
            <w:vAlign w:val="center"/>
            <w:hideMark/>
          </w:tcPr>
          <w:p w14:paraId="6C11048C" w14:textId="77777777" w:rsidR="00F45D7F" w:rsidRPr="00F45D7F" w:rsidRDefault="00F45D7F" w:rsidP="002E4CDF">
            <w:pPr>
              <w:spacing w:after="0" w:line="240" w:lineRule="auto"/>
              <w:jc w:val="center"/>
              <w:rPr>
                <w:rFonts w:ascii="Times New Roman" w:eastAsia="Times New Roman" w:hAnsi="Times New Roman" w:cs="Times New Roman"/>
                <w:kern w:val="0"/>
                <w:sz w:val="20"/>
                <w:szCs w:val="20"/>
                <w:lang w:eastAsia="es-ES"/>
                <w14:ligatures w14:val="none"/>
              </w:rPr>
            </w:pPr>
          </w:p>
        </w:tc>
        <w:tc>
          <w:tcPr>
            <w:tcW w:w="2006" w:type="dxa"/>
            <w:tcBorders>
              <w:top w:val="nil"/>
              <w:left w:val="nil"/>
              <w:bottom w:val="nil"/>
              <w:right w:val="nil"/>
            </w:tcBorders>
            <w:shd w:val="clear" w:color="auto" w:fill="auto"/>
            <w:noWrap/>
            <w:vAlign w:val="center"/>
            <w:hideMark/>
          </w:tcPr>
          <w:p w14:paraId="63E8531D" w14:textId="77777777" w:rsidR="00F45D7F" w:rsidRPr="00F45D7F" w:rsidRDefault="00F45D7F" w:rsidP="002E4CDF">
            <w:pPr>
              <w:spacing w:after="0" w:line="240" w:lineRule="auto"/>
              <w:jc w:val="center"/>
              <w:rPr>
                <w:rFonts w:ascii="Times New Roman" w:eastAsia="Times New Roman" w:hAnsi="Times New Roman" w:cs="Times New Roman"/>
                <w:kern w:val="0"/>
                <w:sz w:val="20"/>
                <w:szCs w:val="20"/>
                <w:lang w:eastAsia="es-ES"/>
                <w14:ligatures w14:val="none"/>
              </w:rPr>
            </w:pPr>
          </w:p>
        </w:tc>
      </w:tr>
      <w:tr w:rsidR="002E4CDF" w:rsidRPr="00F45D7F" w14:paraId="76A36D15" w14:textId="77777777" w:rsidTr="002E4CDF">
        <w:trPr>
          <w:trHeight w:val="245"/>
          <w:jc w:val="center"/>
        </w:trPr>
        <w:tc>
          <w:tcPr>
            <w:tcW w:w="3129" w:type="dxa"/>
            <w:tcBorders>
              <w:top w:val="single" w:sz="4" w:space="0" w:color="auto"/>
              <w:left w:val="single" w:sz="4" w:space="0" w:color="auto"/>
              <w:bottom w:val="single" w:sz="4" w:space="0" w:color="auto"/>
              <w:right w:val="single" w:sz="4" w:space="0" w:color="auto"/>
            </w:tcBorders>
            <w:shd w:val="clear" w:color="000000" w:fill="000779"/>
            <w:noWrap/>
            <w:vAlign w:val="center"/>
            <w:hideMark/>
          </w:tcPr>
          <w:p w14:paraId="61B006F5" w14:textId="46BEA0C2"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p>
        </w:tc>
        <w:tc>
          <w:tcPr>
            <w:tcW w:w="3511" w:type="dxa"/>
            <w:tcBorders>
              <w:top w:val="single" w:sz="4" w:space="0" w:color="auto"/>
              <w:left w:val="nil"/>
              <w:bottom w:val="nil"/>
              <w:right w:val="single" w:sz="4" w:space="0" w:color="auto"/>
            </w:tcBorders>
            <w:shd w:val="clear" w:color="000000" w:fill="000779"/>
            <w:noWrap/>
            <w:vAlign w:val="center"/>
            <w:hideMark/>
          </w:tcPr>
          <w:p w14:paraId="3907DF10"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EV</w:t>
            </w:r>
          </w:p>
        </w:tc>
        <w:tc>
          <w:tcPr>
            <w:tcW w:w="2595" w:type="dxa"/>
            <w:tcBorders>
              <w:top w:val="single" w:sz="4" w:space="0" w:color="auto"/>
              <w:left w:val="nil"/>
              <w:bottom w:val="nil"/>
              <w:right w:val="single" w:sz="4" w:space="0" w:color="auto"/>
            </w:tcBorders>
            <w:shd w:val="clear" w:color="000000" w:fill="000779"/>
            <w:noWrap/>
            <w:vAlign w:val="center"/>
            <w:hideMark/>
          </w:tcPr>
          <w:p w14:paraId="7E053E87"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Beta</w:t>
            </w:r>
          </w:p>
        </w:tc>
        <w:tc>
          <w:tcPr>
            <w:tcW w:w="2006" w:type="dxa"/>
            <w:tcBorders>
              <w:top w:val="single" w:sz="4" w:space="0" w:color="auto"/>
              <w:left w:val="nil"/>
              <w:bottom w:val="nil"/>
              <w:right w:val="single" w:sz="4" w:space="0" w:color="auto"/>
            </w:tcBorders>
            <w:shd w:val="clear" w:color="000000" w:fill="000779"/>
            <w:noWrap/>
            <w:vAlign w:val="center"/>
            <w:hideMark/>
          </w:tcPr>
          <w:p w14:paraId="2A3CB974"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Volumen Promedio</w:t>
            </w:r>
          </w:p>
        </w:tc>
      </w:tr>
      <w:tr w:rsidR="002E4CDF" w:rsidRPr="00F45D7F" w14:paraId="7F5A3467" w14:textId="77777777" w:rsidTr="002E4CDF">
        <w:trPr>
          <w:trHeight w:val="252"/>
          <w:jc w:val="center"/>
        </w:trPr>
        <w:tc>
          <w:tcPr>
            <w:tcW w:w="3129" w:type="dxa"/>
            <w:tcBorders>
              <w:top w:val="nil"/>
              <w:left w:val="single" w:sz="4" w:space="0" w:color="auto"/>
              <w:bottom w:val="single" w:sz="4" w:space="0" w:color="auto"/>
              <w:right w:val="single" w:sz="4" w:space="0" w:color="auto"/>
            </w:tcBorders>
            <w:shd w:val="clear" w:color="000000" w:fill="000779"/>
            <w:noWrap/>
            <w:vAlign w:val="center"/>
            <w:hideMark/>
          </w:tcPr>
          <w:p w14:paraId="769CA594"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Promedio de las 36 acciones</w:t>
            </w:r>
          </w:p>
        </w:tc>
        <w:tc>
          <w:tcPr>
            <w:tcW w:w="3511" w:type="dxa"/>
            <w:tcBorders>
              <w:top w:val="single" w:sz="4" w:space="0" w:color="auto"/>
              <w:left w:val="nil"/>
              <w:bottom w:val="single" w:sz="4" w:space="0" w:color="auto"/>
              <w:right w:val="single" w:sz="4" w:space="0" w:color="auto"/>
            </w:tcBorders>
            <w:shd w:val="clear" w:color="000000" w:fill="DAE9F8"/>
            <w:noWrap/>
            <w:vAlign w:val="bottom"/>
            <w:hideMark/>
          </w:tcPr>
          <w:p w14:paraId="72890EC8"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117.532.319.659 €</w:t>
            </w:r>
          </w:p>
        </w:tc>
        <w:tc>
          <w:tcPr>
            <w:tcW w:w="2595" w:type="dxa"/>
            <w:tcBorders>
              <w:top w:val="single" w:sz="4" w:space="0" w:color="auto"/>
              <w:left w:val="nil"/>
              <w:bottom w:val="single" w:sz="4" w:space="0" w:color="auto"/>
              <w:right w:val="single" w:sz="4" w:space="0" w:color="auto"/>
            </w:tcBorders>
            <w:shd w:val="clear" w:color="000000" w:fill="DAE9F8"/>
            <w:noWrap/>
            <w:vAlign w:val="bottom"/>
            <w:hideMark/>
          </w:tcPr>
          <w:p w14:paraId="0F08FDC7"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1,09</w:t>
            </w:r>
          </w:p>
        </w:tc>
        <w:tc>
          <w:tcPr>
            <w:tcW w:w="2006" w:type="dxa"/>
            <w:tcBorders>
              <w:top w:val="single" w:sz="4" w:space="0" w:color="auto"/>
              <w:left w:val="nil"/>
              <w:bottom w:val="single" w:sz="4" w:space="0" w:color="auto"/>
              <w:right w:val="single" w:sz="4" w:space="0" w:color="auto"/>
            </w:tcBorders>
            <w:shd w:val="clear" w:color="000000" w:fill="DAE9F8"/>
            <w:noWrap/>
            <w:vAlign w:val="bottom"/>
            <w:hideMark/>
          </w:tcPr>
          <w:p w14:paraId="66FC7D27" w14:textId="59D3F4D9"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5.395.557,03 €</w:t>
            </w:r>
          </w:p>
        </w:tc>
      </w:tr>
      <w:tr w:rsidR="002E4CDF" w:rsidRPr="00F45D7F" w14:paraId="2FAF576B" w14:textId="77777777" w:rsidTr="002E4CDF">
        <w:trPr>
          <w:trHeight w:val="147"/>
          <w:jc w:val="center"/>
        </w:trPr>
        <w:tc>
          <w:tcPr>
            <w:tcW w:w="3129" w:type="dxa"/>
            <w:tcBorders>
              <w:top w:val="nil"/>
              <w:left w:val="single" w:sz="4" w:space="0" w:color="auto"/>
              <w:bottom w:val="single" w:sz="4" w:space="0" w:color="auto"/>
              <w:right w:val="single" w:sz="4" w:space="0" w:color="auto"/>
            </w:tcBorders>
            <w:shd w:val="clear" w:color="000000" w:fill="000779"/>
            <w:noWrap/>
            <w:vAlign w:val="center"/>
            <w:hideMark/>
          </w:tcPr>
          <w:p w14:paraId="4299618F"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Promedio del S&amp;P500</w:t>
            </w:r>
          </w:p>
        </w:tc>
        <w:tc>
          <w:tcPr>
            <w:tcW w:w="3511" w:type="dxa"/>
            <w:tcBorders>
              <w:top w:val="nil"/>
              <w:left w:val="nil"/>
              <w:bottom w:val="single" w:sz="4" w:space="0" w:color="auto"/>
              <w:right w:val="single" w:sz="4" w:space="0" w:color="auto"/>
            </w:tcBorders>
            <w:shd w:val="clear" w:color="000000" w:fill="DAE9F8"/>
            <w:noWrap/>
            <w:vAlign w:val="center"/>
            <w:hideMark/>
          </w:tcPr>
          <w:p w14:paraId="11407475"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104.528.962.962 €</w:t>
            </w:r>
          </w:p>
        </w:tc>
        <w:tc>
          <w:tcPr>
            <w:tcW w:w="2595" w:type="dxa"/>
            <w:tcBorders>
              <w:top w:val="nil"/>
              <w:left w:val="nil"/>
              <w:bottom w:val="single" w:sz="4" w:space="0" w:color="auto"/>
              <w:right w:val="single" w:sz="4" w:space="0" w:color="auto"/>
            </w:tcBorders>
            <w:shd w:val="clear" w:color="000000" w:fill="DAE9F8"/>
            <w:noWrap/>
            <w:vAlign w:val="center"/>
            <w:hideMark/>
          </w:tcPr>
          <w:p w14:paraId="70C0673F"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1,06</w:t>
            </w:r>
          </w:p>
        </w:tc>
        <w:tc>
          <w:tcPr>
            <w:tcW w:w="2006" w:type="dxa"/>
            <w:tcBorders>
              <w:top w:val="nil"/>
              <w:left w:val="nil"/>
              <w:bottom w:val="single" w:sz="4" w:space="0" w:color="auto"/>
              <w:right w:val="single" w:sz="4" w:space="0" w:color="auto"/>
            </w:tcBorders>
            <w:shd w:val="clear" w:color="000000" w:fill="DAE9F8"/>
            <w:noWrap/>
            <w:vAlign w:val="center"/>
            <w:hideMark/>
          </w:tcPr>
          <w:p w14:paraId="2045C550" w14:textId="45BCAB4D"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4.767.753,25 €</w:t>
            </w:r>
          </w:p>
        </w:tc>
      </w:tr>
      <w:tr w:rsidR="002E4CDF" w:rsidRPr="00F45D7F" w14:paraId="4F73B455" w14:textId="77777777" w:rsidTr="002E4CDF">
        <w:trPr>
          <w:trHeight w:val="74"/>
          <w:jc w:val="center"/>
        </w:trPr>
        <w:tc>
          <w:tcPr>
            <w:tcW w:w="3129" w:type="dxa"/>
            <w:tcBorders>
              <w:top w:val="nil"/>
              <w:left w:val="nil"/>
              <w:bottom w:val="nil"/>
              <w:right w:val="nil"/>
            </w:tcBorders>
            <w:shd w:val="clear" w:color="auto" w:fill="auto"/>
            <w:noWrap/>
            <w:vAlign w:val="bottom"/>
            <w:hideMark/>
          </w:tcPr>
          <w:p w14:paraId="74B9770A"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p>
        </w:tc>
        <w:tc>
          <w:tcPr>
            <w:tcW w:w="3511" w:type="dxa"/>
            <w:tcBorders>
              <w:top w:val="nil"/>
              <w:left w:val="nil"/>
              <w:bottom w:val="nil"/>
              <w:right w:val="nil"/>
            </w:tcBorders>
            <w:shd w:val="clear" w:color="auto" w:fill="auto"/>
            <w:noWrap/>
            <w:vAlign w:val="bottom"/>
            <w:hideMark/>
          </w:tcPr>
          <w:p w14:paraId="0A18AC4D" w14:textId="77777777" w:rsidR="00F45D7F" w:rsidRPr="00F45D7F" w:rsidRDefault="00F45D7F" w:rsidP="002E4CDF">
            <w:pPr>
              <w:spacing w:after="0" w:line="240" w:lineRule="auto"/>
              <w:jc w:val="center"/>
              <w:rPr>
                <w:rFonts w:ascii="Times New Roman" w:eastAsia="Times New Roman" w:hAnsi="Times New Roman" w:cs="Times New Roman"/>
                <w:kern w:val="0"/>
                <w:sz w:val="20"/>
                <w:szCs w:val="20"/>
                <w:lang w:eastAsia="es-ES"/>
                <w14:ligatures w14:val="none"/>
              </w:rPr>
            </w:pPr>
          </w:p>
        </w:tc>
        <w:tc>
          <w:tcPr>
            <w:tcW w:w="2595" w:type="dxa"/>
            <w:tcBorders>
              <w:top w:val="nil"/>
              <w:left w:val="nil"/>
              <w:bottom w:val="nil"/>
              <w:right w:val="nil"/>
            </w:tcBorders>
            <w:shd w:val="clear" w:color="auto" w:fill="auto"/>
            <w:noWrap/>
            <w:vAlign w:val="bottom"/>
            <w:hideMark/>
          </w:tcPr>
          <w:p w14:paraId="6F96CE93" w14:textId="77777777" w:rsidR="00F45D7F" w:rsidRPr="00F45D7F" w:rsidRDefault="00F45D7F" w:rsidP="002E4CDF">
            <w:pPr>
              <w:spacing w:after="0" w:line="240" w:lineRule="auto"/>
              <w:jc w:val="center"/>
              <w:rPr>
                <w:rFonts w:ascii="Times New Roman" w:eastAsia="Times New Roman" w:hAnsi="Times New Roman" w:cs="Times New Roman"/>
                <w:kern w:val="0"/>
                <w:sz w:val="20"/>
                <w:szCs w:val="20"/>
                <w:lang w:eastAsia="es-ES"/>
                <w14:ligatures w14:val="none"/>
              </w:rPr>
            </w:pPr>
          </w:p>
        </w:tc>
        <w:tc>
          <w:tcPr>
            <w:tcW w:w="2006" w:type="dxa"/>
            <w:tcBorders>
              <w:top w:val="nil"/>
              <w:left w:val="nil"/>
              <w:bottom w:val="nil"/>
              <w:right w:val="nil"/>
            </w:tcBorders>
            <w:shd w:val="clear" w:color="auto" w:fill="auto"/>
            <w:noWrap/>
            <w:vAlign w:val="bottom"/>
            <w:hideMark/>
          </w:tcPr>
          <w:p w14:paraId="077FDDFC" w14:textId="77777777" w:rsidR="00F45D7F" w:rsidRPr="00F45D7F" w:rsidRDefault="00F45D7F" w:rsidP="002E4CDF">
            <w:pPr>
              <w:spacing w:after="0" w:line="240" w:lineRule="auto"/>
              <w:jc w:val="center"/>
              <w:rPr>
                <w:rFonts w:ascii="Times New Roman" w:eastAsia="Times New Roman" w:hAnsi="Times New Roman" w:cs="Times New Roman"/>
                <w:kern w:val="0"/>
                <w:sz w:val="20"/>
                <w:szCs w:val="20"/>
                <w:lang w:eastAsia="es-ES"/>
                <w14:ligatures w14:val="none"/>
              </w:rPr>
            </w:pPr>
          </w:p>
        </w:tc>
      </w:tr>
      <w:tr w:rsidR="002E4CDF" w:rsidRPr="00F45D7F" w14:paraId="584C5D27" w14:textId="77777777" w:rsidTr="002E4CDF">
        <w:trPr>
          <w:trHeight w:val="78"/>
          <w:jc w:val="center"/>
        </w:trPr>
        <w:tc>
          <w:tcPr>
            <w:tcW w:w="3129" w:type="dxa"/>
            <w:tcBorders>
              <w:top w:val="single" w:sz="4" w:space="0" w:color="auto"/>
              <w:left w:val="single" w:sz="4" w:space="0" w:color="auto"/>
              <w:bottom w:val="single" w:sz="4" w:space="0" w:color="auto"/>
              <w:right w:val="single" w:sz="4" w:space="0" w:color="auto"/>
            </w:tcBorders>
            <w:shd w:val="clear" w:color="000000" w:fill="000779"/>
            <w:noWrap/>
            <w:vAlign w:val="center"/>
            <w:hideMark/>
          </w:tcPr>
          <w:p w14:paraId="24DA0C07" w14:textId="72048E20"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p>
        </w:tc>
        <w:tc>
          <w:tcPr>
            <w:tcW w:w="3511" w:type="dxa"/>
            <w:tcBorders>
              <w:top w:val="single" w:sz="4" w:space="0" w:color="auto"/>
              <w:left w:val="nil"/>
              <w:bottom w:val="nil"/>
              <w:right w:val="single" w:sz="4" w:space="0" w:color="auto"/>
            </w:tcBorders>
            <w:shd w:val="clear" w:color="000000" w:fill="000779"/>
            <w:noWrap/>
            <w:vAlign w:val="center"/>
            <w:hideMark/>
          </w:tcPr>
          <w:p w14:paraId="5C0C38A4"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 de propiedad de las "Big 3"</w:t>
            </w:r>
          </w:p>
        </w:tc>
        <w:tc>
          <w:tcPr>
            <w:tcW w:w="2595" w:type="dxa"/>
            <w:tcBorders>
              <w:top w:val="single" w:sz="4" w:space="0" w:color="auto"/>
              <w:left w:val="nil"/>
              <w:bottom w:val="nil"/>
              <w:right w:val="single" w:sz="4" w:space="0" w:color="auto"/>
            </w:tcBorders>
            <w:shd w:val="clear" w:color="000000" w:fill="000779"/>
            <w:noWrap/>
            <w:vAlign w:val="center"/>
            <w:hideMark/>
          </w:tcPr>
          <w:p w14:paraId="5BE5CC16"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Volatilidad Anual</w:t>
            </w:r>
          </w:p>
        </w:tc>
        <w:tc>
          <w:tcPr>
            <w:tcW w:w="2006" w:type="dxa"/>
            <w:tcBorders>
              <w:top w:val="single" w:sz="4" w:space="0" w:color="auto"/>
              <w:left w:val="nil"/>
              <w:bottom w:val="nil"/>
              <w:right w:val="single" w:sz="4" w:space="0" w:color="auto"/>
            </w:tcBorders>
            <w:shd w:val="clear" w:color="000000" w:fill="000779"/>
            <w:noWrap/>
            <w:vAlign w:val="center"/>
            <w:hideMark/>
          </w:tcPr>
          <w:p w14:paraId="19D34009"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BPA</w:t>
            </w:r>
          </w:p>
        </w:tc>
      </w:tr>
      <w:tr w:rsidR="002E4CDF" w:rsidRPr="00F45D7F" w14:paraId="3CA88257" w14:textId="77777777" w:rsidTr="002E4CDF">
        <w:trPr>
          <w:trHeight w:val="78"/>
          <w:jc w:val="center"/>
        </w:trPr>
        <w:tc>
          <w:tcPr>
            <w:tcW w:w="3129" w:type="dxa"/>
            <w:tcBorders>
              <w:top w:val="nil"/>
              <w:left w:val="single" w:sz="4" w:space="0" w:color="auto"/>
              <w:bottom w:val="single" w:sz="4" w:space="0" w:color="auto"/>
              <w:right w:val="single" w:sz="4" w:space="0" w:color="auto"/>
            </w:tcBorders>
            <w:shd w:val="clear" w:color="000000" w:fill="000779"/>
            <w:noWrap/>
            <w:vAlign w:val="center"/>
            <w:hideMark/>
          </w:tcPr>
          <w:p w14:paraId="049E90BD"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Promedio de las 36 acciones</w:t>
            </w:r>
          </w:p>
        </w:tc>
        <w:tc>
          <w:tcPr>
            <w:tcW w:w="3511" w:type="dxa"/>
            <w:tcBorders>
              <w:top w:val="single" w:sz="4" w:space="0" w:color="auto"/>
              <w:left w:val="nil"/>
              <w:bottom w:val="single" w:sz="4" w:space="0" w:color="auto"/>
              <w:right w:val="single" w:sz="4" w:space="0" w:color="auto"/>
            </w:tcBorders>
            <w:shd w:val="clear" w:color="000000" w:fill="DAE9F8"/>
            <w:noWrap/>
            <w:vAlign w:val="bottom"/>
            <w:hideMark/>
          </w:tcPr>
          <w:p w14:paraId="522367E5"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26%</w:t>
            </w:r>
          </w:p>
        </w:tc>
        <w:tc>
          <w:tcPr>
            <w:tcW w:w="2595" w:type="dxa"/>
            <w:tcBorders>
              <w:top w:val="single" w:sz="4" w:space="0" w:color="auto"/>
              <w:left w:val="nil"/>
              <w:bottom w:val="single" w:sz="4" w:space="0" w:color="auto"/>
              <w:right w:val="single" w:sz="4" w:space="0" w:color="auto"/>
            </w:tcBorders>
            <w:shd w:val="clear" w:color="000000" w:fill="DAE9F8"/>
            <w:noWrap/>
            <w:vAlign w:val="bottom"/>
            <w:hideMark/>
          </w:tcPr>
          <w:p w14:paraId="33558FBD"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25,0%</w:t>
            </w:r>
          </w:p>
        </w:tc>
        <w:tc>
          <w:tcPr>
            <w:tcW w:w="2006" w:type="dxa"/>
            <w:tcBorders>
              <w:top w:val="single" w:sz="4" w:space="0" w:color="auto"/>
              <w:left w:val="nil"/>
              <w:bottom w:val="single" w:sz="4" w:space="0" w:color="auto"/>
              <w:right w:val="single" w:sz="4" w:space="0" w:color="auto"/>
            </w:tcBorders>
            <w:shd w:val="clear" w:color="000000" w:fill="DAE9F8"/>
            <w:noWrap/>
            <w:vAlign w:val="center"/>
            <w:hideMark/>
          </w:tcPr>
          <w:p w14:paraId="74780D70"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118,32</w:t>
            </w:r>
          </w:p>
        </w:tc>
      </w:tr>
      <w:tr w:rsidR="002E4CDF" w:rsidRPr="00F45D7F" w14:paraId="2ABE0E0B" w14:textId="77777777" w:rsidTr="002E4CDF">
        <w:trPr>
          <w:trHeight w:val="66"/>
          <w:jc w:val="center"/>
        </w:trPr>
        <w:tc>
          <w:tcPr>
            <w:tcW w:w="3129" w:type="dxa"/>
            <w:tcBorders>
              <w:top w:val="nil"/>
              <w:left w:val="single" w:sz="4" w:space="0" w:color="auto"/>
              <w:bottom w:val="single" w:sz="4" w:space="0" w:color="auto"/>
              <w:right w:val="single" w:sz="4" w:space="0" w:color="auto"/>
            </w:tcBorders>
            <w:shd w:val="clear" w:color="000000" w:fill="000779"/>
            <w:noWrap/>
            <w:vAlign w:val="center"/>
            <w:hideMark/>
          </w:tcPr>
          <w:p w14:paraId="279D18CD" w14:textId="77777777" w:rsidR="00F45D7F" w:rsidRPr="00F45D7F" w:rsidRDefault="00F45D7F" w:rsidP="002E4CDF">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F45D7F">
              <w:rPr>
                <w:rFonts w:ascii="Times New Roman" w:eastAsia="Times New Roman" w:hAnsi="Times New Roman" w:cs="Times New Roman"/>
                <w:color w:val="FFFFFF"/>
                <w:kern w:val="0"/>
                <w:sz w:val="24"/>
                <w:szCs w:val="24"/>
                <w:lang w:eastAsia="es-ES"/>
                <w14:ligatures w14:val="none"/>
              </w:rPr>
              <w:t>Promedio del S&amp;P500</w:t>
            </w:r>
          </w:p>
        </w:tc>
        <w:tc>
          <w:tcPr>
            <w:tcW w:w="3511" w:type="dxa"/>
            <w:tcBorders>
              <w:top w:val="nil"/>
              <w:left w:val="nil"/>
              <w:bottom w:val="single" w:sz="4" w:space="0" w:color="auto"/>
              <w:right w:val="single" w:sz="4" w:space="0" w:color="auto"/>
            </w:tcBorders>
            <w:shd w:val="clear" w:color="000000" w:fill="DAE9F8"/>
            <w:noWrap/>
            <w:vAlign w:val="center"/>
            <w:hideMark/>
          </w:tcPr>
          <w:p w14:paraId="50CD381A"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23%</w:t>
            </w:r>
          </w:p>
        </w:tc>
        <w:tc>
          <w:tcPr>
            <w:tcW w:w="2595" w:type="dxa"/>
            <w:tcBorders>
              <w:top w:val="nil"/>
              <w:left w:val="nil"/>
              <w:bottom w:val="single" w:sz="4" w:space="0" w:color="auto"/>
              <w:right w:val="single" w:sz="4" w:space="0" w:color="auto"/>
            </w:tcBorders>
            <w:shd w:val="clear" w:color="000000" w:fill="DAE9F8"/>
            <w:noWrap/>
            <w:vAlign w:val="center"/>
            <w:hideMark/>
          </w:tcPr>
          <w:p w14:paraId="6BEE3028"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26,3%</w:t>
            </w:r>
          </w:p>
        </w:tc>
        <w:tc>
          <w:tcPr>
            <w:tcW w:w="2006" w:type="dxa"/>
            <w:tcBorders>
              <w:top w:val="nil"/>
              <w:left w:val="nil"/>
              <w:bottom w:val="single" w:sz="4" w:space="0" w:color="auto"/>
              <w:right w:val="single" w:sz="4" w:space="0" w:color="auto"/>
            </w:tcBorders>
            <w:shd w:val="clear" w:color="000000" w:fill="DAE9F8"/>
            <w:noWrap/>
            <w:vAlign w:val="center"/>
            <w:hideMark/>
          </w:tcPr>
          <w:p w14:paraId="2BBA7242" w14:textId="77777777" w:rsidR="00F45D7F" w:rsidRPr="00F45D7F" w:rsidRDefault="00F45D7F" w:rsidP="002E4CDF">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F45D7F">
              <w:rPr>
                <w:rFonts w:ascii="Times New Roman" w:eastAsia="Times New Roman" w:hAnsi="Times New Roman" w:cs="Times New Roman"/>
                <w:color w:val="000000"/>
                <w:kern w:val="0"/>
                <w:sz w:val="24"/>
                <w:szCs w:val="24"/>
                <w:lang w:eastAsia="es-ES"/>
                <w14:ligatures w14:val="none"/>
              </w:rPr>
              <w:t>87,71</w:t>
            </w:r>
          </w:p>
        </w:tc>
      </w:tr>
    </w:tbl>
    <w:p w14:paraId="5D1E8D49" w14:textId="77777777" w:rsidR="002E4CDF" w:rsidRDefault="002E4CDF" w:rsidP="00F3274D">
      <w:pPr>
        <w:spacing w:line="360" w:lineRule="auto"/>
        <w:jc w:val="both"/>
        <w:rPr>
          <w:rFonts w:ascii="Times New Roman" w:eastAsiaTheme="minorEastAsia" w:hAnsi="Times New Roman" w:cs="Times New Roman"/>
          <w:sz w:val="24"/>
          <w:szCs w:val="24"/>
          <w:lang w:eastAsia="es-ES"/>
        </w:rPr>
      </w:pPr>
    </w:p>
    <w:p w14:paraId="2D2186EB" w14:textId="32936F38" w:rsidR="003062C2" w:rsidRPr="001449FE" w:rsidRDefault="003062C2" w:rsidP="00F3274D">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Comenzando con los múltiplos de valoración, </w:t>
      </w:r>
      <w:proofErr w:type="gramStart"/>
      <w:r w:rsidR="00306B59" w:rsidRPr="00306B59">
        <w:rPr>
          <w:rFonts w:ascii="Times New Roman" w:eastAsiaTheme="minorEastAsia" w:hAnsi="Times New Roman" w:cs="Times New Roman"/>
          <w:sz w:val="24"/>
          <w:szCs w:val="24"/>
          <w:lang w:eastAsia="es-ES"/>
        </w:rPr>
        <w:t>el ratio</w:t>
      </w:r>
      <w:proofErr w:type="gramEnd"/>
      <w:r>
        <w:rPr>
          <w:rFonts w:ascii="Times New Roman" w:eastAsiaTheme="minorEastAsia" w:hAnsi="Times New Roman" w:cs="Times New Roman"/>
          <w:sz w:val="24"/>
          <w:szCs w:val="24"/>
          <w:lang w:eastAsia="es-ES"/>
        </w:rPr>
        <w:t xml:space="preserve"> </w:t>
      </w:r>
      <w:r w:rsidR="00306B59" w:rsidRPr="00306B59">
        <w:rPr>
          <w:rFonts w:ascii="Times New Roman" w:eastAsiaTheme="minorEastAsia" w:hAnsi="Times New Roman" w:cs="Times New Roman"/>
          <w:sz w:val="24"/>
          <w:szCs w:val="24"/>
          <w:lang w:eastAsia="es-ES"/>
        </w:rPr>
        <w:t>precio/valor contable (Price/Book ratio)</w:t>
      </w:r>
      <w:r>
        <w:rPr>
          <w:rFonts w:ascii="Times New Roman" w:eastAsiaTheme="minorEastAsia" w:hAnsi="Times New Roman" w:cs="Times New Roman"/>
          <w:sz w:val="24"/>
          <w:szCs w:val="24"/>
          <w:lang w:eastAsia="es-ES"/>
        </w:rPr>
        <w:t xml:space="preserve"> promedio</w:t>
      </w:r>
      <w:r w:rsidR="00306B59" w:rsidRPr="00306B59">
        <w:rPr>
          <w:rFonts w:ascii="Times New Roman" w:eastAsiaTheme="minorEastAsia" w:hAnsi="Times New Roman" w:cs="Times New Roman"/>
          <w:sz w:val="24"/>
          <w:szCs w:val="24"/>
          <w:lang w:eastAsia="es-ES"/>
        </w:rPr>
        <w:t xml:space="preserve"> de las 36 acciones sensibles a los flujos monetarios hacia los ETFs </w:t>
      </w:r>
      <w:r>
        <w:rPr>
          <w:rFonts w:ascii="Times New Roman" w:eastAsiaTheme="minorEastAsia" w:hAnsi="Times New Roman" w:cs="Times New Roman"/>
          <w:sz w:val="24"/>
          <w:szCs w:val="24"/>
          <w:lang w:eastAsia="es-ES"/>
        </w:rPr>
        <w:t xml:space="preserve">es </w:t>
      </w:r>
      <w:r w:rsidR="00306B59" w:rsidRPr="00306B59">
        <w:rPr>
          <w:rFonts w:ascii="Times New Roman" w:eastAsiaTheme="minorEastAsia" w:hAnsi="Times New Roman" w:cs="Times New Roman"/>
          <w:sz w:val="24"/>
          <w:szCs w:val="24"/>
          <w:lang w:eastAsia="es-ES"/>
        </w:rPr>
        <w:t>de 17, mientras que la media del S&amp;P 500 es de 11.</w:t>
      </w:r>
      <w:r w:rsidR="00D411AB">
        <w:rPr>
          <w:rFonts w:ascii="Times New Roman" w:eastAsiaTheme="minorEastAsia" w:hAnsi="Times New Roman" w:cs="Times New Roman"/>
          <w:sz w:val="24"/>
          <w:szCs w:val="24"/>
          <w:lang w:eastAsia="es-ES"/>
        </w:rPr>
        <w:t xml:space="preserve"> Esto implica una diferencia del 54%. </w:t>
      </w:r>
      <w:r>
        <w:rPr>
          <w:rFonts w:ascii="Times New Roman" w:eastAsiaTheme="minorEastAsia" w:hAnsi="Times New Roman" w:cs="Times New Roman"/>
          <w:sz w:val="24"/>
          <w:szCs w:val="24"/>
          <w:lang w:eastAsia="es-ES"/>
        </w:rPr>
        <w:t xml:space="preserve">Habitualmente, un </w:t>
      </w:r>
      <w:proofErr w:type="gramStart"/>
      <w:r>
        <w:rPr>
          <w:rFonts w:ascii="Times New Roman" w:eastAsiaTheme="minorEastAsia" w:hAnsi="Times New Roman" w:cs="Times New Roman"/>
          <w:sz w:val="24"/>
          <w:szCs w:val="24"/>
          <w:lang w:eastAsia="es-ES"/>
        </w:rPr>
        <w:t>ratio más elevado</w:t>
      </w:r>
      <w:proofErr w:type="gramEnd"/>
      <w:r>
        <w:rPr>
          <w:rFonts w:ascii="Times New Roman" w:eastAsiaTheme="minorEastAsia" w:hAnsi="Times New Roman" w:cs="Times New Roman"/>
          <w:sz w:val="24"/>
          <w:szCs w:val="24"/>
          <w:lang w:eastAsia="es-ES"/>
        </w:rPr>
        <w:t xml:space="preserve"> está asociado a empresas de mayor crecimiento o con grandes expectativas de rendimiento a futuro. </w:t>
      </w:r>
      <w:proofErr w:type="gramStart"/>
      <w:r w:rsidRPr="003062C2">
        <w:rPr>
          <w:rFonts w:ascii="Times New Roman" w:eastAsiaTheme="minorEastAsia" w:hAnsi="Times New Roman" w:cs="Times New Roman"/>
          <w:sz w:val="24"/>
          <w:szCs w:val="24"/>
          <w:lang w:eastAsia="es-ES"/>
        </w:rPr>
        <w:t>El ratio</w:t>
      </w:r>
      <w:proofErr w:type="gramEnd"/>
      <w:r w:rsidRPr="003062C2">
        <w:rPr>
          <w:rFonts w:ascii="Times New Roman" w:eastAsiaTheme="minorEastAsia" w:hAnsi="Times New Roman" w:cs="Times New Roman"/>
          <w:sz w:val="24"/>
          <w:szCs w:val="24"/>
          <w:lang w:eastAsia="es-ES"/>
        </w:rPr>
        <w:t xml:space="preserve"> P/E </w:t>
      </w:r>
      <w:r>
        <w:rPr>
          <w:rFonts w:ascii="Times New Roman" w:eastAsiaTheme="minorEastAsia" w:hAnsi="Times New Roman" w:cs="Times New Roman"/>
          <w:sz w:val="24"/>
          <w:szCs w:val="24"/>
          <w:lang w:eastAsia="es-ES"/>
        </w:rPr>
        <w:t>no muestra una diferencia relevante entre ambos grupos de acciones.</w:t>
      </w:r>
    </w:p>
    <w:p w14:paraId="4A1BDF51" w14:textId="4E467C26" w:rsidR="00E0010E" w:rsidRDefault="004C75BD" w:rsidP="00F45D7F">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La rentabilidad por dividendo, la Beta y la volatilidad, no presentan diferencias notables con respecto a la media del S&amp;P 500.</w:t>
      </w:r>
    </w:p>
    <w:p w14:paraId="32A5283C" w14:textId="2F9ACD72" w:rsidR="00F45D7F" w:rsidRPr="00F45D7F" w:rsidRDefault="00E0010E" w:rsidP="00F45D7F">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La métrica EV y el volumen diario parecen estar alinead</w:t>
      </w:r>
      <w:r w:rsidR="004C75BD">
        <w:rPr>
          <w:rFonts w:ascii="Times New Roman" w:eastAsiaTheme="minorEastAsia" w:hAnsi="Times New Roman" w:cs="Times New Roman"/>
          <w:sz w:val="24"/>
          <w:szCs w:val="24"/>
          <w:lang w:eastAsia="es-ES"/>
        </w:rPr>
        <w:t>a</w:t>
      </w:r>
      <w:r>
        <w:rPr>
          <w:rFonts w:ascii="Times New Roman" w:eastAsiaTheme="minorEastAsia" w:hAnsi="Times New Roman" w:cs="Times New Roman"/>
          <w:sz w:val="24"/>
          <w:szCs w:val="24"/>
          <w:lang w:eastAsia="es-ES"/>
        </w:rPr>
        <w:t xml:space="preserve">s con lo concluido en el análisis del tamaño puesto que </w:t>
      </w:r>
      <w:r w:rsidR="004C75BD">
        <w:rPr>
          <w:rFonts w:ascii="Times New Roman" w:eastAsiaTheme="minorEastAsia" w:hAnsi="Times New Roman" w:cs="Times New Roman"/>
          <w:sz w:val="24"/>
          <w:szCs w:val="24"/>
          <w:lang w:eastAsia="es-ES"/>
        </w:rPr>
        <w:t xml:space="preserve">ambas </w:t>
      </w:r>
      <w:r>
        <w:rPr>
          <w:rFonts w:ascii="Times New Roman" w:eastAsiaTheme="minorEastAsia" w:hAnsi="Times New Roman" w:cs="Times New Roman"/>
          <w:sz w:val="24"/>
          <w:szCs w:val="24"/>
          <w:lang w:eastAsia="es-ES"/>
        </w:rPr>
        <w:t>muestra</w:t>
      </w:r>
      <w:r w:rsidR="004C75BD">
        <w:rPr>
          <w:rFonts w:ascii="Times New Roman" w:eastAsiaTheme="minorEastAsia" w:hAnsi="Times New Roman" w:cs="Times New Roman"/>
          <w:sz w:val="24"/>
          <w:szCs w:val="24"/>
          <w:lang w:eastAsia="es-ES"/>
        </w:rPr>
        <w:t>n</w:t>
      </w:r>
      <w:r>
        <w:rPr>
          <w:rFonts w:ascii="Times New Roman" w:eastAsiaTheme="minorEastAsia" w:hAnsi="Times New Roman" w:cs="Times New Roman"/>
          <w:sz w:val="24"/>
          <w:szCs w:val="24"/>
          <w:lang w:eastAsia="es-ES"/>
        </w:rPr>
        <w:t xml:space="preserve"> una diferencia de tamaño considerable en favor del grupo de 36 acciones.</w:t>
      </w:r>
    </w:p>
    <w:p w14:paraId="5AC7BB76" w14:textId="25955ED6" w:rsidR="002E4CDF" w:rsidRPr="002E4CDF" w:rsidRDefault="008F2FAD" w:rsidP="00F3274D">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Por último, e</w:t>
      </w:r>
      <w:r w:rsidR="00F45D7F" w:rsidRPr="00F45D7F">
        <w:rPr>
          <w:rFonts w:ascii="Times New Roman" w:eastAsiaTheme="minorEastAsia" w:hAnsi="Times New Roman" w:cs="Times New Roman"/>
          <w:sz w:val="24"/>
          <w:szCs w:val="24"/>
          <w:lang w:eastAsia="es-ES"/>
        </w:rPr>
        <w:t xml:space="preserve">l porcentaje de propiedad por parte de las tres grandes gestoras </w:t>
      </w:r>
      <w:r w:rsidR="006E71A6">
        <w:rPr>
          <w:rFonts w:ascii="Times New Roman" w:eastAsiaTheme="minorEastAsia" w:hAnsi="Times New Roman" w:cs="Times New Roman"/>
          <w:sz w:val="24"/>
          <w:szCs w:val="24"/>
          <w:lang w:eastAsia="es-ES"/>
        </w:rPr>
        <w:t xml:space="preserve">de fondos de gestión pasiva </w:t>
      </w:r>
      <w:r w:rsidR="00F45D7F" w:rsidRPr="00F45D7F">
        <w:rPr>
          <w:rFonts w:ascii="Times New Roman" w:eastAsiaTheme="minorEastAsia" w:hAnsi="Times New Roman" w:cs="Times New Roman"/>
          <w:sz w:val="24"/>
          <w:szCs w:val="24"/>
          <w:lang w:eastAsia="es-ES"/>
        </w:rPr>
        <w:t>(</w:t>
      </w:r>
      <w:proofErr w:type="spellStart"/>
      <w:r w:rsidR="00F45D7F" w:rsidRPr="00F45D7F">
        <w:rPr>
          <w:rFonts w:ascii="Times New Roman" w:eastAsiaTheme="minorEastAsia" w:hAnsi="Times New Roman" w:cs="Times New Roman"/>
          <w:sz w:val="24"/>
          <w:szCs w:val="24"/>
          <w:lang w:eastAsia="es-ES"/>
        </w:rPr>
        <w:t>BlackRock</w:t>
      </w:r>
      <w:proofErr w:type="spellEnd"/>
      <w:r w:rsidR="00F45D7F" w:rsidRPr="00F45D7F">
        <w:rPr>
          <w:rFonts w:ascii="Times New Roman" w:eastAsiaTheme="minorEastAsia" w:hAnsi="Times New Roman" w:cs="Times New Roman"/>
          <w:sz w:val="24"/>
          <w:szCs w:val="24"/>
          <w:lang w:eastAsia="es-ES"/>
        </w:rPr>
        <w:t xml:space="preserve">, </w:t>
      </w:r>
      <w:proofErr w:type="spellStart"/>
      <w:r w:rsidR="00F45D7F" w:rsidRPr="00F45D7F">
        <w:rPr>
          <w:rFonts w:ascii="Times New Roman" w:eastAsiaTheme="minorEastAsia" w:hAnsi="Times New Roman" w:cs="Times New Roman"/>
          <w:sz w:val="24"/>
          <w:szCs w:val="24"/>
          <w:lang w:eastAsia="es-ES"/>
        </w:rPr>
        <w:t>Vanguard</w:t>
      </w:r>
      <w:proofErr w:type="spellEnd"/>
      <w:r w:rsidR="00F45D7F" w:rsidRPr="00F45D7F">
        <w:rPr>
          <w:rFonts w:ascii="Times New Roman" w:eastAsiaTheme="minorEastAsia" w:hAnsi="Times New Roman" w:cs="Times New Roman"/>
          <w:sz w:val="24"/>
          <w:szCs w:val="24"/>
          <w:lang w:eastAsia="es-ES"/>
        </w:rPr>
        <w:t xml:space="preserve"> y </w:t>
      </w:r>
      <w:proofErr w:type="spellStart"/>
      <w:r w:rsidR="00F45D7F" w:rsidRPr="00F45D7F">
        <w:rPr>
          <w:rFonts w:ascii="Times New Roman" w:eastAsiaTheme="minorEastAsia" w:hAnsi="Times New Roman" w:cs="Times New Roman"/>
          <w:sz w:val="24"/>
          <w:szCs w:val="24"/>
          <w:lang w:eastAsia="es-ES"/>
        </w:rPr>
        <w:t>State</w:t>
      </w:r>
      <w:proofErr w:type="spellEnd"/>
      <w:r w:rsidR="00F45D7F" w:rsidRPr="00F45D7F">
        <w:rPr>
          <w:rFonts w:ascii="Times New Roman" w:eastAsiaTheme="minorEastAsia" w:hAnsi="Times New Roman" w:cs="Times New Roman"/>
          <w:sz w:val="24"/>
          <w:szCs w:val="24"/>
          <w:lang w:eastAsia="es-ES"/>
        </w:rPr>
        <w:t xml:space="preserve"> Street) es mayor en las 36 acciones (26%) en comparación con el promedio del S&amp;P 500 (23%)</w:t>
      </w:r>
      <w:r w:rsidR="006E71A6">
        <w:rPr>
          <w:rFonts w:ascii="Times New Roman" w:eastAsiaTheme="minorEastAsia" w:hAnsi="Times New Roman" w:cs="Times New Roman"/>
          <w:sz w:val="24"/>
          <w:szCs w:val="24"/>
          <w:lang w:eastAsia="es-ES"/>
        </w:rPr>
        <w:t xml:space="preserve">, un resultado muy coherente con </w:t>
      </w:r>
      <w:r w:rsidR="00130F3F">
        <w:rPr>
          <w:rFonts w:ascii="Times New Roman" w:eastAsiaTheme="minorEastAsia" w:hAnsi="Times New Roman" w:cs="Times New Roman"/>
          <w:sz w:val="24"/>
          <w:szCs w:val="24"/>
          <w:lang w:eastAsia="es-ES"/>
        </w:rPr>
        <w:t xml:space="preserve">el </w:t>
      </w:r>
      <w:r w:rsidR="006E71A6">
        <w:rPr>
          <w:rFonts w:ascii="Times New Roman" w:eastAsiaTheme="minorEastAsia" w:hAnsi="Times New Roman" w:cs="Times New Roman"/>
          <w:sz w:val="24"/>
          <w:szCs w:val="24"/>
          <w:lang w:eastAsia="es-ES"/>
        </w:rPr>
        <w:t>análisis realizado en el</w:t>
      </w:r>
      <w:r w:rsidR="00130F3F">
        <w:rPr>
          <w:rFonts w:ascii="Times New Roman" w:eastAsiaTheme="minorEastAsia" w:hAnsi="Times New Roman" w:cs="Times New Roman"/>
          <w:sz w:val="24"/>
          <w:szCs w:val="24"/>
          <w:lang w:eastAsia="es-ES"/>
        </w:rPr>
        <w:t xml:space="preserve"> apartado</w:t>
      </w:r>
      <w:r w:rsidR="006E71A6">
        <w:rPr>
          <w:rFonts w:ascii="Times New Roman" w:eastAsiaTheme="minorEastAsia" w:hAnsi="Times New Roman" w:cs="Times New Roman"/>
          <w:sz w:val="24"/>
          <w:szCs w:val="24"/>
          <w:lang w:eastAsia="es-ES"/>
        </w:rPr>
        <w:t xml:space="preserve"> anterior </w:t>
      </w:r>
      <w:r w:rsidR="002E4CDF">
        <w:rPr>
          <w:rFonts w:ascii="Times New Roman" w:eastAsiaTheme="minorEastAsia" w:hAnsi="Times New Roman" w:cs="Times New Roman"/>
          <w:sz w:val="24"/>
          <w:szCs w:val="24"/>
          <w:lang w:eastAsia="es-ES"/>
        </w:rPr>
        <w:t xml:space="preserve">y del que se puede intuir que una mayor presencia actores insensibles a los precios genera a su vez que nuevos flujos de capital </w:t>
      </w:r>
      <w:r w:rsidR="009663C8">
        <w:rPr>
          <w:rFonts w:ascii="Times New Roman" w:eastAsiaTheme="minorEastAsia" w:hAnsi="Times New Roman" w:cs="Times New Roman"/>
          <w:sz w:val="24"/>
          <w:szCs w:val="24"/>
          <w:lang w:eastAsia="es-ES"/>
        </w:rPr>
        <w:t>los cuales</w:t>
      </w:r>
      <w:r w:rsidR="002E4CDF">
        <w:rPr>
          <w:rFonts w:ascii="Times New Roman" w:eastAsiaTheme="minorEastAsia" w:hAnsi="Times New Roman" w:cs="Times New Roman"/>
          <w:sz w:val="24"/>
          <w:szCs w:val="24"/>
          <w:lang w:eastAsia="es-ES"/>
        </w:rPr>
        <w:t xml:space="preserve"> incrementen la demanda del activo</w:t>
      </w:r>
      <w:r w:rsidR="00130F3F">
        <w:rPr>
          <w:rFonts w:ascii="Times New Roman" w:eastAsiaTheme="minorEastAsia" w:hAnsi="Times New Roman" w:cs="Times New Roman"/>
          <w:sz w:val="24"/>
          <w:szCs w:val="24"/>
          <w:lang w:eastAsia="es-ES"/>
        </w:rPr>
        <w:t xml:space="preserve"> tengan</w:t>
      </w:r>
      <w:r w:rsidR="002E4CDF">
        <w:rPr>
          <w:rFonts w:ascii="Times New Roman" w:eastAsiaTheme="minorEastAsia" w:hAnsi="Times New Roman" w:cs="Times New Roman"/>
          <w:sz w:val="24"/>
          <w:szCs w:val="24"/>
          <w:lang w:eastAsia="es-ES"/>
        </w:rPr>
        <w:t xml:space="preserve"> un impacto mayor en los precios.</w:t>
      </w:r>
    </w:p>
    <w:p w14:paraId="3EBA69AA" w14:textId="60C853DF" w:rsidR="00F3274D" w:rsidRPr="00F3274D" w:rsidRDefault="00722646" w:rsidP="00F3274D">
      <w:pPr>
        <w:spacing w:line="36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eastAsia="es-ES"/>
        </w:rPr>
        <w:lastRenderedPageBreak/>
        <w:t>Análisis Sectorial</w:t>
      </w:r>
    </w:p>
    <w:p w14:paraId="5DBC68D7" w14:textId="3B5C8887" w:rsidR="00F3274D" w:rsidRDefault="00F65B60" w:rsidP="00F3274D">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La última parte del análisis cuantitativo va a consistir en un análisis sectorial, esta sección tiene el objetivo de recopilar información a cerca de qué sectores son más sensibles a los movimientos de capitales hacia ETFs de gestión pasiva. Esto puede ser de gran utilidad para todos los inversores que sigan estrategias de análisis fundamental</w:t>
      </w:r>
      <w:r w:rsidR="00CC377D">
        <w:rPr>
          <w:rFonts w:ascii="Times New Roman" w:eastAsiaTheme="minorEastAsia" w:hAnsi="Times New Roman" w:cs="Times New Roman"/>
          <w:sz w:val="24"/>
          <w:szCs w:val="24"/>
          <w:lang w:eastAsia="es-ES"/>
        </w:rPr>
        <w:t>, a quienes les interesa que el mercado no esté distorsionado por agentes insensibles a los precios</w:t>
      </w:r>
      <w:r w:rsidR="00F3274D" w:rsidRPr="00F3274D">
        <w:rPr>
          <w:rFonts w:ascii="Times New Roman" w:eastAsiaTheme="minorEastAsia" w:hAnsi="Times New Roman" w:cs="Times New Roman"/>
          <w:sz w:val="24"/>
          <w:szCs w:val="24"/>
          <w:lang w:eastAsia="es-ES"/>
        </w:rPr>
        <w:t xml:space="preserve">. Para ello, primero se estudiará la distribución sectorial de las acciones que han mostrado un resultado significativo para la variable de flujos monetarios en el análisis anterior. Posteriormente, se reestimará el modelo de cuatro factores aplicándolo por sectores en lugar de acciones individuales. </w:t>
      </w:r>
      <w:r w:rsidR="00F3274D">
        <w:rPr>
          <w:rFonts w:ascii="Times New Roman" w:eastAsiaTheme="minorEastAsia" w:hAnsi="Times New Roman" w:cs="Times New Roman"/>
          <w:sz w:val="24"/>
          <w:szCs w:val="24"/>
          <w:lang w:eastAsia="es-ES"/>
        </w:rPr>
        <w:t>Para este análisis</w:t>
      </w:r>
      <w:r w:rsidR="00F3274D" w:rsidRPr="00F3274D">
        <w:rPr>
          <w:rFonts w:ascii="Times New Roman" w:eastAsiaTheme="minorEastAsia" w:hAnsi="Times New Roman" w:cs="Times New Roman"/>
          <w:sz w:val="24"/>
          <w:szCs w:val="24"/>
          <w:lang w:eastAsia="es-ES"/>
        </w:rPr>
        <w:t>, se utilizarán las rentabilidades ponderadas por capitalización de mercado de cada acción dentro de cada sector.</w:t>
      </w:r>
    </w:p>
    <w:p w14:paraId="77ADFC1B" w14:textId="77777777" w:rsidR="00E0767D" w:rsidRPr="00F3274D" w:rsidRDefault="00E0767D" w:rsidP="00F3274D">
      <w:pPr>
        <w:spacing w:line="360" w:lineRule="auto"/>
        <w:jc w:val="both"/>
        <w:rPr>
          <w:rFonts w:ascii="Times New Roman" w:eastAsiaTheme="minorEastAsia" w:hAnsi="Times New Roman" w:cs="Times New Roman"/>
          <w:sz w:val="24"/>
          <w:szCs w:val="24"/>
          <w:lang w:eastAsia="es-ES"/>
        </w:rPr>
      </w:pPr>
    </w:p>
    <w:p w14:paraId="6623830B" w14:textId="7B672358" w:rsidR="00E0767D" w:rsidRDefault="00FC5E1B" w:rsidP="00F3274D">
      <w:pPr>
        <w:spacing w:line="360" w:lineRule="auto"/>
        <w:jc w:val="both"/>
        <w:rPr>
          <w:rFonts w:ascii="Times New Roman" w:eastAsiaTheme="minorEastAsia" w:hAnsi="Times New Roman" w:cs="Times New Roman"/>
          <w:sz w:val="24"/>
          <w:szCs w:val="24"/>
          <w:u w:val="single"/>
          <w:lang w:eastAsia="es-ES"/>
        </w:rPr>
      </w:pPr>
      <w:r w:rsidRPr="00130F3F">
        <w:rPr>
          <w:rFonts w:ascii="Times New Roman" w:eastAsiaTheme="minorEastAsia" w:hAnsi="Times New Roman" w:cs="Times New Roman"/>
          <w:sz w:val="24"/>
          <w:szCs w:val="24"/>
          <w:u w:val="single"/>
          <w:lang w:eastAsia="es-ES"/>
        </w:rPr>
        <w:t>Etapas del Análisis</w:t>
      </w:r>
      <w:r w:rsidR="00F3274D" w:rsidRPr="00130F3F">
        <w:rPr>
          <w:rFonts w:ascii="Times New Roman" w:eastAsiaTheme="minorEastAsia" w:hAnsi="Times New Roman" w:cs="Times New Roman"/>
          <w:sz w:val="24"/>
          <w:szCs w:val="24"/>
          <w:u w:val="single"/>
          <w:lang w:eastAsia="es-ES"/>
        </w:rPr>
        <w:t>:</w:t>
      </w:r>
    </w:p>
    <w:p w14:paraId="0E93635C" w14:textId="77777777" w:rsidR="009663C8" w:rsidRPr="00130F3F" w:rsidRDefault="009663C8" w:rsidP="00F3274D">
      <w:pPr>
        <w:spacing w:line="360" w:lineRule="auto"/>
        <w:jc w:val="both"/>
        <w:rPr>
          <w:rFonts w:ascii="Times New Roman" w:eastAsiaTheme="minorEastAsia" w:hAnsi="Times New Roman" w:cs="Times New Roman"/>
          <w:sz w:val="24"/>
          <w:szCs w:val="24"/>
          <w:u w:val="single"/>
          <w:lang w:eastAsia="es-ES"/>
        </w:rPr>
      </w:pPr>
    </w:p>
    <w:p w14:paraId="1E1DE86D" w14:textId="73A2F57B" w:rsidR="00F3274D" w:rsidRPr="00F3274D" w:rsidRDefault="00F3274D" w:rsidP="00F3274D">
      <w:pPr>
        <w:pStyle w:val="Prrafodelista"/>
        <w:numPr>
          <w:ilvl w:val="0"/>
          <w:numId w:val="14"/>
        </w:numPr>
        <w:spacing w:line="360" w:lineRule="auto"/>
        <w:jc w:val="both"/>
        <w:rPr>
          <w:rFonts w:ascii="Times New Roman" w:eastAsiaTheme="minorEastAsia" w:hAnsi="Times New Roman" w:cs="Times New Roman"/>
          <w:sz w:val="24"/>
          <w:szCs w:val="24"/>
          <w:lang w:eastAsia="es-ES"/>
        </w:rPr>
      </w:pPr>
      <w:r w:rsidRPr="00F3274D">
        <w:rPr>
          <w:rFonts w:ascii="Times New Roman" w:eastAsiaTheme="minorEastAsia" w:hAnsi="Times New Roman" w:cs="Times New Roman"/>
          <w:sz w:val="24"/>
          <w:szCs w:val="24"/>
          <w:lang w:eastAsia="es-ES"/>
        </w:rPr>
        <w:t>Distribución Sectorial:</w:t>
      </w:r>
    </w:p>
    <w:p w14:paraId="19A8EA0E" w14:textId="7FC7D8C0" w:rsidR="00F3274D" w:rsidRDefault="00FC5E1B" w:rsidP="00F3274D">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En primer lugar, se analizará </w:t>
      </w:r>
      <w:r w:rsidR="00F3274D" w:rsidRPr="00F3274D">
        <w:rPr>
          <w:rFonts w:ascii="Times New Roman" w:eastAsiaTheme="minorEastAsia" w:hAnsi="Times New Roman" w:cs="Times New Roman"/>
          <w:sz w:val="24"/>
          <w:szCs w:val="24"/>
          <w:lang w:eastAsia="es-ES"/>
        </w:rPr>
        <w:t xml:space="preserve">la distribución sectorial para determinar </w:t>
      </w:r>
      <w:r>
        <w:rPr>
          <w:rFonts w:ascii="Times New Roman" w:eastAsiaTheme="minorEastAsia" w:hAnsi="Times New Roman" w:cs="Times New Roman"/>
          <w:sz w:val="24"/>
          <w:szCs w:val="24"/>
          <w:lang w:eastAsia="es-ES"/>
        </w:rPr>
        <w:t>que</w:t>
      </w:r>
      <w:r w:rsidR="00F3274D" w:rsidRPr="00F3274D">
        <w:rPr>
          <w:rFonts w:ascii="Times New Roman" w:eastAsiaTheme="minorEastAsia" w:hAnsi="Times New Roman" w:cs="Times New Roman"/>
          <w:sz w:val="24"/>
          <w:szCs w:val="24"/>
          <w:lang w:eastAsia="es-ES"/>
        </w:rPr>
        <w:t xml:space="preserve"> sectores tienen mayor sensibilidad a los flujos de capital hacia los ETFs de gestión pasiva.</w:t>
      </w:r>
    </w:p>
    <w:p w14:paraId="7BA17650" w14:textId="77777777" w:rsidR="00E0767D" w:rsidRPr="00F3274D" w:rsidRDefault="00E0767D" w:rsidP="00F3274D">
      <w:pPr>
        <w:spacing w:line="360" w:lineRule="auto"/>
        <w:jc w:val="both"/>
        <w:rPr>
          <w:rFonts w:ascii="Times New Roman" w:eastAsiaTheme="minorEastAsia" w:hAnsi="Times New Roman" w:cs="Times New Roman"/>
          <w:sz w:val="24"/>
          <w:szCs w:val="24"/>
          <w:lang w:eastAsia="es-ES"/>
        </w:rPr>
      </w:pPr>
    </w:p>
    <w:p w14:paraId="1334B017" w14:textId="1022B329" w:rsidR="00F3274D" w:rsidRPr="00F3274D" w:rsidRDefault="00F3274D" w:rsidP="00F3274D">
      <w:pPr>
        <w:pStyle w:val="Prrafodelista"/>
        <w:numPr>
          <w:ilvl w:val="0"/>
          <w:numId w:val="14"/>
        </w:numPr>
        <w:spacing w:line="360" w:lineRule="auto"/>
        <w:jc w:val="both"/>
        <w:rPr>
          <w:rFonts w:ascii="Times New Roman" w:eastAsiaTheme="minorEastAsia" w:hAnsi="Times New Roman" w:cs="Times New Roman"/>
          <w:sz w:val="24"/>
          <w:szCs w:val="24"/>
          <w:lang w:eastAsia="es-ES"/>
        </w:rPr>
      </w:pPr>
      <w:r w:rsidRPr="00F3274D">
        <w:rPr>
          <w:rFonts w:ascii="Times New Roman" w:eastAsiaTheme="minorEastAsia" w:hAnsi="Times New Roman" w:cs="Times New Roman"/>
          <w:sz w:val="24"/>
          <w:szCs w:val="24"/>
          <w:lang w:eastAsia="es-ES"/>
        </w:rPr>
        <w:t>Reestimación del Modelo por Sectores:</w:t>
      </w:r>
    </w:p>
    <w:p w14:paraId="42E4776E" w14:textId="3D352743" w:rsidR="00F3274D" w:rsidRPr="00F3274D" w:rsidRDefault="00FC5E1B" w:rsidP="00F3274D">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Posteriormente, se agruparán</w:t>
      </w:r>
      <w:r w:rsidR="00F3274D" w:rsidRPr="00F3274D">
        <w:rPr>
          <w:rFonts w:ascii="Times New Roman" w:eastAsiaTheme="minorEastAsia" w:hAnsi="Times New Roman" w:cs="Times New Roman"/>
          <w:sz w:val="24"/>
          <w:szCs w:val="24"/>
          <w:lang w:eastAsia="es-ES"/>
        </w:rPr>
        <w:t xml:space="preserve"> las acciones por sectores </w:t>
      </w:r>
      <w:r>
        <w:rPr>
          <w:rFonts w:ascii="Times New Roman" w:eastAsiaTheme="minorEastAsia" w:hAnsi="Times New Roman" w:cs="Times New Roman"/>
          <w:sz w:val="24"/>
          <w:szCs w:val="24"/>
          <w:lang w:eastAsia="es-ES"/>
        </w:rPr>
        <w:t xml:space="preserve">y se obtendrán </w:t>
      </w:r>
      <w:r w:rsidR="00F3274D" w:rsidRPr="00F3274D">
        <w:rPr>
          <w:rFonts w:ascii="Times New Roman" w:eastAsiaTheme="minorEastAsia" w:hAnsi="Times New Roman" w:cs="Times New Roman"/>
          <w:sz w:val="24"/>
          <w:szCs w:val="24"/>
          <w:lang w:eastAsia="es-ES"/>
        </w:rPr>
        <w:t>las rentabilidades ponderadas por capitalización de mercado</w:t>
      </w:r>
      <w:r>
        <w:rPr>
          <w:rFonts w:ascii="Times New Roman" w:eastAsiaTheme="minorEastAsia" w:hAnsi="Times New Roman" w:cs="Times New Roman"/>
          <w:sz w:val="24"/>
          <w:szCs w:val="24"/>
          <w:lang w:eastAsia="es-ES"/>
        </w:rPr>
        <w:t>, para a</w:t>
      </w:r>
      <w:r w:rsidR="00F3274D" w:rsidRPr="00F3274D">
        <w:rPr>
          <w:rFonts w:ascii="Times New Roman" w:eastAsiaTheme="minorEastAsia" w:hAnsi="Times New Roman" w:cs="Times New Roman"/>
          <w:sz w:val="24"/>
          <w:szCs w:val="24"/>
          <w:lang w:eastAsia="es-ES"/>
        </w:rPr>
        <w:t xml:space="preserve">plicar el modelo Fama-French de cuatro factores a </w:t>
      </w:r>
      <w:r>
        <w:rPr>
          <w:rFonts w:ascii="Times New Roman" w:eastAsiaTheme="minorEastAsia" w:hAnsi="Times New Roman" w:cs="Times New Roman"/>
          <w:sz w:val="24"/>
          <w:szCs w:val="24"/>
          <w:lang w:eastAsia="es-ES"/>
        </w:rPr>
        <w:t xml:space="preserve">los </w:t>
      </w:r>
      <w:r w:rsidRPr="00F3274D">
        <w:rPr>
          <w:rFonts w:ascii="Times New Roman" w:eastAsiaTheme="minorEastAsia" w:hAnsi="Times New Roman" w:cs="Times New Roman"/>
          <w:sz w:val="24"/>
          <w:szCs w:val="24"/>
          <w:lang w:eastAsia="es-ES"/>
        </w:rPr>
        <w:t>rendimientos</w:t>
      </w:r>
      <w:r w:rsidR="00F3274D" w:rsidRPr="00F3274D">
        <w:rPr>
          <w:rFonts w:ascii="Times New Roman" w:eastAsiaTheme="minorEastAsia" w:hAnsi="Times New Roman" w:cs="Times New Roman"/>
          <w:sz w:val="24"/>
          <w:szCs w:val="24"/>
          <w:lang w:eastAsia="es-ES"/>
        </w:rPr>
        <w:t xml:space="preserve"> sectoriales</w:t>
      </w:r>
      <w:r>
        <w:rPr>
          <w:rFonts w:ascii="Times New Roman" w:eastAsiaTheme="minorEastAsia" w:hAnsi="Times New Roman" w:cs="Times New Roman"/>
          <w:sz w:val="24"/>
          <w:szCs w:val="24"/>
          <w:lang w:eastAsia="es-ES"/>
        </w:rPr>
        <w:t>.</w:t>
      </w:r>
    </w:p>
    <w:p w14:paraId="0F90DDB2" w14:textId="2DFB8FA8" w:rsidR="003A4811" w:rsidRPr="00EF5FFF" w:rsidRDefault="00F3274D" w:rsidP="00F3274D">
      <w:pPr>
        <w:spacing w:line="360" w:lineRule="auto"/>
        <w:jc w:val="both"/>
        <w:rPr>
          <w:rFonts w:ascii="Times New Roman" w:eastAsiaTheme="minorEastAsia" w:hAnsi="Times New Roman" w:cs="Times New Roman"/>
          <w:sz w:val="24"/>
          <w:szCs w:val="24"/>
          <w:lang w:eastAsia="es-ES"/>
        </w:rPr>
      </w:pPr>
      <w:r w:rsidRPr="00F3274D">
        <w:rPr>
          <w:rFonts w:ascii="Times New Roman" w:eastAsiaTheme="minorEastAsia" w:hAnsi="Times New Roman" w:cs="Times New Roman"/>
          <w:sz w:val="24"/>
          <w:szCs w:val="24"/>
          <w:lang w:eastAsia="es-ES"/>
        </w:rPr>
        <w:t>El objetivo</w:t>
      </w:r>
      <w:r w:rsidR="00FC5E1B">
        <w:rPr>
          <w:rFonts w:ascii="Times New Roman" w:eastAsiaTheme="minorEastAsia" w:hAnsi="Times New Roman" w:cs="Times New Roman"/>
          <w:sz w:val="24"/>
          <w:szCs w:val="24"/>
          <w:lang w:eastAsia="es-ES"/>
        </w:rPr>
        <w:t>,</w:t>
      </w:r>
      <w:r w:rsidRPr="00F3274D">
        <w:rPr>
          <w:rFonts w:ascii="Times New Roman" w:eastAsiaTheme="minorEastAsia" w:hAnsi="Times New Roman" w:cs="Times New Roman"/>
          <w:sz w:val="24"/>
          <w:szCs w:val="24"/>
          <w:lang w:eastAsia="es-ES"/>
        </w:rPr>
        <w:t xml:space="preserve"> es entender mejor cómo los flujos de capital hacia los ETFs de gestión pasiva afectan los distintos sectores del mercado. Al agrupar las acciones por sectores y usar las rentabilidades ponderadas, se podrá identificar si ciertos sectores son más sensibles a los flujos de capital y, por tanto, más influenciados por la gestión pasiva. </w:t>
      </w:r>
    </w:p>
    <w:p w14:paraId="70B325C5" w14:textId="77777777" w:rsidR="00EE1A0D" w:rsidRDefault="00EE1A0D" w:rsidP="00F3274D">
      <w:pPr>
        <w:spacing w:line="360" w:lineRule="auto"/>
        <w:jc w:val="both"/>
        <w:rPr>
          <w:rFonts w:ascii="Times New Roman" w:eastAsiaTheme="minorEastAsia" w:hAnsi="Times New Roman" w:cs="Times New Roman"/>
          <w:sz w:val="24"/>
          <w:szCs w:val="24"/>
          <w:u w:val="single"/>
          <w:lang w:eastAsia="es-ES"/>
        </w:rPr>
      </w:pPr>
    </w:p>
    <w:p w14:paraId="2C9796A5" w14:textId="77777777" w:rsidR="002E4CDF" w:rsidRDefault="002E4CDF" w:rsidP="00F3274D">
      <w:pPr>
        <w:spacing w:line="360" w:lineRule="auto"/>
        <w:jc w:val="both"/>
        <w:rPr>
          <w:rFonts w:ascii="Times New Roman" w:eastAsiaTheme="minorEastAsia" w:hAnsi="Times New Roman" w:cs="Times New Roman"/>
          <w:sz w:val="24"/>
          <w:szCs w:val="24"/>
          <w:u w:val="single"/>
          <w:lang w:eastAsia="es-ES"/>
        </w:rPr>
      </w:pPr>
    </w:p>
    <w:p w14:paraId="743BB4F8" w14:textId="1FCA3D1F" w:rsidR="00FC5E1B" w:rsidRDefault="00FC5E1B" w:rsidP="00F3274D">
      <w:pPr>
        <w:spacing w:line="360" w:lineRule="auto"/>
        <w:jc w:val="both"/>
        <w:rPr>
          <w:rFonts w:ascii="Times New Roman" w:eastAsiaTheme="minorEastAsia" w:hAnsi="Times New Roman" w:cs="Times New Roman"/>
          <w:sz w:val="24"/>
          <w:szCs w:val="24"/>
          <w:u w:val="single"/>
          <w:lang w:eastAsia="es-ES"/>
        </w:rPr>
      </w:pPr>
      <w:r w:rsidRPr="00FC5E1B">
        <w:rPr>
          <w:rFonts w:ascii="Times New Roman" w:eastAsiaTheme="minorEastAsia" w:hAnsi="Times New Roman" w:cs="Times New Roman"/>
          <w:sz w:val="24"/>
          <w:szCs w:val="24"/>
          <w:u w:val="single"/>
          <w:lang w:eastAsia="es-ES"/>
        </w:rPr>
        <w:lastRenderedPageBreak/>
        <w:t>Distribución Sectorial</w:t>
      </w:r>
    </w:p>
    <w:p w14:paraId="5B3C3DBF" w14:textId="0863FF2B" w:rsidR="0067550D" w:rsidRPr="00CC377D" w:rsidRDefault="00E0767D" w:rsidP="00E0767D">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En este apartado se va a comprobar a qu</w:t>
      </w:r>
      <w:r w:rsidR="00130F3F">
        <w:rPr>
          <w:rFonts w:ascii="Times New Roman" w:eastAsiaTheme="minorEastAsia" w:hAnsi="Times New Roman" w:cs="Times New Roman"/>
          <w:sz w:val="24"/>
          <w:szCs w:val="24"/>
          <w:lang w:eastAsia="es-ES"/>
        </w:rPr>
        <w:t>é</w:t>
      </w:r>
      <w:r>
        <w:rPr>
          <w:rFonts w:ascii="Times New Roman" w:eastAsiaTheme="minorEastAsia" w:hAnsi="Times New Roman" w:cs="Times New Roman"/>
          <w:sz w:val="24"/>
          <w:szCs w:val="24"/>
          <w:lang w:eastAsia="es-ES"/>
        </w:rPr>
        <w:t xml:space="preserve"> sectores pertenecen cada una de las acciones filtradas en el apartado anterior. Esta clasificación, se ha obtenido a través de </w:t>
      </w:r>
      <w:proofErr w:type="spellStart"/>
      <w:r>
        <w:rPr>
          <w:rFonts w:ascii="Times New Roman" w:eastAsiaTheme="minorEastAsia" w:hAnsi="Times New Roman" w:cs="Times New Roman"/>
          <w:sz w:val="24"/>
          <w:szCs w:val="24"/>
          <w:lang w:eastAsia="es-ES"/>
        </w:rPr>
        <w:t>Yahoo</w:t>
      </w:r>
      <w:proofErr w:type="spellEnd"/>
      <w:r>
        <w:rPr>
          <w:rFonts w:ascii="Times New Roman" w:eastAsiaTheme="minorEastAsia" w:hAnsi="Times New Roman" w:cs="Times New Roman"/>
          <w:sz w:val="24"/>
          <w:szCs w:val="24"/>
          <w:lang w:eastAsia="es-ES"/>
        </w:rPr>
        <w:t xml:space="preserve"> </w:t>
      </w:r>
      <w:proofErr w:type="spellStart"/>
      <w:r>
        <w:rPr>
          <w:rFonts w:ascii="Times New Roman" w:eastAsiaTheme="minorEastAsia" w:hAnsi="Times New Roman" w:cs="Times New Roman"/>
          <w:sz w:val="24"/>
          <w:szCs w:val="24"/>
          <w:lang w:eastAsia="es-ES"/>
        </w:rPr>
        <w:t>Finance</w:t>
      </w:r>
      <w:proofErr w:type="spellEnd"/>
      <w:r>
        <w:rPr>
          <w:rFonts w:ascii="Times New Roman" w:eastAsiaTheme="minorEastAsia" w:hAnsi="Times New Roman" w:cs="Times New Roman"/>
          <w:sz w:val="24"/>
          <w:szCs w:val="24"/>
          <w:lang w:eastAsia="es-ES"/>
        </w:rPr>
        <w:t xml:space="preserve"> API. En el Gráfico 5, se muestra la distribución sectorial de las </w:t>
      </w:r>
      <w:r w:rsidR="00BD2173">
        <w:rPr>
          <w:rFonts w:ascii="Times New Roman" w:eastAsiaTheme="minorEastAsia" w:hAnsi="Times New Roman" w:cs="Times New Roman"/>
          <w:sz w:val="24"/>
          <w:szCs w:val="24"/>
          <w:lang w:eastAsia="es-ES"/>
        </w:rPr>
        <w:t>36</w:t>
      </w:r>
      <w:r>
        <w:rPr>
          <w:rFonts w:ascii="Times New Roman" w:eastAsiaTheme="minorEastAsia" w:hAnsi="Times New Roman" w:cs="Times New Roman"/>
          <w:sz w:val="24"/>
          <w:szCs w:val="24"/>
          <w:lang w:eastAsia="es-ES"/>
        </w:rPr>
        <w:t xml:space="preserve"> acciones.</w:t>
      </w:r>
    </w:p>
    <w:p w14:paraId="40D8C394" w14:textId="608E4B29" w:rsidR="0067550D" w:rsidRDefault="00E0767D" w:rsidP="00E0767D">
      <w:pPr>
        <w:spacing w:line="360" w:lineRule="auto"/>
        <w:jc w:val="both"/>
        <w:rPr>
          <w:rFonts w:ascii="Times New Roman" w:eastAsiaTheme="minorEastAsia" w:hAnsi="Times New Roman" w:cs="Times New Roman"/>
          <w:b/>
          <w:bCs/>
          <w:sz w:val="24"/>
          <w:szCs w:val="24"/>
          <w:lang w:eastAsia="es-ES"/>
        </w:rPr>
      </w:pPr>
      <w:r w:rsidRPr="00E0767D">
        <w:rPr>
          <w:rFonts w:ascii="Times New Roman" w:eastAsiaTheme="minorEastAsia" w:hAnsi="Times New Roman" w:cs="Times New Roman"/>
          <w:b/>
          <w:bCs/>
          <w:sz w:val="24"/>
          <w:szCs w:val="24"/>
          <w:lang w:eastAsia="es-ES"/>
        </w:rPr>
        <w:t xml:space="preserve">Gráfico </w:t>
      </w:r>
      <w:r w:rsidR="00EF5FFF">
        <w:rPr>
          <w:rFonts w:ascii="Times New Roman" w:eastAsiaTheme="minorEastAsia" w:hAnsi="Times New Roman" w:cs="Times New Roman"/>
          <w:b/>
          <w:bCs/>
          <w:sz w:val="24"/>
          <w:szCs w:val="24"/>
          <w:lang w:eastAsia="es-ES"/>
        </w:rPr>
        <w:t>6</w:t>
      </w:r>
      <w:r w:rsidRPr="00E0767D">
        <w:rPr>
          <w:rFonts w:ascii="Times New Roman" w:eastAsiaTheme="minorEastAsia" w:hAnsi="Times New Roman" w:cs="Times New Roman"/>
          <w:b/>
          <w:bCs/>
          <w:sz w:val="24"/>
          <w:szCs w:val="24"/>
          <w:lang w:eastAsia="es-ES"/>
        </w:rPr>
        <w:t>:</w:t>
      </w:r>
    </w:p>
    <w:p w14:paraId="12086F9F" w14:textId="6AF9DA13" w:rsidR="006E59F4" w:rsidRDefault="00403B54" w:rsidP="00EE1A0D">
      <w:pPr>
        <w:spacing w:line="360" w:lineRule="auto"/>
        <w:jc w:val="center"/>
        <w:rPr>
          <w:rFonts w:ascii="Times New Roman" w:eastAsiaTheme="minorEastAsia" w:hAnsi="Times New Roman" w:cs="Times New Roman"/>
          <w:b/>
          <w:bCs/>
          <w:sz w:val="24"/>
          <w:szCs w:val="24"/>
          <w:lang w:eastAsia="es-ES"/>
        </w:rPr>
      </w:pPr>
      <w:r w:rsidRPr="00403B54">
        <w:rPr>
          <w:rFonts w:ascii="Times New Roman" w:eastAsiaTheme="minorEastAsia" w:hAnsi="Times New Roman" w:cs="Times New Roman"/>
          <w:b/>
          <w:bCs/>
          <w:sz w:val="24"/>
          <w:szCs w:val="24"/>
          <w:lang w:eastAsia="es-ES"/>
        </w:rPr>
        <w:drawing>
          <wp:inline distT="0" distB="0" distL="0" distR="0" wp14:anchorId="0E2FED5D" wp14:editId="28759E98">
            <wp:extent cx="4775182" cy="3313215"/>
            <wp:effectExtent l="0" t="0" r="0" b="0"/>
            <wp:docPr id="1087976775"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76775" name="Imagen 1" descr="Gráfico, Gráfico circular&#10;&#10;Descripción generada automáticamente"/>
                    <pic:cNvPicPr/>
                  </pic:nvPicPr>
                  <pic:blipFill>
                    <a:blip r:embed="rId15"/>
                    <a:stretch>
                      <a:fillRect/>
                    </a:stretch>
                  </pic:blipFill>
                  <pic:spPr>
                    <a:xfrm>
                      <a:off x="0" y="0"/>
                      <a:ext cx="4784696" cy="3319816"/>
                    </a:xfrm>
                    <a:prstGeom prst="rect">
                      <a:avLst/>
                    </a:prstGeom>
                  </pic:spPr>
                </pic:pic>
              </a:graphicData>
            </a:graphic>
          </wp:inline>
        </w:drawing>
      </w:r>
    </w:p>
    <w:p w14:paraId="73D6126A" w14:textId="768D6238" w:rsidR="00130F3F" w:rsidRDefault="0067550D" w:rsidP="006E59F4">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Por si solos, estos resultados no implican nada puesto que no constituyen ninguna evidencia de que el sector pueda ser un factor determinante en la sensibilidad de las acciones hacia los movimientos de capitales en los ETFs de gestión pasiva.</w:t>
      </w:r>
    </w:p>
    <w:p w14:paraId="14263779" w14:textId="192AD096" w:rsidR="00007351" w:rsidRPr="00007351" w:rsidRDefault="00007351" w:rsidP="006E59F4">
      <w:pPr>
        <w:spacing w:line="360" w:lineRule="auto"/>
        <w:jc w:val="both"/>
        <w:rPr>
          <w:rFonts w:ascii="Times New Roman" w:eastAsiaTheme="minorEastAsia" w:hAnsi="Times New Roman" w:cs="Times New Roman"/>
          <w:sz w:val="24"/>
          <w:szCs w:val="24"/>
          <w:u w:val="single"/>
          <w:lang w:eastAsia="es-ES"/>
        </w:rPr>
      </w:pPr>
      <w:r w:rsidRPr="00007351">
        <w:rPr>
          <w:rFonts w:ascii="Times New Roman" w:eastAsiaTheme="minorEastAsia" w:hAnsi="Times New Roman" w:cs="Times New Roman"/>
          <w:sz w:val="24"/>
          <w:szCs w:val="24"/>
          <w:u w:val="single"/>
          <w:lang w:eastAsia="es-ES"/>
        </w:rPr>
        <w:t>Reestimación del Modelo por Sectores</w:t>
      </w:r>
    </w:p>
    <w:p w14:paraId="6BC8A35F" w14:textId="5D0BC586" w:rsidR="0067550D" w:rsidRDefault="0067550D" w:rsidP="006E59F4">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Como segundo paso, </w:t>
      </w:r>
      <w:r w:rsidR="00376CDA">
        <w:rPr>
          <w:rFonts w:ascii="Times New Roman" w:eastAsiaTheme="minorEastAsia" w:hAnsi="Times New Roman" w:cs="Times New Roman"/>
          <w:sz w:val="24"/>
          <w:szCs w:val="24"/>
          <w:lang w:eastAsia="es-ES"/>
        </w:rPr>
        <w:t>se va</w:t>
      </w:r>
      <w:r>
        <w:rPr>
          <w:rFonts w:ascii="Times New Roman" w:eastAsiaTheme="minorEastAsia" w:hAnsi="Times New Roman" w:cs="Times New Roman"/>
          <w:sz w:val="24"/>
          <w:szCs w:val="24"/>
          <w:lang w:eastAsia="es-ES"/>
        </w:rPr>
        <w:t xml:space="preserve"> a reestimar el modelo Fama-French de 4 factores, esta vez segmentando las acciones por sectores para ver si existe una relación clara sobre qué sectores son más sensibles. </w:t>
      </w:r>
    </w:p>
    <w:p w14:paraId="62A45E84" w14:textId="7136891C" w:rsidR="00007351" w:rsidRPr="00F65B60" w:rsidRDefault="0067550D" w:rsidP="006E59F4">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En la tabla 3, se pueden observar los resultados de los modelos estimados.</w:t>
      </w:r>
      <w:r w:rsidR="001E6DC9">
        <w:rPr>
          <w:rFonts w:ascii="Times New Roman" w:eastAsiaTheme="minorEastAsia" w:hAnsi="Times New Roman" w:cs="Times New Roman"/>
          <w:sz w:val="24"/>
          <w:szCs w:val="24"/>
          <w:lang w:eastAsia="es-ES"/>
        </w:rPr>
        <w:t xml:space="preserve"> Cabe mencionar que los resultados de los modelos expuestos en la próxima página no tienen porque estar alineados con la distribución sectorial, puesto que </w:t>
      </w:r>
      <w:r w:rsidR="00F676C4">
        <w:rPr>
          <w:rFonts w:ascii="Times New Roman" w:eastAsiaTheme="minorEastAsia" w:hAnsi="Times New Roman" w:cs="Times New Roman"/>
          <w:sz w:val="24"/>
          <w:szCs w:val="24"/>
          <w:lang w:eastAsia="es-ES"/>
        </w:rPr>
        <w:t xml:space="preserve">estos </w:t>
      </w:r>
      <w:r w:rsidR="001E6DC9">
        <w:rPr>
          <w:rFonts w:ascii="Times New Roman" w:eastAsiaTheme="minorEastAsia" w:hAnsi="Times New Roman" w:cs="Times New Roman"/>
          <w:sz w:val="24"/>
          <w:szCs w:val="24"/>
          <w:lang w:eastAsia="es-ES"/>
        </w:rPr>
        <w:t xml:space="preserve">se </w:t>
      </w:r>
      <w:r w:rsidR="00B61A6C">
        <w:rPr>
          <w:rFonts w:ascii="Times New Roman" w:eastAsiaTheme="minorEastAsia" w:hAnsi="Times New Roman" w:cs="Times New Roman"/>
          <w:sz w:val="24"/>
          <w:szCs w:val="24"/>
          <w:lang w:eastAsia="es-ES"/>
        </w:rPr>
        <w:t>han calculado,</w:t>
      </w:r>
      <w:r w:rsidR="0076438E">
        <w:rPr>
          <w:rFonts w:ascii="Times New Roman" w:eastAsiaTheme="minorEastAsia" w:hAnsi="Times New Roman" w:cs="Times New Roman"/>
          <w:sz w:val="24"/>
          <w:szCs w:val="24"/>
          <w:lang w:eastAsia="es-ES"/>
        </w:rPr>
        <w:t xml:space="preserve"> teniendo</w:t>
      </w:r>
      <w:r w:rsidR="001E6DC9">
        <w:rPr>
          <w:rFonts w:ascii="Times New Roman" w:eastAsiaTheme="minorEastAsia" w:hAnsi="Times New Roman" w:cs="Times New Roman"/>
          <w:sz w:val="24"/>
          <w:szCs w:val="24"/>
          <w:lang w:eastAsia="es-ES"/>
        </w:rPr>
        <w:t xml:space="preserve"> en cuenta todo un sector en su conjunto y la distribución sectorial únicamente hace referencia a </w:t>
      </w:r>
      <w:r w:rsidR="0076438E">
        <w:rPr>
          <w:rFonts w:ascii="Times New Roman" w:eastAsiaTheme="minorEastAsia" w:hAnsi="Times New Roman" w:cs="Times New Roman"/>
          <w:sz w:val="24"/>
          <w:szCs w:val="24"/>
          <w:lang w:eastAsia="es-ES"/>
        </w:rPr>
        <w:t>las acciones calificadas como sensibles a los flujos monetarios.</w:t>
      </w:r>
    </w:p>
    <w:p w14:paraId="195ABD07" w14:textId="77777777" w:rsidR="00EE1A0D" w:rsidRDefault="00EE1A0D" w:rsidP="006E59F4">
      <w:pPr>
        <w:spacing w:line="360" w:lineRule="auto"/>
        <w:jc w:val="both"/>
        <w:rPr>
          <w:rFonts w:ascii="Times New Roman" w:eastAsiaTheme="minorEastAsia" w:hAnsi="Times New Roman" w:cs="Times New Roman"/>
          <w:b/>
          <w:bCs/>
          <w:sz w:val="24"/>
          <w:szCs w:val="24"/>
          <w:lang w:eastAsia="es-ES"/>
        </w:rPr>
      </w:pPr>
    </w:p>
    <w:p w14:paraId="40AB44D3" w14:textId="639393C4" w:rsidR="00412634" w:rsidRPr="00E47AFF" w:rsidRDefault="00E47AFF" w:rsidP="006E59F4">
      <w:pPr>
        <w:spacing w:line="360" w:lineRule="auto"/>
        <w:jc w:val="both"/>
        <w:rPr>
          <w:rFonts w:ascii="Times New Roman" w:eastAsiaTheme="minorEastAsia" w:hAnsi="Times New Roman" w:cs="Times New Roman"/>
          <w:b/>
          <w:bCs/>
          <w:sz w:val="24"/>
          <w:szCs w:val="24"/>
          <w:lang w:eastAsia="es-ES"/>
        </w:rPr>
      </w:pPr>
      <w:r w:rsidRPr="00E47AFF">
        <w:rPr>
          <w:rFonts w:ascii="Times New Roman" w:eastAsiaTheme="minorEastAsia" w:hAnsi="Times New Roman" w:cs="Times New Roman"/>
          <w:b/>
          <w:bCs/>
          <w:sz w:val="24"/>
          <w:szCs w:val="24"/>
          <w:lang w:eastAsia="es-ES"/>
        </w:rPr>
        <w:lastRenderedPageBreak/>
        <w:t xml:space="preserve">Tabla </w:t>
      </w:r>
      <w:r w:rsidR="00F45D7F">
        <w:rPr>
          <w:rFonts w:ascii="Times New Roman" w:eastAsiaTheme="minorEastAsia" w:hAnsi="Times New Roman" w:cs="Times New Roman"/>
          <w:b/>
          <w:bCs/>
          <w:sz w:val="24"/>
          <w:szCs w:val="24"/>
          <w:lang w:eastAsia="es-ES"/>
        </w:rPr>
        <w:t>4</w:t>
      </w:r>
      <w:r w:rsidRPr="00E47AFF">
        <w:rPr>
          <w:rFonts w:ascii="Times New Roman" w:eastAsiaTheme="minorEastAsia" w:hAnsi="Times New Roman" w:cs="Times New Roman"/>
          <w:b/>
          <w:bCs/>
          <w:sz w:val="24"/>
          <w:szCs w:val="24"/>
          <w:lang w:eastAsia="es-ES"/>
        </w:rPr>
        <w:t>:</w:t>
      </w:r>
    </w:p>
    <w:p w14:paraId="57461FE4" w14:textId="77777777" w:rsidR="00E47AFF" w:rsidRDefault="00E47AFF" w:rsidP="006E59F4">
      <w:pPr>
        <w:spacing w:line="360" w:lineRule="auto"/>
        <w:jc w:val="both"/>
        <w:rPr>
          <w:rFonts w:ascii="Times New Roman" w:eastAsiaTheme="minorEastAsia" w:hAnsi="Times New Roman" w:cs="Times New Roman"/>
          <w:sz w:val="24"/>
          <w:szCs w:val="24"/>
          <w:lang w:eastAsia="es-ES"/>
        </w:rPr>
      </w:pPr>
    </w:p>
    <w:tbl>
      <w:tblPr>
        <w:tblW w:w="11062" w:type="dxa"/>
        <w:jc w:val="center"/>
        <w:tblCellMar>
          <w:left w:w="70" w:type="dxa"/>
          <w:right w:w="70" w:type="dxa"/>
        </w:tblCellMar>
        <w:tblLook w:val="04A0" w:firstRow="1" w:lastRow="0" w:firstColumn="1" w:lastColumn="0" w:noHBand="0" w:noVBand="1"/>
      </w:tblPr>
      <w:tblGrid>
        <w:gridCol w:w="385"/>
        <w:gridCol w:w="1866"/>
        <w:gridCol w:w="1715"/>
        <w:gridCol w:w="1803"/>
        <w:gridCol w:w="1806"/>
        <w:gridCol w:w="2216"/>
        <w:gridCol w:w="1271"/>
      </w:tblGrid>
      <w:tr w:rsidR="003157BA" w:rsidRPr="003157BA" w14:paraId="54277246" w14:textId="77777777" w:rsidTr="009F1AFC">
        <w:trPr>
          <w:trHeight w:val="675"/>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241FA92A"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 </w:t>
            </w:r>
          </w:p>
        </w:tc>
        <w:tc>
          <w:tcPr>
            <w:tcW w:w="1715" w:type="dxa"/>
            <w:tcBorders>
              <w:top w:val="single" w:sz="4" w:space="0" w:color="auto"/>
              <w:left w:val="nil"/>
              <w:bottom w:val="single" w:sz="4" w:space="0" w:color="auto"/>
              <w:right w:val="single" w:sz="4" w:space="0" w:color="auto"/>
            </w:tcBorders>
            <w:shd w:val="clear" w:color="000000" w:fill="002060"/>
            <w:noWrap/>
            <w:vAlign w:val="center"/>
            <w:hideMark/>
          </w:tcPr>
          <w:p w14:paraId="6DA977BD"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coefHML</w:t>
            </w:r>
            <w:proofErr w:type="spellEnd"/>
          </w:p>
        </w:tc>
        <w:tc>
          <w:tcPr>
            <w:tcW w:w="1803" w:type="dxa"/>
            <w:tcBorders>
              <w:top w:val="single" w:sz="4" w:space="0" w:color="auto"/>
              <w:left w:val="nil"/>
              <w:bottom w:val="single" w:sz="4" w:space="0" w:color="auto"/>
              <w:right w:val="single" w:sz="4" w:space="0" w:color="auto"/>
            </w:tcBorders>
            <w:shd w:val="clear" w:color="000000" w:fill="002060"/>
            <w:noWrap/>
            <w:vAlign w:val="center"/>
            <w:hideMark/>
          </w:tcPr>
          <w:p w14:paraId="19637271"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coefSMB</w:t>
            </w:r>
            <w:proofErr w:type="spellEnd"/>
          </w:p>
        </w:tc>
        <w:tc>
          <w:tcPr>
            <w:tcW w:w="1806" w:type="dxa"/>
            <w:tcBorders>
              <w:top w:val="single" w:sz="4" w:space="0" w:color="auto"/>
              <w:left w:val="nil"/>
              <w:bottom w:val="single" w:sz="4" w:space="0" w:color="auto"/>
              <w:right w:val="single" w:sz="4" w:space="0" w:color="auto"/>
            </w:tcBorders>
            <w:shd w:val="clear" w:color="000000" w:fill="002060"/>
            <w:noWrap/>
            <w:vAlign w:val="center"/>
            <w:hideMark/>
          </w:tcPr>
          <w:p w14:paraId="172A185E"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coefflujos</w:t>
            </w:r>
            <w:proofErr w:type="spellEnd"/>
          </w:p>
        </w:tc>
        <w:tc>
          <w:tcPr>
            <w:tcW w:w="2216" w:type="dxa"/>
            <w:tcBorders>
              <w:top w:val="single" w:sz="4" w:space="0" w:color="auto"/>
              <w:left w:val="nil"/>
              <w:bottom w:val="single" w:sz="4" w:space="0" w:color="auto"/>
              <w:right w:val="single" w:sz="4" w:space="0" w:color="auto"/>
            </w:tcBorders>
            <w:shd w:val="clear" w:color="000000" w:fill="002060"/>
            <w:noWrap/>
            <w:vAlign w:val="center"/>
            <w:hideMark/>
          </w:tcPr>
          <w:p w14:paraId="44F59448"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coefrmrf</w:t>
            </w:r>
            <w:proofErr w:type="spellEnd"/>
          </w:p>
        </w:tc>
        <w:tc>
          <w:tcPr>
            <w:tcW w:w="1271" w:type="dxa"/>
            <w:tcBorders>
              <w:top w:val="single" w:sz="4" w:space="0" w:color="auto"/>
              <w:left w:val="nil"/>
              <w:bottom w:val="single" w:sz="4" w:space="0" w:color="auto"/>
              <w:right w:val="single" w:sz="4" w:space="0" w:color="auto"/>
            </w:tcBorders>
            <w:shd w:val="clear" w:color="000000" w:fill="002060"/>
            <w:noWrap/>
            <w:vAlign w:val="center"/>
            <w:hideMark/>
          </w:tcPr>
          <w:p w14:paraId="1C466899"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const</w:t>
            </w:r>
            <w:proofErr w:type="spellEnd"/>
          </w:p>
        </w:tc>
      </w:tr>
      <w:tr w:rsidR="003157BA" w:rsidRPr="003157BA" w14:paraId="69A2620C"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0857C638"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Consumo Cíclico</w:t>
            </w:r>
          </w:p>
        </w:tc>
        <w:tc>
          <w:tcPr>
            <w:tcW w:w="1715" w:type="dxa"/>
            <w:tcBorders>
              <w:top w:val="nil"/>
              <w:left w:val="nil"/>
              <w:bottom w:val="single" w:sz="4" w:space="0" w:color="auto"/>
              <w:right w:val="single" w:sz="4" w:space="0" w:color="auto"/>
            </w:tcBorders>
            <w:shd w:val="clear" w:color="auto" w:fill="auto"/>
            <w:noWrap/>
            <w:vAlign w:val="center"/>
            <w:hideMark/>
          </w:tcPr>
          <w:p w14:paraId="2A5BFD3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0,0281</w:t>
            </w:r>
          </w:p>
        </w:tc>
        <w:tc>
          <w:tcPr>
            <w:tcW w:w="1803" w:type="dxa"/>
            <w:tcBorders>
              <w:top w:val="nil"/>
              <w:left w:val="nil"/>
              <w:bottom w:val="single" w:sz="4" w:space="0" w:color="auto"/>
              <w:right w:val="single" w:sz="4" w:space="0" w:color="auto"/>
            </w:tcBorders>
            <w:shd w:val="clear" w:color="auto" w:fill="auto"/>
            <w:noWrap/>
            <w:vAlign w:val="center"/>
            <w:hideMark/>
          </w:tcPr>
          <w:p w14:paraId="260D89D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0,2476</w:t>
            </w:r>
          </w:p>
        </w:tc>
        <w:tc>
          <w:tcPr>
            <w:tcW w:w="1806" w:type="dxa"/>
            <w:tcBorders>
              <w:top w:val="nil"/>
              <w:left w:val="nil"/>
              <w:bottom w:val="single" w:sz="4" w:space="0" w:color="auto"/>
              <w:right w:val="single" w:sz="4" w:space="0" w:color="auto"/>
            </w:tcBorders>
            <w:shd w:val="clear" w:color="auto" w:fill="auto"/>
            <w:noWrap/>
            <w:vAlign w:val="center"/>
            <w:hideMark/>
          </w:tcPr>
          <w:p w14:paraId="706D975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-0,0459</w:t>
            </w:r>
          </w:p>
        </w:tc>
        <w:tc>
          <w:tcPr>
            <w:tcW w:w="2216" w:type="dxa"/>
            <w:tcBorders>
              <w:top w:val="nil"/>
              <w:left w:val="nil"/>
              <w:bottom w:val="single" w:sz="4" w:space="0" w:color="auto"/>
              <w:right w:val="single" w:sz="4" w:space="0" w:color="auto"/>
            </w:tcBorders>
            <w:shd w:val="clear" w:color="auto" w:fill="auto"/>
            <w:noWrap/>
            <w:vAlign w:val="center"/>
            <w:hideMark/>
          </w:tcPr>
          <w:p w14:paraId="3753616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1,2102</w:t>
            </w:r>
          </w:p>
        </w:tc>
        <w:tc>
          <w:tcPr>
            <w:tcW w:w="1271" w:type="dxa"/>
            <w:tcBorders>
              <w:top w:val="nil"/>
              <w:left w:val="nil"/>
              <w:bottom w:val="single" w:sz="4" w:space="0" w:color="auto"/>
              <w:right w:val="single" w:sz="4" w:space="0" w:color="auto"/>
            </w:tcBorders>
            <w:shd w:val="clear" w:color="auto" w:fill="auto"/>
            <w:noWrap/>
            <w:vAlign w:val="center"/>
            <w:hideMark/>
          </w:tcPr>
          <w:p w14:paraId="14CBCDC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-0,0006</w:t>
            </w:r>
          </w:p>
        </w:tc>
      </w:tr>
      <w:tr w:rsidR="003157BA" w:rsidRPr="003157BA" w14:paraId="717AE1AD"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159851E2"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Materiales Básicos</w:t>
            </w:r>
          </w:p>
        </w:tc>
        <w:tc>
          <w:tcPr>
            <w:tcW w:w="1715" w:type="dxa"/>
            <w:tcBorders>
              <w:top w:val="nil"/>
              <w:left w:val="nil"/>
              <w:bottom w:val="single" w:sz="4" w:space="0" w:color="auto"/>
              <w:right w:val="single" w:sz="4" w:space="0" w:color="auto"/>
            </w:tcBorders>
            <w:shd w:val="clear" w:color="auto" w:fill="auto"/>
            <w:noWrap/>
            <w:vAlign w:val="center"/>
            <w:hideMark/>
          </w:tcPr>
          <w:p w14:paraId="0F8A17A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0,3625</w:t>
            </w:r>
          </w:p>
        </w:tc>
        <w:tc>
          <w:tcPr>
            <w:tcW w:w="1803" w:type="dxa"/>
            <w:tcBorders>
              <w:top w:val="nil"/>
              <w:left w:val="nil"/>
              <w:bottom w:val="single" w:sz="4" w:space="0" w:color="auto"/>
              <w:right w:val="single" w:sz="4" w:space="0" w:color="auto"/>
            </w:tcBorders>
            <w:shd w:val="clear" w:color="auto" w:fill="auto"/>
            <w:noWrap/>
            <w:vAlign w:val="center"/>
            <w:hideMark/>
          </w:tcPr>
          <w:p w14:paraId="3FBB3A1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0,2009</w:t>
            </w:r>
          </w:p>
        </w:tc>
        <w:tc>
          <w:tcPr>
            <w:tcW w:w="1806" w:type="dxa"/>
            <w:tcBorders>
              <w:top w:val="nil"/>
              <w:left w:val="nil"/>
              <w:bottom w:val="single" w:sz="4" w:space="0" w:color="auto"/>
              <w:right w:val="single" w:sz="4" w:space="0" w:color="auto"/>
            </w:tcBorders>
            <w:shd w:val="clear" w:color="auto" w:fill="auto"/>
            <w:noWrap/>
            <w:vAlign w:val="center"/>
            <w:hideMark/>
          </w:tcPr>
          <w:p w14:paraId="0CB1447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0,0700</w:t>
            </w:r>
          </w:p>
        </w:tc>
        <w:tc>
          <w:tcPr>
            <w:tcW w:w="2216" w:type="dxa"/>
            <w:tcBorders>
              <w:top w:val="nil"/>
              <w:left w:val="nil"/>
              <w:bottom w:val="single" w:sz="4" w:space="0" w:color="auto"/>
              <w:right w:val="single" w:sz="4" w:space="0" w:color="auto"/>
            </w:tcBorders>
            <w:shd w:val="clear" w:color="auto" w:fill="auto"/>
            <w:noWrap/>
            <w:vAlign w:val="center"/>
            <w:hideMark/>
          </w:tcPr>
          <w:p w14:paraId="079BC86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1,0170</w:t>
            </w:r>
          </w:p>
        </w:tc>
        <w:tc>
          <w:tcPr>
            <w:tcW w:w="1271" w:type="dxa"/>
            <w:tcBorders>
              <w:top w:val="nil"/>
              <w:left w:val="nil"/>
              <w:bottom w:val="single" w:sz="4" w:space="0" w:color="auto"/>
              <w:right w:val="single" w:sz="4" w:space="0" w:color="auto"/>
            </w:tcBorders>
            <w:shd w:val="clear" w:color="auto" w:fill="auto"/>
            <w:noWrap/>
            <w:vAlign w:val="center"/>
            <w:hideMark/>
          </w:tcPr>
          <w:p w14:paraId="7E648623"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-0,0001</w:t>
            </w:r>
          </w:p>
        </w:tc>
      </w:tr>
      <w:tr w:rsidR="003157BA" w:rsidRPr="003157BA" w14:paraId="78EDD247"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12309885"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Salud</w:t>
            </w:r>
          </w:p>
        </w:tc>
        <w:tc>
          <w:tcPr>
            <w:tcW w:w="1715" w:type="dxa"/>
            <w:tcBorders>
              <w:top w:val="nil"/>
              <w:left w:val="nil"/>
              <w:bottom w:val="single" w:sz="4" w:space="0" w:color="auto"/>
              <w:right w:val="single" w:sz="4" w:space="0" w:color="auto"/>
            </w:tcBorders>
            <w:shd w:val="clear" w:color="auto" w:fill="auto"/>
            <w:noWrap/>
            <w:vAlign w:val="center"/>
            <w:hideMark/>
          </w:tcPr>
          <w:p w14:paraId="6D57E4BB"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-0,0696</w:t>
            </w:r>
          </w:p>
        </w:tc>
        <w:tc>
          <w:tcPr>
            <w:tcW w:w="1803" w:type="dxa"/>
            <w:tcBorders>
              <w:top w:val="nil"/>
              <w:left w:val="nil"/>
              <w:bottom w:val="single" w:sz="4" w:space="0" w:color="auto"/>
              <w:right w:val="single" w:sz="4" w:space="0" w:color="auto"/>
            </w:tcBorders>
            <w:shd w:val="clear" w:color="auto" w:fill="auto"/>
            <w:noWrap/>
            <w:vAlign w:val="center"/>
            <w:hideMark/>
          </w:tcPr>
          <w:p w14:paraId="5FEEBF8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-0,2626</w:t>
            </w:r>
          </w:p>
        </w:tc>
        <w:tc>
          <w:tcPr>
            <w:tcW w:w="1806" w:type="dxa"/>
            <w:tcBorders>
              <w:top w:val="nil"/>
              <w:left w:val="nil"/>
              <w:bottom w:val="single" w:sz="4" w:space="0" w:color="auto"/>
              <w:right w:val="single" w:sz="4" w:space="0" w:color="auto"/>
            </w:tcBorders>
            <w:shd w:val="clear" w:color="auto" w:fill="auto"/>
            <w:noWrap/>
            <w:vAlign w:val="center"/>
            <w:hideMark/>
          </w:tcPr>
          <w:p w14:paraId="6536D04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0,1800</w:t>
            </w:r>
          </w:p>
        </w:tc>
        <w:tc>
          <w:tcPr>
            <w:tcW w:w="2216" w:type="dxa"/>
            <w:tcBorders>
              <w:top w:val="nil"/>
              <w:left w:val="nil"/>
              <w:bottom w:val="single" w:sz="4" w:space="0" w:color="auto"/>
              <w:right w:val="single" w:sz="4" w:space="0" w:color="auto"/>
            </w:tcBorders>
            <w:shd w:val="clear" w:color="auto" w:fill="auto"/>
            <w:noWrap/>
            <w:vAlign w:val="center"/>
            <w:hideMark/>
          </w:tcPr>
          <w:p w14:paraId="02E1D22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0,7412</w:t>
            </w:r>
          </w:p>
        </w:tc>
        <w:tc>
          <w:tcPr>
            <w:tcW w:w="1271" w:type="dxa"/>
            <w:tcBorders>
              <w:top w:val="nil"/>
              <w:left w:val="nil"/>
              <w:bottom w:val="single" w:sz="4" w:space="0" w:color="auto"/>
              <w:right w:val="single" w:sz="4" w:space="0" w:color="auto"/>
            </w:tcBorders>
            <w:shd w:val="clear" w:color="auto" w:fill="auto"/>
            <w:noWrap/>
            <w:vAlign w:val="center"/>
            <w:hideMark/>
          </w:tcPr>
          <w:p w14:paraId="2C489E4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-0,0003</w:t>
            </w:r>
          </w:p>
        </w:tc>
      </w:tr>
      <w:tr w:rsidR="003157BA" w:rsidRPr="003157BA" w14:paraId="2B533503"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56A8EA9F"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Tecnología</w:t>
            </w:r>
          </w:p>
        </w:tc>
        <w:tc>
          <w:tcPr>
            <w:tcW w:w="1715" w:type="dxa"/>
            <w:tcBorders>
              <w:top w:val="nil"/>
              <w:left w:val="nil"/>
              <w:bottom w:val="single" w:sz="4" w:space="0" w:color="auto"/>
              <w:right w:val="single" w:sz="4" w:space="0" w:color="auto"/>
            </w:tcBorders>
            <w:shd w:val="clear" w:color="auto" w:fill="auto"/>
            <w:noWrap/>
            <w:vAlign w:val="center"/>
            <w:hideMark/>
          </w:tcPr>
          <w:p w14:paraId="293DC748"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-0,3053</w:t>
            </w:r>
          </w:p>
        </w:tc>
        <w:tc>
          <w:tcPr>
            <w:tcW w:w="1803" w:type="dxa"/>
            <w:tcBorders>
              <w:top w:val="nil"/>
              <w:left w:val="nil"/>
              <w:bottom w:val="single" w:sz="4" w:space="0" w:color="auto"/>
              <w:right w:val="single" w:sz="4" w:space="0" w:color="auto"/>
            </w:tcBorders>
            <w:shd w:val="clear" w:color="auto" w:fill="auto"/>
            <w:noWrap/>
            <w:vAlign w:val="center"/>
            <w:hideMark/>
          </w:tcPr>
          <w:p w14:paraId="4212CFC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-0,2572</w:t>
            </w:r>
          </w:p>
        </w:tc>
        <w:tc>
          <w:tcPr>
            <w:tcW w:w="1806" w:type="dxa"/>
            <w:tcBorders>
              <w:top w:val="nil"/>
              <w:left w:val="nil"/>
              <w:bottom w:val="single" w:sz="4" w:space="0" w:color="auto"/>
              <w:right w:val="single" w:sz="4" w:space="0" w:color="auto"/>
            </w:tcBorders>
            <w:shd w:val="clear" w:color="auto" w:fill="auto"/>
            <w:noWrap/>
            <w:vAlign w:val="center"/>
            <w:hideMark/>
          </w:tcPr>
          <w:p w14:paraId="66B8D43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-0,0471</w:t>
            </w:r>
          </w:p>
        </w:tc>
        <w:tc>
          <w:tcPr>
            <w:tcW w:w="2216" w:type="dxa"/>
            <w:tcBorders>
              <w:top w:val="nil"/>
              <w:left w:val="nil"/>
              <w:bottom w:val="single" w:sz="4" w:space="0" w:color="auto"/>
              <w:right w:val="single" w:sz="4" w:space="0" w:color="auto"/>
            </w:tcBorders>
            <w:shd w:val="clear" w:color="auto" w:fill="auto"/>
            <w:noWrap/>
            <w:vAlign w:val="center"/>
            <w:hideMark/>
          </w:tcPr>
          <w:p w14:paraId="5BB2F9A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1,1004</w:t>
            </w:r>
          </w:p>
        </w:tc>
        <w:tc>
          <w:tcPr>
            <w:tcW w:w="1271" w:type="dxa"/>
            <w:tcBorders>
              <w:top w:val="nil"/>
              <w:left w:val="nil"/>
              <w:bottom w:val="single" w:sz="4" w:space="0" w:color="auto"/>
              <w:right w:val="single" w:sz="4" w:space="0" w:color="auto"/>
            </w:tcBorders>
            <w:shd w:val="clear" w:color="auto" w:fill="auto"/>
            <w:noWrap/>
            <w:vAlign w:val="center"/>
            <w:hideMark/>
          </w:tcPr>
          <w:p w14:paraId="7C217A0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0,0017</w:t>
            </w:r>
          </w:p>
        </w:tc>
      </w:tr>
      <w:tr w:rsidR="003157BA" w:rsidRPr="003157BA" w14:paraId="3D922637"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32257F3E"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Servicios Financieros</w:t>
            </w:r>
          </w:p>
        </w:tc>
        <w:tc>
          <w:tcPr>
            <w:tcW w:w="1715" w:type="dxa"/>
            <w:tcBorders>
              <w:top w:val="nil"/>
              <w:left w:val="nil"/>
              <w:bottom w:val="single" w:sz="4" w:space="0" w:color="auto"/>
              <w:right w:val="single" w:sz="4" w:space="0" w:color="auto"/>
            </w:tcBorders>
            <w:shd w:val="clear" w:color="auto" w:fill="auto"/>
            <w:noWrap/>
            <w:vAlign w:val="center"/>
            <w:hideMark/>
          </w:tcPr>
          <w:p w14:paraId="638F4E7B"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0,4411</w:t>
            </w:r>
          </w:p>
        </w:tc>
        <w:tc>
          <w:tcPr>
            <w:tcW w:w="1803" w:type="dxa"/>
            <w:tcBorders>
              <w:top w:val="nil"/>
              <w:left w:val="nil"/>
              <w:bottom w:val="single" w:sz="4" w:space="0" w:color="auto"/>
              <w:right w:val="single" w:sz="4" w:space="0" w:color="auto"/>
            </w:tcBorders>
            <w:shd w:val="clear" w:color="auto" w:fill="auto"/>
            <w:noWrap/>
            <w:vAlign w:val="center"/>
            <w:hideMark/>
          </w:tcPr>
          <w:p w14:paraId="0BC2A02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-0,0120</w:t>
            </w:r>
          </w:p>
        </w:tc>
        <w:tc>
          <w:tcPr>
            <w:tcW w:w="1806" w:type="dxa"/>
            <w:tcBorders>
              <w:top w:val="nil"/>
              <w:left w:val="nil"/>
              <w:bottom w:val="single" w:sz="4" w:space="0" w:color="auto"/>
              <w:right w:val="single" w:sz="4" w:space="0" w:color="auto"/>
            </w:tcBorders>
            <w:shd w:val="clear" w:color="auto" w:fill="auto"/>
            <w:noWrap/>
            <w:vAlign w:val="center"/>
            <w:hideMark/>
          </w:tcPr>
          <w:p w14:paraId="4487898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0,1268</w:t>
            </w:r>
          </w:p>
        </w:tc>
        <w:tc>
          <w:tcPr>
            <w:tcW w:w="2216" w:type="dxa"/>
            <w:tcBorders>
              <w:top w:val="nil"/>
              <w:left w:val="nil"/>
              <w:bottom w:val="single" w:sz="4" w:space="0" w:color="auto"/>
              <w:right w:val="single" w:sz="4" w:space="0" w:color="auto"/>
            </w:tcBorders>
            <w:shd w:val="clear" w:color="auto" w:fill="auto"/>
            <w:noWrap/>
            <w:vAlign w:val="center"/>
            <w:hideMark/>
          </w:tcPr>
          <w:p w14:paraId="1EB30BA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1,1157</w:t>
            </w:r>
          </w:p>
        </w:tc>
        <w:tc>
          <w:tcPr>
            <w:tcW w:w="1271" w:type="dxa"/>
            <w:tcBorders>
              <w:top w:val="nil"/>
              <w:left w:val="nil"/>
              <w:bottom w:val="single" w:sz="4" w:space="0" w:color="auto"/>
              <w:right w:val="single" w:sz="4" w:space="0" w:color="auto"/>
            </w:tcBorders>
            <w:shd w:val="clear" w:color="auto" w:fill="auto"/>
            <w:noWrap/>
            <w:vAlign w:val="center"/>
            <w:hideMark/>
          </w:tcPr>
          <w:p w14:paraId="55D3E8A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-0,0015</w:t>
            </w:r>
          </w:p>
        </w:tc>
      </w:tr>
      <w:tr w:rsidR="003157BA" w:rsidRPr="003157BA" w14:paraId="12ADCBB3"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2AD0DF01"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Consumo Defensivo</w:t>
            </w:r>
          </w:p>
        </w:tc>
        <w:tc>
          <w:tcPr>
            <w:tcW w:w="1715" w:type="dxa"/>
            <w:tcBorders>
              <w:top w:val="nil"/>
              <w:left w:val="nil"/>
              <w:bottom w:val="single" w:sz="4" w:space="0" w:color="auto"/>
              <w:right w:val="single" w:sz="4" w:space="0" w:color="auto"/>
            </w:tcBorders>
            <w:shd w:val="clear" w:color="auto" w:fill="auto"/>
            <w:noWrap/>
            <w:vAlign w:val="center"/>
            <w:hideMark/>
          </w:tcPr>
          <w:p w14:paraId="2A07E6BB"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0,0269</w:t>
            </w:r>
          </w:p>
        </w:tc>
        <w:tc>
          <w:tcPr>
            <w:tcW w:w="1803" w:type="dxa"/>
            <w:tcBorders>
              <w:top w:val="nil"/>
              <w:left w:val="nil"/>
              <w:bottom w:val="single" w:sz="4" w:space="0" w:color="auto"/>
              <w:right w:val="single" w:sz="4" w:space="0" w:color="auto"/>
            </w:tcBorders>
            <w:shd w:val="clear" w:color="auto" w:fill="auto"/>
            <w:noWrap/>
            <w:vAlign w:val="center"/>
            <w:hideMark/>
          </w:tcPr>
          <w:p w14:paraId="0C2B64B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-0,3738</w:t>
            </w:r>
          </w:p>
        </w:tc>
        <w:tc>
          <w:tcPr>
            <w:tcW w:w="1806" w:type="dxa"/>
            <w:tcBorders>
              <w:top w:val="nil"/>
              <w:left w:val="nil"/>
              <w:bottom w:val="single" w:sz="4" w:space="0" w:color="auto"/>
              <w:right w:val="single" w:sz="4" w:space="0" w:color="auto"/>
            </w:tcBorders>
            <w:shd w:val="clear" w:color="auto" w:fill="auto"/>
            <w:noWrap/>
            <w:vAlign w:val="center"/>
            <w:hideMark/>
          </w:tcPr>
          <w:p w14:paraId="77C3463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0,0334</w:t>
            </w:r>
          </w:p>
        </w:tc>
        <w:tc>
          <w:tcPr>
            <w:tcW w:w="2216" w:type="dxa"/>
            <w:tcBorders>
              <w:top w:val="nil"/>
              <w:left w:val="nil"/>
              <w:bottom w:val="single" w:sz="4" w:space="0" w:color="auto"/>
              <w:right w:val="single" w:sz="4" w:space="0" w:color="auto"/>
            </w:tcBorders>
            <w:shd w:val="clear" w:color="auto" w:fill="auto"/>
            <w:noWrap/>
            <w:vAlign w:val="center"/>
            <w:hideMark/>
          </w:tcPr>
          <w:p w14:paraId="196ADE91"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0,6598</w:t>
            </w:r>
          </w:p>
        </w:tc>
        <w:tc>
          <w:tcPr>
            <w:tcW w:w="1271" w:type="dxa"/>
            <w:tcBorders>
              <w:top w:val="nil"/>
              <w:left w:val="nil"/>
              <w:bottom w:val="single" w:sz="4" w:space="0" w:color="auto"/>
              <w:right w:val="single" w:sz="4" w:space="0" w:color="auto"/>
            </w:tcBorders>
            <w:shd w:val="clear" w:color="auto" w:fill="auto"/>
            <w:noWrap/>
            <w:vAlign w:val="center"/>
            <w:hideMark/>
          </w:tcPr>
          <w:p w14:paraId="33E927E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-0,0006</w:t>
            </w:r>
          </w:p>
        </w:tc>
      </w:tr>
      <w:tr w:rsidR="003157BA" w:rsidRPr="003157BA" w14:paraId="16FD5395"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306C5DA2"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Bienes Raíces</w:t>
            </w:r>
          </w:p>
        </w:tc>
        <w:tc>
          <w:tcPr>
            <w:tcW w:w="1715" w:type="dxa"/>
            <w:tcBorders>
              <w:top w:val="nil"/>
              <w:left w:val="nil"/>
              <w:bottom w:val="single" w:sz="4" w:space="0" w:color="auto"/>
              <w:right w:val="single" w:sz="4" w:space="0" w:color="auto"/>
            </w:tcBorders>
            <w:shd w:val="clear" w:color="auto" w:fill="auto"/>
            <w:noWrap/>
            <w:vAlign w:val="center"/>
            <w:hideMark/>
          </w:tcPr>
          <w:p w14:paraId="4850CDE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0,1929</w:t>
            </w:r>
          </w:p>
        </w:tc>
        <w:tc>
          <w:tcPr>
            <w:tcW w:w="1803" w:type="dxa"/>
            <w:tcBorders>
              <w:top w:val="nil"/>
              <w:left w:val="nil"/>
              <w:bottom w:val="single" w:sz="4" w:space="0" w:color="auto"/>
              <w:right w:val="single" w:sz="4" w:space="0" w:color="auto"/>
            </w:tcBorders>
            <w:shd w:val="clear" w:color="auto" w:fill="auto"/>
            <w:noWrap/>
            <w:vAlign w:val="center"/>
            <w:hideMark/>
          </w:tcPr>
          <w:p w14:paraId="5EF78CF3"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-0,1143</w:t>
            </w:r>
          </w:p>
        </w:tc>
        <w:tc>
          <w:tcPr>
            <w:tcW w:w="1806" w:type="dxa"/>
            <w:tcBorders>
              <w:top w:val="nil"/>
              <w:left w:val="nil"/>
              <w:bottom w:val="single" w:sz="4" w:space="0" w:color="auto"/>
              <w:right w:val="single" w:sz="4" w:space="0" w:color="auto"/>
            </w:tcBorders>
            <w:shd w:val="clear" w:color="auto" w:fill="auto"/>
            <w:noWrap/>
            <w:vAlign w:val="center"/>
            <w:hideMark/>
          </w:tcPr>
          <w:p w14:paraId="59E7406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0,1922</w:t>
            </w:r>
          </w:p>
        </w:tc>
        <w:tc>
          <w:tcPr>
            <w:tcW w:w="2216" w:type="dxa"/>
            <w:tcBorders>
              <w:top w:val="nil"/>
              <w:left w:val="nil"/>
              <w:bottom w:val="single" w:sz="4" w:space="0" w:color="auto"/>
              <w:right w:val="single" w:sz="4" w:space="0" w:color="auto"/>
            </w:tcBorders>
            <w:shd w:val="clear" w:color="auto" w:fill="auto"/>
            <w:noWrap/>
            <w:vAlign w:val="center"/>
            <w:hideMark/>
          </w:tcPr>
          <w:p w14:paraId="179ED8D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1,0731</w:t>
            </w:r>
          </w:p>
        </w:tc>
        <w:tc>
          <w:tcPr>
            <w:tcW w:w="1271" w:type="dxa"/>
            <w:tcBorders>
              <w:top w:val="nil"/>
              <w:left w:val="nil"/>
              <w:bottom w:val="single" w:sz="4" w:space="0" w:color="auto"/>
              <w:right w:val="single" w:sz="4" w:space="0" w:color="auto"/>
            </w:tcBorders>
            <w:shd w:val="clear" w:color="auto" w:fill="auto"/>
            <w:noWrap/>
            <w:vAlign w:val="center"/>
            <w:hideMark/>
          </w:tcPr>
          <w:p w14:paraId="43F1314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-0,0020</w:t>
            </w:r>
          </w:p>
        </w:tc>
      </w:tr>
      <w:tr w:rsidR="003157BA" w:rsidRPr="003157BA" w14:paraId="232ECACA"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0F7C313B"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Energía</w:t>
            </w:r>
          </w:p>
        </w:tc>
        <w:tc>
          <w:tcPr>
            <w:tcW w:w="1715" w:type="dxa"/>
            <w:tcBorders>
              <w:top w:val="nil"/>
              <w:left w:val="nil"/>
              <w:bottom w:val="single" w:sz="4" w:space="0" w:color="auto"/>
              <w:right w:val="single" w:sz="4" w:space="0" w:color="auto"/>
            </w:tcBorders>
            <w:shd w:val="clear" w:color="auto" w:fill="auto"/>
            <w:noWrap/>
            <w:vAlign w:val="center"/>
            <w:hideMark/>
          </w:tcPr>
          <w:p w14:paraId="2A795D7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1,1199</w:t>
            </w:r>
          </w:p>
        </w:tc>
        <w:tc>
          <w:tcPr>
            <w:tcW w:w="1803" w:type="dxa"/>
            <w:tcBorders>
              <w:top w:val="nil"/>
              <w:left w:val="nil"/>
              <w:bottom w:val="single" w:sz="4" w:space="0" w:color="auto"/>
              <w:right w:val="single" w:sz="4" w:space="0" w:color="auto"/>
            </w:tcBorders>
            <w:shd w:val="clear" w:color="auto" w:fill="auto"/>
            <w:noWrap/>
            <w:vAlign w:val="center"/>
            <w:hideMark/>
          </w:tcPr>
          <w:p w14:paraId="0D030DC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0,1724</w:t>
            </w:r>
          </w:p>
        </w:tc>
        <w:tc>
          <w:tcPr>
            <w:tcW w:w="1806" w:type="dxa"/>
            <w:tcBorders>
              <w:top w:val="nil"/>
              <w:left w:val="nil"/>
              <w:bottom w:val="single" w:sz="4" w:space="0" w:color="auto"/>
              <w:right w:val="single" w:sz="4" w:space="0" w:color="auto"/>
            </w:tcBorders>
            <w:shd w:val="clear" w:color="auto" w:fill="auto"/>
            <w:noWrap/>
            <w:vAlign w:val="center"/>
            <w:hideMark/>
          </w:tcPr>
          <w:p w14:paraId="493333B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-0,0410</w:t>
            </w:r>
          </w:p>
        </w:tc>
        <w:tc>
          <w:tcPr>
            <w:tcW w:w="2216" w:type="dxa"/>
            <w:tcBorders>
              <w:top w:val="nil"/>
              <w:left w:val="nil"/>
              <w:bottom w:val="single" w:sz="4" w:space="0" w:color="auto"/>
              <w:right w:val="single" w:sz="4" w:space="0" w:color="auto"/>
            </w:tcBorders>
            <w:shd w:val="clear" w:color="auto" w:fill="auto"/>
            <w:noWrap/>
            <w:vAlign w:val="center"/>
            <w:hideMark/>
          </w:tcPr>
          <w:p w14:paraId="4C542A28"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1,0070</w:t>
            </w:r>
          </w:p>
        </w:tc>
        <w:tc>
          <w:tcPr>
            <w:tcW w:w="1271" w:type="dxa"/>
            <w:tcBorders>
              <w:top w:val="nil"/>
              <w:left w:val="nil"/>
              <w:bottom w:val="single" w:sz="4" w:space="0" w:color="auto"/>
              <w:right w:val="single" w:sz="4" w:space="0" w:color="auto"/>
            </w:tcBorders>
            <w:shd w:val="clear" w:color="auto" w:fill="auto"/>
            <w:noWrap/>
            <w:vAlign w:val="center"/>
            <w:hideMark/>
          </w:tcPr>
          <w:p w14:paraId="53E2143A"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0,0002</w:t>
            </w:r>
          </w:p>
        </w:tc>
      </w:tr>
      <w:tr w:rsidR="003157BA" w:rsidRPr="003157BA" w14:paraId="53C5C69E"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5526796E"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Medios de Comunicación</w:t>
            </w:r>
          </w:p>
        </w:tc>
        <w:tc>
          <w:tcPr>
            <w:tcW w:w="1715" w:type="dxa"/>
            <w:tcBorders>
              <w:top w:val="nil"/>
              <w:left w:val="nil"/>
              <w:bottom w:val="single" w:sz="4" w:space="0" w:color="auto"/>
              <w:right w:val="single" w:sz="4" w:space="0" w:color="auto"/>
            </w:tcBorders>
            <w:shd w:val="clear" w:color="auto" w:fill="auto"/>
            <w:noWrap/>
            <w:vAlign w:val="center"/>
            <w:hideMark/>
          </w:tcPr>
          <w:p w14:paraId="400D46D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-0,1716</w:t>
            </w:r>
          </w:p>
        </w:tc>
        <w:tc>
          <w:tcPr>
            <w:tcW w:w="1803" w:type="dxa"/>
            <w:tcBorders>
              <w:top w:val="nil"/>
              <w:left w:val="nil"/>
              <w:bottom w:val="single" w:sz="4" w:space="0" w:color="auto"/>
              <w:right w:val="single" w:sz="4" w:space="0" w:color="auto"/>
            </w:tcBorders>
            <w:shd w:val="clear" w:color="auto" w:fill="auto"/>
            <w:noWrap/>
            <w:vAlign w:val="center"/>
            <w:hideMark/>
          </w:tcPr>
          <w:p w14:paraId="586312F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-0,1040</w:t>
            </w:r>
          </w:p>
        </w:tc>
        <w:tc>
          <w:tcPr>
            <w:tcW w:w="1806" w:type="dxa"/>
            <w:tcBorders>
              <w:top w:val="nil"/>
              <w:left w:val="nil"/>
              <w:bottom w:val="single" w:sz="4" w:space="0" w:color="auto"/>
              <w:right w:val="single" w:sz="4" w:space="0" w:color="auto"/>
            </w:tcBorders>
            <w:shd w:val="clear" w:color="auto" w:fill="auto"/>
            <w:noWrap/>
            <w:vAlign w:val="center"/>
            <w:hideMark/>
          </w:tcPr>
          <w:p w14:paraId="6BDCB4A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-0,0918</w:t>
            </w:r>
          </w:p>
        </w:tc>
        <w:tc>
          <w:tcPr>
            <w:tcW w:w="2216" w:type="dxa"/>
            <w:tcBorders>
              <w:top w:val="nil"/>
              <w:left w:val="nil"/>
              <w:bottom w:val="single" w:sz="4" w:space="0" w:color="auto"/>
              <w:right w:val="single" w:sz="4" w:space="0" w:color="auto"/>
            </w:tcBorders>
            <w:shd w:val="clear" w:color="auto" w:fill="auto"/>
            <w:noWrap/>
            <w:vAlign w:val="center"/>
            <w:hideMark/>
          </w:tcPr>
          <w:p w14:paraId="0D0A3ED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0,9401</w:t>
            </w:r>
          </w:p>
        </w:tc>
        <w:tc>
          <w:tcPr>
            <w:tcW w:w="1271" w:type="dxa"/>
            <w:tcBorders>
              <w:top w:val="nil"/>
              <w:left w:val="nil"/>
              <w:bottom w:val="single" w:sz="4" w:space="0" w:color="auto"/>
              <w:right w:val="single" w:sz="4" w:space="0" w:color="auto"/>
            </w:tcBorders>
            <w:shd w:val="clear" w:color="auto" w:fill="auto"/>
            <w:noWrap/>
            <w:vAlign w:val="center"/>
            <w:hideMark/>
          </w:tcPr>
          <w:p w14:paraId="5D1A449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-0,0008</w:t>
            </w:r>
          </w:p>
        </w:tc>
      </w:tr>
      <w:tr w:rsidR="003157BA" w:rsidRPr="003157BA" w14:paraId="788DB1D0"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656187F8"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Industriales</w:t>
            </w:r>
          </w:p>
        </w:tc>
        <w:tc>
          <w:tcPr>
            <w:tcW w:w="1715" w:type="dxa"/>
            <w:tcBorders>
              <w:top w:val="nil"/>
              <w:left w:val="nil"/>
              <w:bottom w:val="single" w:sz="4" w:space="0" w:color="auto"/>
              <w:right w:val="single" w:sz="4" w:space="0" w:color="auto"/>
            </w:tcBorders>
            <w:shd w:val="clear" w:color="auto" w:fill="auto"/>
            <w:noWrap/>
            <w:vAlign w:val="center"/>
            <w:hideMark/>
          </w:tcPr>
          <w:p w14:paraId="69AA168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0,4144</w:t>
            </w:r>
          </w:p>
        </w:tc>
        <w:tc>
          <w:tcPr>
            <w:tcW w:w="1803" w:type="dxa"/>
            <w:tcBorders>
              <w:top w:val="nil"/>
              <w:left w:val="nil"/>
              <w:bottom w:val="single" w:sz="4" w:space="0" w:color="auto"/>
              <w:right w:val="single" w:sz="4" w:space="0" w:color="auto"/>
            </w:tcBorders>
            <w:shd w:val="clear" w:color="auto" w:fill="auto"/>
            <w:noWrap/>
            <w:vAlign w:val="center"/>
            <w:hideMark/>
          </w:tcPr>
          <w:p w14:paraId="3D2E0B6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0,0702</w:t>
            </w:r>
          </w:p>
        </w:tc>
        <w:tc>
          <w:tcPr>
            <w:tcW w:w="1806" w:type="dxa"/>
            <w:tcBorders>
              <w:top w:val="nil"/>
              <w:left w:val="nil"/>
              <w:bottom w:val="single" w:sz="4" w:space="0" w:color="auto"/>
              <w:right w:val="single" w:sz="4" w:space="0" w:color="auto"/>
            </w:tcBorders>
            <w:shd w:val="clear" w:color="auto" w:fill="auto"/>
            <w:noWrap/>
            <w:vAlign w:val="center"/>
            <w:hideMark/>
          </w:tcPr>
          <w:p w14:paraId="2A79807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0,1190</w:t>
            </w:r>
          </w:p>
        </w:tc>
        <w:tc>
          <w:tcPr>
            <w:tcW w:w="2216" w:type="dxa"/>
            <w:tcBorders>
              <w:top w:val="nil"/>
              <w:left w:val="nil"/>
              <w:bottom w:val="single" w:sz="4" w:space="0" w:color="auto"/>
              <w:right w:val="single" w:sz="4" w:space="0" w:color="auto"/>
            </w:tcBorders>
            <w:shd w:val="clear" w:color="auto" w:fill="auto"/>
            <w:noWrap/>
            <w:vAlign w:val="center"/>
            <w:hideMark/>
          </w:tcPr>
          <w:p w14:paraId="1242E2C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1,0265</w:t>
            </w:r>
          </w:p>
        </w:tc>
        <w:tc>
          <w:tcPr>
            <w:tcW w:w="1271" w:type="dxa"/>
            <w:tcBorders>
              <w:top w:val="nil"/>
              <w:left w:val="nil"/>
              <w:bottom w:val="single" w:sz="4" w:space="0" w:color="auto"/>
              <w:right w:val="single" w:sz="4" w:space="0" w:color="auto"/>
            </w:tcBorders>
            <w:shd w:val="clear" w:color="auto" w:fill="auto"/>
            <w:noWrap/>
            <w:vAlign w:val="center"/>
            <w:hideMark/>
          </w:tcPr>
          <w:p w14:paraId="2B01A117"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-0,0007</w:t>
            </w:r>
          </w:p>
        </w:tc>
      </w:tr>
      <w:tr w:rsidR="003157BA" w:rsidRPr="003157BA" w14:paraId="35FAB9AF"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6EEB7D2F"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 xml:space="preserve">Servicios </w:t>
            </w:r>
          </w:p>
        </w:tc>
        <w:tc>
          <w:tcPr>
            <w:tcW w:w="1715" w:type="dxa"/>
            <w:tcBorders>
              <w:top w:val="nil"/>
              <w:left w:val="nil"/>
              <w:bottom w:val="single" w:sz="4" w:space="0" w:color="auto"/>
              <w:right w:val="single" w:sz="4" w:space="0" w:color="auto"/>
            </w:tcBorders>
            <w:shd w:val="clear" w:color="auto" w:fill="auto"/>
            <w:noWrap/>
            <w:vAlign w:val="center"/>
            <w:hideMark/>
          </w:tcPr>
          <w:p w14:paraId="5B2E616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0,2358</w:t>
            </w:r>
          </w:p>
        </w:tc>
        <w:tc>
          <w:tcPr>
            <w:tcW w:w="1803" w:type="dxa"/>
            <w:tcBorders>
              <w:top w:val="nil"/>
              <w:left w:val="nil"/>
              <w:bottom w:val="single" w:sz="4" w:space="0" w:color="auto"/>
              <w:right w:val="single" w:sz="4" w:space="0" w:color="auto"/>
            </w:tcBorders>
            <w:shd w:val="clear" w:color="auto" w:fill="auto"/>
            <w:noWrap/>
            <w:vAlign w:val="center"/>
            <w:hideMark/>
          </w:tcPr>
          <w:p w14:paraId="1D5B3A2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-0,3889</w:t>
            </w:r>
          </w:p>
        </w:tc>
        <w:tc>
          <w:tcPr>
            <w:tcW w:w="1806" w:type="dxa"/>
            <w:tcBorders>
              <w:top w:val="nil"/>
              <w:left w:val="nil"/>
              <w:bottom w:val="single" w:sz="4" w:space="0" w:color="auto"/>
              <w:right w:val="single" w:sz="4" w:space="0" w:color="auto"/>
            </w:tcBorders>
            <w:shd w:val="clear" w:color="auto" w:fill="auto"/>
            <w:noWrap/>
            <w:vAlign w:val="center"/>
            <w:hideMark/>
          </w:tcPr>
          <w:p w14:paraId="4FD1E70B"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-0,0121</w:t>
            </w:r>
          </w:p>
        </w:tc>
        <w:tc>
          <w:tcPr>
            <w:tcW w:w="2216" w:type="dxa"/>
            <w:tcBorders>
              <w:top w:val="nil"/>
              <w:left w:val="nil"/>
              <w:bottom w:val="single" w:sz="4" w:space="0" w:color="auto"/>
              <w:right w:val="single" w:sz="4" w:space="0" w:color="auto"/>
            </w:tcBorders>
            <w:shd w:val="clear" w:color="auto" w:fill="auto"/>
            <w:noWrap/>
            <w:vAlign w:val="center"/>
            <w:hideMark/>
          </w:tcPr>
          <w:p w14:paraId="42996FC8"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0,8859</w:t>
            </w:r>
          </w:p>
        </w:tc>
        <w:tc>
          <w:tcPr>
            <w:tcW w:w="1271" w:type="dxa"/>
            <w:tcBorders>
              <w:top w:val="nil"/>
              <w:left w:val="nil"/>
              <w:bottom w:val="single" w:sz="4" w:space="0" w:color="auto"/>
              <w:right w:val="single" w:sz="4" w:space="0" w:color="auto"/>
            </w:tcBorders>
            <w:shd w:val="clear" w:color="auto" w:fill="auto"/>
            <w:noWrap/>
            <w:vAlign w:val="center"/>
            <w:hideMark/>
          </w:tcPr>
          <w:p w14:paraId="13621CE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-0,0010</w:t>
            </w:r>
          </w:p>
        </w:tc>
      </w:tr>
      <w:tr w:rsidR="003157BA" w:rsidRPr="003157BA" w14:paraId="1AAC73ED" w14:textId="77777777" w:rsidTr="003157BA">
        <w:trPr>
          <w:trHeight w:val="306"/>
          <w:jc w:val="center"/>
        </w:trPr>
        <w:tc>
          <w:tcPr>
            <w:tcW w:w="385" w:type="dxa"/>
            <w:tcBorders>
              <w:top w:val="nil"/>
              <w:left w:val="nil"/>
              <w:bottom w:val="nil"/>
              <w:right w:val="nil"/>
            </w:tcBorders>
            <w:shd w:val="clear" w:color="auto" w:fill="auto"/>
            <w:noWrap/>
            <w:vAlign w:val="center"/>
            <w:hideMark/>
          </w:tcPr>
          <w:p w14:paraId="6EB22F2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p>
        </w:tc>
        <w:tc>
          <w:tcPr>
            <w:tcW w:w="1865" w:type="dxa"/>
            <w:tcBorders>
              <w:top w:val="nil"/>
              <w:left w:val="nil"/>
              <w:bottom w:val="nil"/>
              <w:right w:val="nil"/>
            </w:tcBorders>
            <w:shd w:val="clear" w:color="auto" w:fill="auto"/>
            <w:noWrap/>
            <w:vAlign w:val="center"/>
            <w:hideMark/>
          </w:tcPr>
          <w:p w14:paraId="44C827C3"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715" w:type="dxa"/>
            <w:tcBorders>
              <w:top w:val="nil"/>
              <w:left w:val="nil"/>
              <w:bottom w:val="nil"/>
              <w:right w:val="nil"/>
            </w:tcBorders>
            <w:shd w:val="clear" w:color="auto" w:fill="auto"/>
            <w:noWrap/>
            <w:vAlign w:val="bottom"/>
            <w:hideMark/>
          </w:tcPr>
          <w:p w14:paraId="4DAA4505"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03" w:type="dxa"/>
            <w:tcBorders>
              <w:top w:val="nil"/>
              <w:left w:val="nil"/>
              <w:bottom w:val="nil"/>
              <w:right w:val="nil"/>
            </w:tcBorders>
            <w:shd w:val="clear" w:color="auto" w:fill="auto"/>
            <w:noWrap/>
            <w:vAlign w:val="bottom"/>
            <w:hideMark/>
          </w:tcPr>
          <w:p w14:paraId="1826C136"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06" w:type="dxa"/>
            <w:tcBorders>
              <w:top w:val="nil"/>
              <w:left w:val="nil"/>
              <w:bottom w:val="nil"/>
              <w:right w:val="nil"/>
            </w:tcBorders>
            <w:shd w:val="clear" w:color="auto" w:fill="auto"/>
            <w:noWrap/>
            <w:vAlign w:val="bottom"/>
            <w:hideMark/>
          </w:tcPr>
          <w:p w14:paraId="21CEF9C7"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2216" w:type="dxa"/>
            <w:tcBorders>
              <w:top w:val="nil"/>
              <w:left w:val="nil"/>
              <w:bottom w:val="nil"/>
              <w:right w:val="nil"/>
            </w:tcBorders>
            <w:shd w:val="clear" w:color="auto" w:fill="auto"/>
            <w:noWrap/>
            <w:vAlign w:val="bottom"/>
            <w:hideMark/>
          </w:tcPr>
          <w:p w14:paraId="1C5113DF"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271" w:type="dxa"/>
            <w:tcBorders>
              <w:top w:val="nil"/>
              <w:left w:val="nil"/>
              <w:bottom w:val="nil"/>
              <w:right w:val="nil"/>
            </w:tcBorders>
            <w:shd w:val="clear" w:color="auto" w:fill="auto"/>
            <w:noWrap/>
            <w:vAlign w:val="bottom"/>
            <w:hideMark/>
          </w:tcPr>
          <w:p w14:paraId="6D741DE9"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r>
      <w:tr w:rsidR="003157BA" w:rsidRPr="003157BA" w14:paraId="3A655221"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64E7FD5F"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 </w:t>
            </w:r>
          </w:p>
        </w:tc>
        <w:tc>
          <w:tcPr>
            <w:tcW w:w="1715" w:type="dxa"/>
            <w:tcBorders>
              <w:top w:val="single" w:sz="4" w:space="0" w:color="auto"/>
              <w:left w:val="nil"/>
              <w:bottom w:val="single" w:sz="4" w:space="0" w:color="auto"/>
              <w:right w:val="single" w:sz="4" w:space="0" w:color="auto"/>
            </w:tcBorders>
            <w:shd w:val="clear" w:color="000000" w:fill="002060"/>
            <w:noWrap/>
            <w:vAlign w:val="center"/>
            <w:hideMark/>
          </w:tcPr>
          <w:p w14:paraId="32F02125"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pvalorHML</w:t>
            </w:r>
            <w:proofErr w:type="spellEnd"/>
          </w:p>
        </w:tc>
        <w:tc>
          <w:tcPr>
            <w:tcW w:w="1803" w:type="dxa"/>
            <w:tcBorders>
              <w:top w:val="single" w:sz="4" w:space="0" w:color="auto"/>
              <w:left w:val="nil"/>
              <w:bottom w:val="single" w:sz="4" w:space="0" w:color="auto"/>
              <w:right w:val="single" w:sz="4" w:space="0" w:color="auto"/>
            </w:tcBorders>
            <w:shd w:val="clear" w:color="000000" w:fill="002060"/>
            <w:noWrap/>
            <w:vAlign w:val="center"/>
            <w:hideMark/>
          </w:tcPr>
          <w:p w14:paraId="4134570B"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pvalorSMB</w:t>
            </w:r>
            <w:proofErr w:type="spellEnd"/>
          </w:p>
        </w:tc>
        <w:tc>
          <w:tcPr>
            <w:tcW w:w="1806" w:type="dxa"/>
            <w:tcBorders>
              <w:top w:val="single" w:sz="4" w:space="0" w:color="auto"/>
              <w:left w:val="nil"/>
              <w:bottom w:val="single" w:sz="4" w:space="0" w:color="auto"/>
              <w:right w:val="single" w:sz="4" w:space="0" w:color="auto"/>
            </w:tcBorders>
            <w:shd w:val="clear" w:color="000000" w:fill="002060"/>
            <w:noWrap/>
            <w:vAlign w:val="center"/>
            <w:hideMark/>
          </w:tcPr>
          <w:p w14:paraId="0FFC093B"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pvalorconst</w:t>
            </w:r>
            <w:proofErr w:type="spellEnd"/>
          </w:p>
        </w:tc>
        <w:tc>
          <w:tcPr>
            <w:tcW w:w="2216" w:type="dxa"/>
            <w:tcBorders>
              <w:top w:val="single" w:sz="4" w:space="0" w:color="auto"/>
              <w:left w:val="nil"/>
              <w:bottom w:val="single" w:sz="4" w:space="0" w:color="auto"/>
              <w:right w:val="single" w:sz="4" w:space="0" w:color="auto"/>
            </w:tcBorders>
            <w:shd w:val="clear" w:color="000000" w:fill="002060"/>
            <w:noWrap/>
            <w:vAlign w:val="center"/>
            <w:hideMark/>
          </w:tcPr>
          <w:p w14:paraId="52FAD3CE"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pvalorflujos</w:t>
            </w:r>
            <w:proofErr w:type="spellEnd"/>
          </w:p>
        </w:tc>
        <w:tc>
          <w:tcPr>
            <w:tcW w:w="1271" w:type="dxa"/>
            <w:tcBorders>
              <w:top w:val="single" w:sz="4" w:space="0" w:color="auto"/>
              <w:left w:val="nil"/>
              <w:bottom w:val="single" w:sz="4" w:space="0" w:color="auto"/>
              <w:right w:val="single" w:sz="4" w:space="0" w:color="auto"/>
            </w:tcBorders>
            <w:shd w:val="clear" w:color="000000" w:fill="002060"/>
            <w:noWrap/>
            <w:vAlign w:val="center"/>
            <w:hideMark/>
          </w:tcPr>
          <w:p w14:paraId="7B9C6897"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roofErr w:type="spellStart"/>
            <w:r w:rsidRPr="003157BA">
              <w:rPr>
                <w:rFonts w:ascii="Times New Roman" w:eastAsia="Times New Roman" w:hAnsi="Times New Roman" w:cs="Times New Roman"/>
                <w:color w:val="FFFFFF"/>
                <w:kern w:val="0"/>
                <w:sz w:val="24"/>
                <w:szCs w:val="24"/>
                <w:lang w:eastAsia="es-ES"/>
                <w14:ligatures w14:val="none"/>
              </w:rPr>
              <w:t>pvalorrmrf</w:t>
            </w:r>
            <w:proofErr w:type="spellEnd"/>
          </w:p>
        </w:tc>
      </w:tr>
      <w:tr w:rsidR="003157BA" w:rsidRPr="003157BA" w14:paraId="1218346B"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5C0C9DC5"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Consumo Cíclico</w:t>
            </w:r>
          </w:p>
        </w:tc>
        <w:tc>
          <w:tcPr>
            <w:tcW w:w="1715" w:type="dxa"/>
            <w:tcBorders>
              <w:top w:val="nil"/>
              <w:left w:val="nil"/>
              <w:bottom w:val="single" w:sz="4" w:space="0" w:color="auto"/>
              <w:right w:val="single" w:sz="4" w:space="0" w:color="auto"/>
            </w:tcBorders>
            <w:shd w:val="clear" w:color="auto" w:fill="auto"/>
            <w:noWrap/>
            <w:vAlign w:val="center"/>
            <w:hideMark/>
          </w:tcPr>
          <w:p w14:paraId="6B0D69FA"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0,4270</w:t>
            </w:r>
          </w:p>
        </w:tc>
        <w:tc>
          <w:tcPr>
            <w:tcW w:w="1803" w:type="dxa"/>
            <w:tcBorders>
              <w:top w:val="nil"/>
              <w:left w:val="nil"/>
              <w:bottom w:val="single" w:sz="4" w:space="0" w:color="auto"/>
              <w:right w:val="single" w:sz="4" w:space="0" w:color="auto"/>
            </w:tcBorders>
            <w:shd w:val="clear" w:color="auto" w:fill="auto"/>
            <w:noWrap/>
            <w:vAlign w:val="center"/>
            <w:hideMark/>
          </w:tcPr>
          <w:p w14:paraId="7CA78CB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0,0001</w:t>
            </w:r>
          </w:p>
        </w:tc>
        <w:tc>
          <w:tcPr>
            <w:tcW w:w="1806" w:type="dxa"/>
            <w:tcBorders>
              <w:top w:val="nil"/>
              <w:left w:val="nil"/>
              <w:bottom w:val="single" w:sz="4" w:space="0" w:color="auto"/>
              <w:right w:val="single" w:sz="4" w:space="0" w:color="auto"/>
            </w:tcBorders>
            <w:shd w:val="clear" w:color="auto" w:fill="auto"/>
            <w:noWrap/>
            <w:vAlign w:val="center"/>
            <w:hideMark/>
          </w:tcPr>
          <w:p w14:paraId="42CEFE4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0,5628</w:t>
            </w:r>
          </w:p>
        </w:tc>
        <w:tc>
          <w:tcPr>
            <w:tcW w:w="2216" w:type="dxa"/>
            <w:tcBorders>
              <w:top w:val="nil"/>
              <w:left w:val="nil"/>
              <w:bottom w:val="single" w:sz="4" w:space="0" w:color="auto"/>
              <w:right w:val="single" w:sz="4" w:space="0" w:color="auto"/>
            </w:tcBorders>
            <w:shd w:val="clear" w:color="auto" w:fill="auto"/>
            <w:noWrap/>
            <w:vAlign w:val="center"/>
            <w:hideMark/>
          </w:tcPr>
          <w:p w14:paraId="19FEF9D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0,5795</w:t>
            </w:r>
          </w:p>
        </w:tc>
        <w:tc>
          <w:tcPr>
            <w:tcW w:w="1271" w:type="dxa"/>
            <w:tcBorders>
              <w:top w:val="nil"/>
              <w:left w:val="nil"/>
              <w:bottom w:val="single" w:sz="4" w:space="0" w:color="auto"/>
              <w:right w:val="single" w:sz="4" w:space="0" w:color="auto"/>
            </w:tcBorders>
            <w:shd w:val="clear" w:color="auto" w:fill="auto"/>
            <w:noWrap/>
            <w:vAlign w:val="center"/>
            <w:hideMark/>
          </w:tcPr>
          <w:p w14:paraId="65C3581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2533CB0E"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459FA538"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Materiales Básicos</w:t>
            </w:r>
          </w:p>
        </w:tc>
        <w:tc>
          <w:tcPr>
            <w:tcW w:w="1715" w:type="dxa"/>
            <w:tcBorders>
              <w:top w:val="nil"/>
              <w:left w:val="nil"/>
              <w:bottom w:val="single" w:sz="4" w:space="0" w:color="auto"/>
              <w:right w:val="single" w:sz="4" w:space="0" w:color="auto"/>
            </w:tcBorders>
            <w:shd w:val="clear" w:color="auto" w:fill="auto"/>
            <w:noWrap/>
            <w:vAlign w:val="center"/>
            <w:hideMark/>
          </w:tcPr>
          <w:p w14:paraId="18921F9A"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c>
          <w:tcPr>
            <w:tcW w:w="1803" w:type="dxa"/>
            <w:tcBorders>
              <w:top w:val="nil"/>
              <w:left w:val="nil"/>
              <w:bottom w:val="single" w:sz="4" w:space="0" w:color="auto"/>
              <w:right w:val="single" w:sz="4" w:space="0" w:color="auto"/>
            </w:tcBorders>
            <w:shd w:val="clear" w:color="auto" w:fill="auto"/>
            <w:noWrap/>
            <w:vAlign w:val="center"/>
            <w:hideMark/>
          </w:tcPr>
          <w:p w14:paraId="38D30AA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0,0030</w:t>
            </w:r>
          </w:p>
        </w:tc>
        <w:tc>
          <w:tcPr>
            <w:tcW w:w="1806" w:type="dxa"/>
            <w:tcBorders>
              <w:top w:val="nil"/>
              <w:left w:val="nil"/>
              <w:bottom w:val="single" w:sz="4" w:space="0" w:color="auto"/>
              <w:right w:val="single" w:sz="4" w:space="0" w:color="auto"/>
            </w:tcBorders>
            <w:shd w:val="clear" w:color="auto" w:fill="auto"/>
            <w:noWrap/>
            <w:vAlign w:val="center"/>
            <w:hideMark/>
          </w:tcPr>
          <w:p w14:paraId="134C428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0,9459</w:t>
            </w:r>
          </w:p>
        </w:tc>
        <w:tc>
          <w:tcPr>
            <w:tcW w:w="2216" w:type="dxa"/>
            <w:tcBorders>
              <w:top w:val="nil"/>
              <w:left w:val="nil"/>
              <w:bottom w:val="single" w:sz="4" w:space="0" w:color="auto"/>
              <w:right w:val="single" w:sz="4" w:space="0" w:color="auto"/>
            </w:tcBorders>
            <w:shd w:val="clear" w:color="auto" w:fill="auto"/>
            <w:noWrap/>
            <w:vAlign w:val="center"/>
            <w:hideMark/>
          </w:tcPr>
          <w:p w14:paraId="6FA0B557"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0,4281</w:t>
            </w:r>
          </w:p>
        </w:tc>
        <w:tc>
          <w:tcPr>
            <w:tcW w:w="1271" w:type="dxa"/>
            <w:tcBorders>
              <w:top w:val="nil"/>
              <w:left w:val="nil"/>
              <w:bottom w:val="single" w:sz="4" w:space="0" w:color="auto"/>
              <w:right w:val="single" w:sz="4" w:space="0" w:color="auto"/>
            </w:tcBorders>
            <w:shd w:val="clear" w:color="auto" w:fill="auto"/>
            <w:noWrap/>
            <w:vAlign w:val="center"/>
            <w:hideMark/>
          </w:tcPr>
          <w:p w14:paraId="0359C05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57DAF9D5"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4F019394"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Salud</w:t>
            </w:r>
          </w:p>
        </w:tc>
        <w:tc>
          <w:tcPr>
            <w:tcW w:w="1715" w:type="dxa"/>
            <w:tcBorders>
              <w:top w:val="nil"/>
              <w:left w:val="nil"/>
              <w:bottom w:val="single" w:sz="4" w:space="0" w:color="auto"/>
              <w:right w:val="single" w:sz="4" w:space="0" w:color="auto"/>
            </w:tcBorders>
            <w:shd w:val="clear" w:color="auto" w:fill="auto"/>
            <w:noWrap/>
            <w:vAlign w:val="center"/>
            <w:hideMark/>
          </w:tcPr>
          <w:p w14:paraId="0A87772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0,0647</w:t>
            </w:r>
          </w:p>
        </w:tc>
        <w:tc>
          <w:tcPr>
            <w:tcW w:w="1803" w:type="dxa"/>
            <w:tcBorders>
              <w:top w:val="nil"/>
              <w:left w:val="nil"/>
              <w:bottom w:val="single" w:sz="4" w:space="0" w:color="auto"/>
              <w:right w:val="single" w:sz="4" w:space="0" w:color="auto"/>
            </w:tcBorders>
            <w:shd w:val="clear" w:color="auto" w:fill="auto"/>
            <w:noWrap/>
            <w:vAlign w:val="center"/>
            <w:hideMark/>
          </w:tcPr>
          <w:p w14:paraId="09F2B33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0,0001</w:t>
            </w:r>
          </w:p>
        </w:tc>
        <w:tc>
          <w:tcPr>
            <w:tcW w:w="1806" w:type="dxa"/>
            <w:tcBorders>
              <w:top w:val="nil"/>
              <w:left w:val="nil"/>
              <w:bottom w:val="single" w:sz="4" w:space="0" w:color="auto"/>
              <w:right w:val="single" w:sz="4" w:space="0" w:color="auto"/>
            </w:tcBorders>
            <w:shd w:val="clear" w:color="auto" w:fill="auto"/>
            <w:noWrap/>
            <w:vAlign w:val="center"/>
            <w:hideMark/>
          </w:tcPr>
          <w:p w14:paraId="3ED2FB1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0,7488</w:t>
            </w:r>
          </w:p>
        </w:tc>
        <w:tc>
          <w:tcPr>
            <w:tcW w:w="2216" w:type="dxa"/>
            <w:tcBorders>
              <w:top w:val="nil"/>
              <w:left w:val="nil"/>
              <w:bottom w:val="single" w:sz="4" w:space="0" w:color="auto"/>
              <w:right w:val="single" w:sz="4" w:space="0" w:color="auto"/>
            </w:tcBorders>
            <w:shd w:val="clear" w:color="auto" w:fill="auto"/>
            <w:noWrap/>
            <w:vAlign w:val="center"/>
            <w:hideMark/>
          </w:tcPr>
          <w:p w14:paraId="3EF833B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0,0416</w:t>
            </w:r>
          </w:p>
        </w:tc>
        <w:tc>
          <w:tcPr>
            <w:tcW w:w="1271" w:type="dxa"/>
            <w:tcBorders>
              <w:top w:val="nil"/>
              <w:left w:val="nil"/>
              <w:bottom w:val="single" w:sz="4" w:space="0" w:color="auto"/>
              <w:right w:val="single" w:sz="4" w:space="0" w:color="auto"/>
            </w:tcBorders>
            <w:shd w:val="clear" w:color="auto" w:fill="auto"/>
            <w:noWrap/>
            <w:vAlign w:val="center"/>
            <w:hideMark/>
          </w:tcPr>
          <w:p w14:paraId="52E5E04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307852E6"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06AF56FF"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Tecnología</w:t>
            </w:r>
          </w:p>
        </w:tc>
        <w:tc>
          <w:tcPr>
            <w:tcW w:w="1715" w:type="dxa"/>
            <w:tcBorders>
              <w:top w:val="nil"/>
              <w:left w:val="nil"/>
              <w:bottom w:val="single" w:sz="4" w:space="0" w:color="auto"/>
              <w:right w:val="single" w:sz="4" w:space="0" w:color="auto"/>
            </w:tcBorders>
            <w:shd w:val="clear" w:color="auto" w:fill="auto"/>
            <w:noWrap/>
            <w:vAlign w:val="center"/>
            <w:hideMark/>
          </w:tcPr>
          <w:p w14:paraId="0FA9165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c>
          <w:tcPr>
            <w:tcW w:w="1803" w:type="dxa"/>
            <w:tcBorders>
              <w:top w:val="nil"/>
              <w:left w:val="nil"/>
              <w:bottom w:val="single" w:sz="4" w:space="0" w:color="auto"/>
              <w:right w:val="single" w:sz="4" w:space="0" w:color="auto"/>
            </w:tcBorders>
            <w:shd w:val="clear" w:color="auto" w:fill="auto"/>
            <w:noWrap/>
            <w:vAlign w:val="center"/>
            <w:hideMark/>
          </w:tcPr>
          <w:p w14:paraId="64CB70DB"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c>
          <w:tcPr>
            <w:tcW w:w="1806" w:type="dxa"/>
            <w:tcBorders>
              <w:top w:val="nil"/>
              <w:left w:val="nil"/>
              <w:bottom w:val="single" w:sz="4" w:space="0" w:color="auto"/>
              <w:right w:val="single" w:sz="4" w:space="0" w:color="auto"/>
            </w:tcBorders>
            <w:shd w:val="clear" w:color="auto" w:fill="auto"/>
            <w:noWrap/>
            <w:vAlign w:val="center"/>
            <w:hideMark/>
          </w:tcPr>
          <w:p w14:paraId="6BB56C8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0,0287</w:t>
            </w:r>
          </w:p>
        </w:tc>
        <w:tc>
          <w:tcPr>
            <w:tcW w:w="2216" w:type="dxa"/>
            <w:tcBorders>
              <w:top w:val="nil"/>
              <w:left w:val="nil"/>
              <w:bottom w:val="single" w:sz="4" w:space="0" w:color="auto"/>
              <w:right w:val="single" w:sz="4" w:space="0" w:color="auto"/>
            </w:tcBorders>
            <w:shd w:val="clear" w:color="auto" w:fill="auto"/>
            <w:noWrap/>
            <w:vAlign w:val="center"/>
            <w:hideMark/>
          </w:tcPr>
          <w:p w14:paraId="2A126C1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0,4594</w:t>
            </w:r>
          </w:p>
        </w:tc>
        <w:tc>
          <w:tcPr>
            <w:tcW w:w="1271" w:type="dxa"/>
            <w:tcBorders>
              <w:top w:val="nil"/>
              <w:left w:val="nil"/>
              <w:bottom w:val="single" w:sz="4" w:space="0" w:color="auto"/>
              <w:right w:val="single" w:sz="4" w:space="0" w:color="auto"/>
            </w:tcBorders>
            <w:shd w:val="clear" w:color="auto" w:fill="auto"/>
            <w:noWrap/>
            <w:vAlign w:val="center"/>
            <w:hideMark/>
          </w:tcPr>
          <w:p w14:paraId="1FCA570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642FF1A8"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1311085D"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Servicios Financieros</w:t>
            </w:r>
          </w:p>
        </w:tc>
        <w:tc>
          <w:tcPr>
            <w:tcW w:w="1715" w:type="dxa"/>
            <w:tcBorders>
              <w:top w:val="nil"/>
              <w:left w:val="nil"/>
              <w:bottom w:val="single" w:sz="4" w:space="0" w:color="auto"/>
              <w:right w:val="single" w:sz="4" w:space="0" w:color="auto"/>
            </w:tcBorders>
            <w:shd w:val="clear" w:color="auto" w:fill="auto"/>
            <w:noWrap/>
            <w:vAlign w:val="center"/>
            <w:hideMark/>
          </w:tcPr>
          <w:p w14:paraId="0F7AA437"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c>
          <w:tcPr>
            <w:tcW w:w="1803" w:type="dxa"/>
            <w:tcBorders>
              <w:top w:val="nil"/>
              <w:left w:val="nil"/>
              <w:bottom w:val="single" w:sz="4" w:space="0" w:color="auto"/>
              <w:right w:val="single" w:sz="4" w:space="0" w:color="auto"/>
            </w:tcBorders>
            <w:shd w:val="clear" w:color="auto" w:fill="auto"/>
            <w:noWrap/>
            <w:vAlign w:val="center"/>
            <w:hideMark/>
          </w:tcPr>
          <w:p w14:paraId="6EFA8FF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0,8061</w:t>
            </w:r>
          </w:p>
        </w:tc>
        <w:tc>
          <w:tcPr>
            <w:tcW w:w="1806" w:type="dxa"/>
            <w:tcBorders>
              <w:top w:val="nil"/>
              <w:left w:val="nil"/>
              <w:bottom w:val="single" w:sz="4" w:space="0" w:color="auto"/>
              <w:right w:val="single" w:sz="4" w:space="0" w:color="auto"/>
            </w:tcBorders>
            <w:shd w:val="clear" w:color="auto" w:fill="auto"/>
            <w:noWrap/>
            <w:vAlign w:val="center"/>
            <w:hideMark/>
          </w:tcPr>
          <w:p w14:paraId="1D711913"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0,0658</w:t>
            </w:r>
          </w:p>
        </w:tc>
        <w:tc>
          <w:tcPr>
            <w:tcW w:w="2216" w:type="dxa"/>
            <w:tcBorders>
              <w:top w:val="nil"/>
              <w:left w:val="nil"/>
              <w:bottom w:val="single" w:sz="4" w:space="0" w:color="auto"/>
              <w:right w:val="single" w:sz="4" w:space="0" w:color="auto"/>
            </w:tcBorders>
            <w:shd w:val="clear" w:color="auto" w:fill="auto"/>
            <w:noWrap/>
            <w:vAlign w:val="center"/>
            <w:hideMark/>
          </w:tcPr>
          <w:p w14:paraId="16DB9F95" w14:textId="329359EE"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0,04</w:t>
            </w:r>
            <w:r w:rsidR="0014226A">
              <w:rPr>
                <w:rFonts w:ascii="Times New Roman" w:eastAsia="Times New Roman" w:hAnsi="Times New Roman" w:cs="Times New Roman"/>
                <w:color w:val="000000"/>
                <w:kern w:val="0"/>
                <w:sz w:val="24"/>
                <w:szCs w:val="24"/>
                <w:lang w:eastAsia="es-ES"/>
                <w14:ligatures w14:val="none"/>
              </w:rPr>
              <w:t>0</w:t>
            </w:r>
            <w:r w:rsidRPr="003157BA">
              <w:rPr>
                <w:rFonts w:ascii="Times New Roman" w:eastAsia="Times New Roman" w:hAnsi="Times New Roman" w:cs="Times New Roman"/>
                <w:color w:val="000000"/>
                <w:kern w:val="0"/>
                <w:sz w:val="24"/>
                <w:szCs w:val="24"/>
                <w:lang w:eastAsia="es-ES"/>
                <w14:ligatures w14:val="none"/>
              </w:rPr>
              <w:t>7</w:t>
            </w:r>
          </w:p>
        </w:tc>
        <w:tc>
          <w:tcPr>
            <w:tcW w:w="1271" w:type="dxa"/>
            <w:tcBorders>
              <w:top w:val="nil"/>
              <w:left w:val="nil"/>
              <w:bottom w:val="single" w:sz="4" w:space="0" w:color="auto"/>
              <w:right w:val="single" w:sz="4" w:space="0" w:color="auto"/>
            </w:tcBorders>
            <w:shd w:val="clear" w:color="auto" w:fill="auto"/>
            <w:noWrap/>
            <w:vAlign w:val="center"/>
            <w:hideMark/>
          </w:tcPr>
          <w:p w14:paraId="0285DB0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496C1A1C"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1E56A5A2"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Consumo Defensivo</w:t>
            </w:r>
          </w:p>
        </w:tc>
        <w:tc>
          <w:tcPr>
            <w:tcW w:w="1715" w:type="dxa"/>
            <w:tcBorders>
              <w:top w:val="nil"/>
              <w:left w:val="nil"/>
              <w:bottom w:val="single" w:sz="4" w:space="0" w:color="auto"/>
              <w:right w:val="single" w:sz="4" w:space="0" w:color="auto"/>
            </w:tcBorders>
            <w:shd w:val="clear" w:color="auto" w:fill="auto"/>
            <w:noWrap/>
            <w:vAlign w:val="center"/>
            <w:hideMark/>
          </w:tcPr>
          <w:p w14:paraId="7D1CFC08"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0,4391</w:t>
            </w:r>
          </w:p>
        </w:tc>
        <w:tc>
          <w:tcPr>
            <w:tcW w:w="1803" w:type="dxa"/>
            <w:tcBorders>
              <w:top w:val="nil"/>
              <w:left w:val="nil"/>
              <w:bottom w:val="single" w:sz="4" w:space="0" w:color="auto"/>
              <w:right w:val="single" w:sz="4" w:space="0" w:color="auto"/>
            </w:tcBorders>
            <w:shd w:val="clear" w:color="auto" w:fill="auto"/>
            <w:noWrap/>
            <w:vAlign w:val="center"/>
            <w:hideMark/>
          </w:tcPr>
          <w:p w14:paraId="5BFDCA5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c>
          <w:tcPr>
            <w:tcW w:w="1806" w:type="dxa"/>
            <w:tcBorders>
              <w:top w:val="nil"/>
              <w:left w:val="nil"/>
              <w:bottom w:val="single" w:sz="4" w:space="0" w:color="auto"/>
              <w:right w:val="single" w:sz="4" w:space="0" w:color="auto"/>
            </w:tcBorders>
            <w:shd w:val="clear" w:color="auto" w:fill="auto"/>
            <w:noWrap/>
            <w:vAlign w:val="center"/>
            <w:hideMark/>
          </w:tcPr>
          <w:p w14:paraId="3248938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0,5327</w:t>
            </w:r>
          </w:p>
        </w:tc>
        <w:tc>
          <w:tcPr>
            <w:tcW w:w="2216" w:type="dxa"/>
            <w:tcBorders>
              <w:top w:val="nil"/>
              <w:left w:val="nil"/>
              <w:bottom w:val="single" w:sz="4" w:space="0" w:color="auto"/>
              <w:right w:val="single" w:sz="4" w:space="0" w:color="auto"/>
            </w:tcBorders>
            <w:shd w:val="clear" w:color="auto" w:fill="auto"/>
            <w:noWrap/>
            <w:vAlign w:val="center"/>
            <w:hideMark/>
          </w:tcPr>
          <w:p w14:paraId="2550315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0,6817</w:t>
            </w:r>
          </w:p>
        </w:tc>
        <w:tc>
          <w:tcPr>
            <w:tcW w:w="1271" w:type="dxa"/>
            <w:tcBorders>
              <w:top w:val="nil"/>
              <w:left w:val="nil"/>
              <w:bottom w:val="single" w:sz="4" w:space="0" w:color="auto"/>
              <w:right w:val="single" w:sz="4" w:space="0" w:color="auto"/>
            </w:tcBorders>
            <w:shd w:val="clear" w:color="auto" w:fill="auto"/>
            <w:noWrap/>
            <w:vAlign w:val="center"/>
            <w:hideMark/>
          </w:tcPr>
          <w:p w14:paraId="10813F7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5EE344FE"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53327D43"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Bienes Raíces</w:t>
            </w:r>
          </w:p>
        </w:tc>
        <w:tc>
          <w:tcPr>
            <w:tcW w:w="1715" w:type="dxa"/>
            <w:tcBorders>
              <w:top w:val="nil"/>
              <w:left w:val="nil"/>
              <w:bottom w:val="single" w:sz="4" w:space="0" w:color="auto"/>
              <w:right w:val="single" w:sz="4" w:space="0" w:color="auto"/>
            </w:tcBorders>
            <w:shd w:val="clear" w:color="auto" w:fill="auto"/>
            <w:noWrap/>
            <w:vAlign w:val="center"/>
            <w:hideMark/>
          </w:tcPr>
          <w:p w14:paraId="52FC4C0E"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0,0002</w:t>
            </w:r>
          </w:p>
        </w:tc>
        <w:tc>
          <w:tcPr>
            <w:tcW w:w="1803" w:type="dxa"/>
            <w:tcBorders>
              <w:top w:val="nil"/>
              <w:left w:val="nil"/>
              <w:bottom w:val="single" w:sz="4" w:space="0" w:color="auto"/>
              <w:right w:val="single" w:sz="4" w:space="0" w:color="auto"/>
            </w:tcBorders>
            <w:shd w:val="clear" w:color="auto" w:fill="auto"/>
            <w:noWrap/>
            <w:vAlign w:val="center"/>
            <w:hideMark/>
          </w:tcPr>
          <w:p w14:paraId="33FE9153"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0,2142</w:t>
            </w:r>
          </w:p>
        </w:tc>
        <w:tc>
          <w:tcPr>
            <w:tcW w:w="1806" w:type="dxa"/>
            <w:tcBorders>
              <w:top w:val="nil"/>
              <w:left w:val="nil"/>
              <w:bottom w:val="single" w:sz="4" w:space="0" w:color="auto"/>
              <w:right w:val="single" w:sz="4" w:space="0" w:color="auto"/>
            </w:tcBorders>
            <w:shd w:val="clear" w:color="auto" w:fill="auto"/>
            <w:noWrap/>
            <w:vAlign w:val="center"/>
            <w:hideMark/>
          </w:tcPr>
          <w:p w14:paraId="4819E7A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0,1890</w:t>
            </w:r>
          </w:p>
        </w:tc>
        <w:tc>
          <w:tcPr>
            <w:tcW w:w="2216" w:type="dxa"/>
            <w:tcBorders>
              <w:top w:val="nil"/>
              <w:left w:val="nil"/>
              <w:bottom w:val="single" w:sz="4" w:space="0" w:color="auto"/>
              <w:right w:val="single" w:sz="4" w:space="0" w:color="auto"/>
            </w:tcBorders>
            <w:shd w:val="clear" w:color="auto" w:fill="auto"/>
            <w:noWrap/>
            <w:vAlign w:val="center"/>
            <w:hideMark/>
          </w:tcPr>
          <w:p w14:paraId="24D7FA7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0,1139</w:t>
            </w:r>
          </w:p>
        </w:tc>
        <w:tc>
          <w:tcPr>
            <w:tcW w:w="1271" w:type="dxa"/>
            <w:tcBorders>
              <w:top w:val="nil"/>
              <w:left w:val="nil"/>
              <w:bottom w:val="single" w:sz="4" w:space="0" w:color="auto"/>
              <w:right w:val="single" w:sz="4" w:space="0" w:color="auto"/>
            </w:tcBorders>
            <w:shd w:val="clear" w:color="auto" w:fill="auto"/>
            <w:noWrap/>
            <w:vAlign w:val="center"/>
            <w:hideMark/>
          </w:tcPr>
          <w:p w14:paraId="0CB034B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57B4D6A6"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4FDAAF6C"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Energía</w:t>
            </w:r>
          </w:p>
        </w:tc>
        <w:tc>
          <w:tcPr>
            <w:tcW w:w="1715" w:type="dxa"/>
            <w:tcBorders>
              <w:top w:val="nil"/>
              <w:left w:val="nil"/>
              <w:bottom w:val="single" w:sz="4" w:space="0" w:color="auto"/>
              <w:right w:val="single" w:sz="4" w:space="0" w:color="auto"/>
            </w:tcBorders>
            <w:shd w:val="clear" w:color="auto" w:fill="auto"/>
            <w:noWrap/>
            <w:vAlign w:val="center"/>
            <w:hideMark/>
          </w:tcPr>
          <w:p w14:paraId="1388925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c>
          <w:tcPr>
            <w:tcW w:w="1803" w:type="dxa"/>
            <w:tcBorders>
              <w:top w:val="nil"/>
              <w:left w:val="nil"/>
              <w:bottom w:val="single" w:sz="4" w:space="0" w:color="auto"/>
              <w:right w:val="single" w:sz="4" w:space="0" w:color="auto"/>
            </w:tcBorders>
            <w:shd w:val="clear" w:color="auto" w:fill="auto"/>
            <w:noWrap/>
            <w:vAlign w:val="center"/>
            <w:hideMark/>
          </w:tcPr>
          <w:p w14:paraId="7962A76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0,2307</w:t>
            </w:r>
          </w:p>
        </w:tc>
        <w:tc>
          <w:tcPr>
            <w:tcW w:w="1806" w:type="dxa"/>
            <w:tcBorders>
              <w:top w:val="nil"/>
              <w:left w:val="nil"/>
              <w:bottom w:val="single" w:sz="4" w:space="0" w:color="auto"/>
              <w:right w:val="single" w:sz="4" w:space="0" w:color="auto"/>
            </w:tcBorders>
            <w:shd w:val="clear" w:color="auto" w:fill="auto"/>
            <w:noWrap/>
            <w:vAlign w:val="center"/>
            <w:hideMark/>
          </w:tcPr>
          <w:p w14:paraId="58BC5901"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0,9149</w:t>
            </w:r>
          </w:p>
        </w:tc>
        <w:tc>
          <w:tcPr>
            <w:tcW w:w="2216" w:type="dxa"/>
            <w:tcBorders>
              <w:top w:val="nil"/>
              <w:left w:val="nil"/>
              <w:bottom w:val="single" w:sz="4" w:space="0" w:color="auto"/>
              <w:right w:val="single" w:sz="4" w:space="0" w:color="auto"/>
            </w:tcBorders>
            <w:shd w:val="clear" w:color="auto" w:fill="auto"/>
            <w:noWrap/>
            <w:vAlign w:val="center"/>
            <w:hideMark/>
          </w:tcPr>
          <w:p w14:paraId="4CAF65B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0,8290</w:t>
            </w:r>
          </w:p>
        </w:tc>
        <w:tc>
          <w:tcPr>
            <w:tcW w:w="1271" w:type="dxa"/>
            <w:tcBorders>
              <w:top w:val="nil"/>
              <w:left w:val="nil"/>
              <w:bottom w:val="single" w:sz="4" w:space="0" w:color="auto"/>
              <w:right w:val="single" w:sz="4" w:space="0" w:color="auto"/>
            </w:tcBorders>
            <w:shd w:val="clear" w:color="auto" w:fill="auto"/>
            <w:noWrap/>
            <w:vAlign w:val="center"/>
            <w:hideMark/>
          </w:tcPr>
          <w:p w14:paraId="7FDCE11B"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2A8647D0"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4F9B724C"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Medios de Comunicación</w:t>
            </w:r>
          </w:p>
        </w:tc>
        <w:tc>
          <w:tcPr>
            <w:tcW w:w="1715" w:type="dxa"/>
            <w:tcBorders>
              <w:top w:val="nil"/>
              <w:left w:val="nil"/>
              <w:bottom w:val="single" w:sz="4" w:space="0" w:color="auto"/>
              <w:right w:val="single" w:sz="4" w:space="0" w:color="auto"/>
            </w:tcBorders>
            <w:shd w:val="clear" w:color="auto" w:fill="auto"/>
            <w:noWrap/>
            <w:vAlign w:val="center"/>
            <w:hideMark/>
          </w:tcPr>
          <w:p w14:paraId="197CBF3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0,0009</w:t>
            </w:r>
          </w:p>
        </w:tc>
        <w:tc>
          <w:tcPr>
            <w:tcW w:w="1803" w:type="dxa"/>
            <w:tcBorders>
              <w:top w:val="nil"/>
              <w:left w:val="nil"/>
              <w:bottom w:val="single" w:sz="4" w:space="0" w:color="auto"/>
              <w:right w:val="single" w:sz="4" w:space="0" w:color="auto"/>
            </w:tcBorders>
            <w:shd w:val="clear" w:color="auto" w:fill="auto"/>
            <w:noWrap/>
            <w:vAlign w:val="center"/>
            <w:hideMark/>
          </w:tcPr>
          <w:p w14:paraId="61BFEF73"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0,2528</w:t>
            </w:r>
          </w:p>
        </w:tc>
        <w:tc>
          <w:tcPr>
            <w:tcW w:w="1806" w:type="dxa"/>
            <w:tcBorders>
              <w:top w:val="nil"/>
              <w:left w:val="nil"/>
              <w:bottom w:val="single" w:sz="4" w:space="0" w:color="auto"/>
              <w:right w:val="single" w:sz="4" w:space="0" w:color="auto"/>
            </w:tcBorders>
            <w:shd w:val="clear" w:color="auto" w:fill="auto"/>
            <w:noWrap/>
            <w:vAlign w:val="center"/>
            <w:hideMark/>
          </w:tcPr>
          <w:p w14:paraId="1B520C8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0,5834</w:t>
            </w:r>
          </w:p>
        </w:tc>
        <w:tc>
          <w:tcPr>
            <w:tcW w:w="2216" w:type="dxa"/>
            <w:tcBorders>
              <w:top w:val="nil"/>
              <w:left w:val="nil"/>
              <w:bottom w:val="single" w:sz="4" w:space="0" w:color="auto"/>
              <w:right w:val="single" w:sz="4" w:space="0" w:color="auto"/>
            </w:tcBorders>
            <w:shd w:val="clear" w:color="auto" w:fill="auto"/>
            <w:noWrap/>
            <w:vAlign w:val="center"/>
            <w:hideMark/>
          </w:tcPr>
          <w:p w14:paraId="35B6A92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0,4440</w:t>
            </w:r>
          </w:p>
        </w:tc>
        <w:tc>
          <w:tcPr>
            <w:tcW w:w="1271" w:type="dxa"/>
            <w:tcBorders>
              <w:top w:val="nil"/>
              <w:left w:val="nil"/>
              <w:bottom w:val="single" w:sz="4" w:space="0" w:color="auto"/>
              <w:right w:val="single" w:sz="4" w:space="0" w:color="auto"/>
            </w:tcBorders>
            <w:shd w:val="clear" w:color="auto" w:fill="auto"/>
            <w:noWrap/>
            <w:vAlign w:val="center"/>
            <w:hideMark/>
          </w:tcPr>
          <w:p w14:paraId="3B82F88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3223A8EB"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7C7DC370"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Industriales</w:t>
            </w:r>
          </w:p>
        </w:tc>
        <w:tc>
          <w:tcPr>
            <w:tcW w:w="1715" w:type="dxa"/>
            <w:tcBorders>
              <w:top w:val="nil"/>
              <w:left w:val="nil"/>
              <w:bottom w:val="single" w:sz="4" w:space="0" w:color="auto"/>
              <w:right w:val="single" w:sz="4" w:space="0" w:color="auto"/>
            </w:tcBorders>
            <w:shd w:val="clear" w:color="auto" w:fill="auto"/>
            <w:noWrap/>
            <w:vAlign w:val="center"/>
            <w:hideMark/>
          </w:tcPr>
          <w:p w14:paraId="7FBF8776"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c>
          <w:tcPr>
            <w:tcW w:w="1803" w:type="dxa"/>
            <w:tcBorders>
              <w:top w:val="nil"/>
              <w:left w:val="nil"/>
              <w:bottom w:val="single" w:sz="4" w:space="0" w:color="auto"/>
              <w:right w:val="single" w:sz="4" w:space="0" w:color="auto"/>
            </w:tcBorders>
            <w:shd w:val="clear" w:color="auto" w:fill="auto"/>
            <w:noWrap/>
            <w:vAlign w:val="center"/>
            <w:hideMark/>
          </w:tcPr>
          <w:p w14:paraId="71BCA9BC"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0,1723</w:t>
            </w:r>
          </w:p>
        </w:tc>
        <w:tc>
          <w:tcPr>
            <w:tcW w:w="1806" w:type="dxa"/>
            <w:tcBorders>
              <w:top w:val="nil"/>
              <w:left w:val="nil"/>
              <w:bottom w:val="single" w:sz="4" w:space="0" w:color="auto"/>
              <w:right w:val="single" w:sz="4" w:space="0" w:color="auto"/>
            </w:tcBorders>
            <w:shd w:val="clear" w:color="auto" w:fill="auto"/>
            <w:noWrap/>
            <w:vAlign w:val="center"/>
            <w:hideMark/>
          </w:tcPr>
          <w:p w14:paraId="6DC8727A"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0,4134</w:t>
            </w:r>
          </w:p>
        </w:tc>
        <w:tc>
          <w:tcPr>
            <w:tcW w:w="2216" w:type="dxa"/>
            <w:tcBorders>
              <w:top w:val="nil"/>
              <w:left w:val="nil"/>
              <w:bottom w:val="single" w:sz="4" w:space="0" w:color="auto"/>
              <w:right w:val="single" w:sz="4" w:space="0" w:color="auto"/>
            </w:tcBorders>
            <w:shd w:val="clear" w:color="auto" w:fill="auto"/>
            <w:noWrap/>
            <w:vAlign w:val="center"/>
            <w:hideMark/>
          </w:tcPr>
          <w:p w14:paraId="3DDCA2CA"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0,0800</w:t>
            </w:r>
          </w:p>
        </w:tc>
        <w:tc>
          <w:tcPr>
            <w:tcW w:w="1271" w:type="dxa"/>
            <w:tcBorders>
              <w:top w:val="nil"/>
              <w:left w:val="nil"/>
              <w:bottom w:val="single" w:sz="4" w:space="0" w:color="auto"/>
              <w:right w:val="single" w:sz="4" w:space="0" w:color="auto"/>
            </w:tcBorders>
            <w:shd w:val="clear" w:color="auto" w:fill="auto"/>
            <w:noWrap/>
            <w:vAlign w:val="center"/>
            <w:hideMark/>
          </w:tcPr>
          <w:p w14:paraId="545DEB95"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01323A12" w14:textId="77777777" w:rsidTr="003157BA">
        <w:trPr>
          <w:trHeight w:val="321"/>
          <w:jc w:val="center"/>
        </w:trPr>
        <w:tc>
          <w:tcPr>
            <w:tcW w:w="2251" w:type="dxa"/>
            <w:gridSpan w:val="2"/>
            <w:tcBorders>
              <w:top w:val="single" w:sz="4" w:space="0" w:color="auto"/>
              <w:left w:val="single" w:sz="4" w:space="0" w:color="auto"/>
              <w:bottom w:val="single" w:sz="4" w:space="0" w:color="auto"/>
              <w:right w:val="single" w:sz="4" w:space="0" w:color="000000"/>
            </w:tcBorders>
            <w:shd w:val="clear" w:color="000000" w:fill="002060"/>
            <w:noWrap/>
            <w:vAlign w:val="center"/>
            <w:hideMark/>
          </w:tcPr>
          <w:p w14:paraId="1D140788" w14:textId="77777777" w:rsidR="003157BA" w:rsidRPr="003157BA" w:rsidRDefault="003157BA" w:rsidP="003157BA">
            <w:pPr>
              <w:spacing w:after="0" w:line="240" w:lineRule="auto"/>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 xml:space="preserve">Servicios </w:t>
            </w:r>
          </w:p>
        </w:tc>
        <w:tc>
          <w:tcPr>
            <w:tcW w:w="1715" w:type="dxa"/>
            <w:tcBorders>
              <w:top w:val="nil"/>
              <w:left w:val="nil"/>
              <w:bottom w:val="single" w:sz="4" w:space="0" w:color="auto"/>
              <w:right w:val="single" w:sz="4" w:space="0" w:color="auto"/>
            </w:tcBorders>
            <w:shd w:val="clear" w:color="auto" w:fill="auto"/>
            <w:noWrap/>
            <w:vAlign w:val="center"/>
            <w:hideMark/>
          </w:tcPr>
          <w:p w14:paraId="24719CD0"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0,0001</w:t>
            </w:r>
          </w:p>
        </w:tc>
        <w:tc>
          <w:tcPr>
            <w:tcW w:w="1803" w:type="dxa"/>
            <w:tcBorders>
              <w:top w:val="nil"/>
              <w:left w:val="nil"/>
              <w:bottom w:val="single" w:sz="4" w:space="0" w:color="auto"/>
              <w:right w:val="single" w:sz="4" w:space="0" w:color="auto"/>
            </w:tcBorders>
            <w:shd w:val="clear" w:color="auto" w:fill="auto"/>
            <w:noWrap/>
            <w:vAlign w:val="center"/>
            <w:hideMark/>
          </w:tcPr>
          <w:p w14:paraId="3599981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0,0002</w:t>
            </w:r>
          </w:p>
        </w:tc>
        <w:tc>
          <w:tcPr>
            <w:tcW w:w="1806" w:type="dxa"/>
            <w:tcBorders>
              <w:top w:val="nil"/>
              <w:left w:val="nil"/>
              <w:bottom w:val="single" w:sz="4" w:space="0" w:color="auto"/>
              <w:right w:val="single" w:sz="4" w:space="0" w:color="auto"/>
            </w:tcBorders>
            <w:shd w:val="clear" w:color="auto" w:fill="auto"/>
            <w:noWrap/>
            <w:vAlign w:val="center"/>
            <w:hideMark/>
          </w:tcPr>
          <w:p w14:paraId="606BF9C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0,5449</w:t>
            </w:r>
          </w:p>
        </w:tc>
        <w:tc>
          <w:tcPr>
            <w:tcW w:w="2216" w:type="dxa"/>
            <w:tcBorders>
              <w:top w:val="nil"/>
              <w:left w:val="nil"/>
              <w:bottom w:val="single" w:sz="4" w:space="0" w:color="auto"/>
              <w:right w:val="single" w:sz="4" w:space="0" w:color="auto"/>
            </w:tcBorders>
            <w:shd w:val="clear" w:color="auto" w:fill="auto"/>
            <w:noWrap/>
            <w:vAlign w:val="center"/>
            <w:hideMark/>
          </w:tcPr>
          <w:p w14:paraId="295B12B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0,9286</w:t>
            </w:r>
          </w:p>
        </w:tc>
        <w:tc>
          <w:tcPr>
            <w:tcW w:w="1271" w:type="dxa"/>
            <w:tcBorders>
              <w:top w:val="nil"/>
              <w:left w:val="nil"/>
              <w:bottom w:val="single" w:sz="4" w:space="0" w:color="auto"/>
              <w:right w:val="single" w:sz="4" w:space="0" w:color="auto"/>
            </w:tcBorders>
            <w:shd w:val="clear" w:color="auto" w:fill="auto"/>
            <w:noWrap/>
            <w:vAlign w:val="center"/>
            <w:hideMark/>
          </w:tcPr>
          <w:p w14:paraId="25E9461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0,0000</w:t>
            </w:r>
          </w:p>
        </w:tc>
      </w:tr>
      <w:tr w:rsidR="003157BA" w:rsidRPr="003157BA" w14:paraId="5ED19627" w14:textId="77777777" w:rsidTr="003157BA">
        <w:trPr>
          <w:trHeight w:val="321"/>
          <w:jc w:val="center"/>
        </w:trPr>
        <w:tc>
          <w:tcPr>
            <w:tcW w:w="385" w:type="dxa"/>
            <w:tcBorders>
              <w:top w:val="nil"/>
              <w:left w:val="nil"/>
              <w:bottom w:val="nil"/>
              <w:right w:val="nil"/>
            </w:tcBorders>
            <w:shd w:val="clear" w:color="auto" w:fill="auto"/>
            <w:noWrap/>
            <w:vAlign w:val="bottom"/>
            <w:hideMark/>
          </w:tcPr>
          <w:p w14:paraId="7EEA7EFB"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p>
        </w:tc>
        <w:tc>
          <w:tcPr>
            <w:tcW w:w="1865" w:type="dxa"/>
            <w:tcBorders>
              <w:top w:val="nil"/>
              <w:left w:val="nil"/>
              <w:bottom w:val="nil"/>
              <w:right w:val="nil"/>
            </w:tcBorders>
            <w:shd w:val="clear" w:color="auto" w:fill="auto"/>
            <w:noWrap/>
            <w:vAlign w:val="bottom"/>
            <w:hideMark/>
          </w:tcPr>
          <w:p w14:paraId="0516571A"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715" w:type="dxa"/>
            <w:tcBorders>
              <w:top w:val="nil"/>
              <w:left w:val="nil"/>
              <w:bottom w:val="nil"/>
              <w:right w:val="nil"/>
            </w:tcBorders>
            <w:shd w:val="clear" w:color="auto" w:fill="auto"/>
            <w:noWrap/>
            <w:vAlign w:val="bottom"/>
            <w:hideMark/>
          </w:tcPr>
          <w:p w14:paraId="45183F76"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03" w:type="dxa"/>
            <w:tcBorders>
              <w:top w:val="nil"/>
              <w:left w:val="nil"/>
              <w:bottom w:val="nil"/>
              <w:right w:val="nil"/>
            </w:tcBorders>
            <w:shd w:val="clear" w:color="auto" w:fill="auto"/>
            <w:noWrap/>
            <w:vAlign w:val="bottom"/>
            <w:hideMark/>
          </w:tcPr>
          <w:p w14:paraId="4E47627D"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06" w:type="dxa"/>
            <w:tcBorders>
              <w:top w:val="nil"/>
              <w:left w:val="nil"/>
              <w:bottom w:val="nil"/>
              <w:right w:val="nil"/>
            </w:tcBorders>
            <w:shd w:val="clear" w:color="auto" w:fill="auto"/>
            <w:noWrap/>
            <w:vAlign w:val="bottom"/>
            <w:hideMark/>
          </w:tcPr>
          <w:p w14:paraId="239A4056"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2216" w:type="dxa"/>
            <w:tcBorders>
              <w:top w:val="nil"/>
              <w:left w:val="nil"/>
              <w:bottom w:val="nil"/>
              <w:right w:val="nil"/>
            </w:tcBorders>
            <w:shd w:val="clear" w:color="auto" w:fill="auto"/>
            <w:noWrap/>
            <w:vAlign w:val="bottom"/>
            <w:hideMark/>
          </w:tcPr>
          <w:p w14:paraId="6FA2DE6F"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271" w:type="dxa"/>
            <w:tcBorders>
              <w:top w:val="nil"/>
              <w:left w:val="nil"/>
              <w:bottom w:val="nil"/>
              <w:right w:val="nil"/>
            </w:tcBorders>
            <w:shd w:val="clear" w:color="auto" w:fill="auto"/>
            <w:noWrap/>
            <w:vAlign w:val="bottom"/>
            <w:hideMark/>
          </w:tcPr>
          <w:p w14:paraId="563C3532"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r>
      <w:tr w:rsidR="003157BA" w:rsidRPr="003157BA" w14:paraId="1B83B9BD" w14:textId="77777777" w:rsidTr="003157BA">
        <w:trPr>
          <w:trHeight w:val="321"/>
          <w:jc w:val="center"/>
        </w:trPr>
        <w:tc>
          <w:tcPr>
            <w:tcW w:w="385" w:type="dxa"/>
            <w:tcBorders>
              <w:top w:val="nil"/>
              <w:left w:val="nil"/>
              <w:bottom w:val="nil"/>
              <w:right w:val="nil"/>
            </w:tcBorders>
            <w:shd w:val="clear" w:color="auto" w:fill="auto"/>
            <w:noWrap/>
            <w:vAlign w:val="bottom"/>
            <w:hideMark/>
          </w:tcPr>
          <w:p w14:paraId="297A51F4"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65"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54A6B3D0"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Servicios</w:t>
            </w:r>
          </w:p>
        </w:tc>
        <w:tc>
          <w:tcPr>
            <w:tcW w:w="1715" w:type="dxa"/>
            <w:tcBorders>
              <w:top w:val="single" w:sz="4" w:space="0" w:color="auto"/>
              <w:left w:val="nil"/>
              <w:bottom w:val="single" w:sz="4" w:space="0" w:color="auto"/>
              <w:right w:val="single" w:sz="4" w:space="0" w:color="auto"/>
            </w:tcBorders>
            <w:shd w:val="clear" w:color="000000" w:fill="002060"/>
            <w:noWrap/>
            <w:vAlign w:val="center"/>
            <w:hideMark/>
          </w:tcPr>
          <w:p w14:paraId="1A4D18EB"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Bienes Raíces</w:t>
            </w:r>
          </w:p>
        </w:tc>
        <w:tc>
          <w:tcPr>
            <w:tcW w:w="1803" w:type="dxa"/>
            <w:tcBorders>
              <w:top w:val="single" w:sz="4" w:space="0" w:color="auto"/>
              <w:left w:val="nil"/>
              <w:bottom w:val="single" w:sz="4" w:space="0" w:color="auto"/>
              <w:right w:val="single" w:sz="4" w:space="0" w:color="auto"/>
            </w:tcBorders>
            <w:shd w:val="clear" w:color="000000" w:fill="002060"/>
            <w:noWrap/>
            <w:vAlign w:val="center"/>
            <w:hideMark/>
          </w:tcPr>
          <w:p w14:paraId="1AC1A77F"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Industriales</w:t>
            </w:r>
          </w:p>
        </w:tc>
        <w:tc>
          <w:tcPr>
            <w:tcW w:w="1806" w:type="dxa"/>
            <w:tcBorders>
              <w:top w:val="single" w:sz="4" w:space="0" w:color="auto"/>
              <w:left w:val="nil"/>
              <w:bottom w:val="single" w:sz="4" w:space="0" w:color="auto"/>
              <w:right w:val="single" w:sz="4" w:space="0" w:color="auto"/>
            </w:tcBorders>
            <w:shd w:val="clear" w:color="000000" w:fill="002060"/>
            <w:noWrap/>
            <w:vAlign w:val="center"/>
            <w:hideMark/>
          </w:tcPr>
          <w:p w14:paraId="1243687D"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Energía</w:t>
            </w:r>
          </w:p>
        </w:tc>
        <w:tc>
          <w:tcPr>
            <w:tcW w:w="2216" w:type="dxa"/>
            <w:tcBorders>
              <w:top w:val="single" w:sz="4" w:space="0" w:color="auto"/>
              <w:left w:val="nil"/>
              <w:bottom w:val="single" w:sz="4" w:space="0" w:color="auto"/>
              <w:right w:val="single" w:sz="4" w:space="0" w:color="auto"/>
            </w:tcBorders>
            <w:shd w:val="clear" w:color="000000" w:fill="002060"/>
            <w:noWrap/>
            <w:vAlign w:val="center"/>
            <w:hideMark/>
          </w:tcPr>
          <w:p w14:paraId="3F0C4379"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Materiales Básicos</w:t>
            </w:r>
          </w:p>
        </w:tc>
        <w:tc>
          <w:tcPr>
            <w:tcW w:w="1271" w:type="dxa"/>
            <w:tcBorders>
              <w:top w:val="single" w:sz="4" w:space="0" w:color="auto"/>
              <w:left w:val="nil"/>
              <w:bottom w:val="single" w:sz="4" w:space="0" w:color="auto"/>
              <w:right w:val="single" w:sz="4" w:space="0" w:color="auto"/>
            </w:tcBorders>
            <w:shd w:val="clear" w:color="000000" w:fill="002060"/>
            <w:noWrap/>
            <w:vAlign w:val="center"/>
            <w:hideMark/>
          </w:tcPr>
          <w:p w14:paraId="54855E69"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Salud</w:t>
            </w:r>
          </w:p>
        </w:tc>
      </w:tr>
      <w:tr w:rsidR="003157BA" w:rsidRPr="003157BA" w14:paraId="5008327E" w14:textId="77777777" w:rsidTr="003157BA">
        <w:trPr>
          <w:trHeight w:val="321"/>
          <w:jc w:val="center"/>
        </w:trPr>
        <w:tc>
          <w:tcPr>
            <w:tcW w:w="385"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2779481A"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r2</w:t>
            </w:r>
          </w:p>
        </w:tc>
        <w:tc>
          <w:tcPr>
            <w:tcW w:w="1865" w:type="dxa"/>
            <w:tcBorders>
              <w:top w:val="nil"/>
              <w:left w:val="nil"/>
              <w:bottom w:val="single" w:sz="4" w:space="0" w:color="auto"/>
              <w:right w:val="single" w:sz="4" w:space="0" w:color="auto"/>
            </w:tcBorders>
            <w:shd w:val="clear" w:color="auto" w:fill="auto"/>
            <w:noWrap/>
            <w:vAlign w:val="center"/>
            <w:hideMark/>
          </w:tcPr>
          <w:p w14:paraId="72CFC903"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0,5837</w:t>
            </w:r>
          </w:p>
        </w:tc>
        <w:tc>
          <w:tcPr>
            <w:tcW w:w="1715" w:type="dxa"/>
            <w:tcBorders>
              <w:top w:val="nil"/>
              <w:left w:val="nil"/>
              <w:bottom w:val="single" w:sz="4" w:space="0" w:color="auto"/>
              <w:right w:val="single" w:sz="4" w:space="0" w:color="auto"/>
            </w:tcBorders>
            <w:shd w:val="clear" w:color="auto" w:fill="auto"/>
            <w:noWrap/>
            <w:vAlign w:val="center"/>
            <w:hideMark/>
          </w:tcPr>
          <w:p w14:paraId="285F6171"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0,7283</w:t>
            </w:r>
          </w:p>
        </w:tc>
        <w:tc>
          <w:tcPr>
            <w:tcW w:w="1803" w:type="dxa"/>
            <w:tcBorders>
              <w:top w:val="nil"/>
              <w:left w:val="nil"/>
              <w:bottom w:val="single" w:sz="4" w:space="0" w:color="auto"/>
              <w:right w:val="single" w:sz="4" w:space="0" w:color="auto"/>
            </w:tcBorders>
            <w:shd w:val="clear" w:color="auto" w:fill="auto"/>
            <w:noWrap/>
            <w:vAlign w:val="center"/>
            <w:hideMark/>
          </w:tcPr>
          <w:p w14:paraId="6E29EE82"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0,9000</w:t>
            </w:r>
          </w:p>
        </w:tc>
        <w:tc>
          <w:tcPr>
            <w:tcW w:w="1806" w:type="dxa"/>
            <w:tcBorders>
              <w:top w:val="nil"/>
              <w:left w:val="nil"/>
              <w:bottom w:val="single" w:sz="4" w:space="0" w:color="auto"/>
              <w:right w:val="single" w:sz="4" w:space="0" w:color="auto"/>
            </w:tcBorders>
            <w:shd w:val="clear" w:color="auto" w:fill="auto"/>
            <w:noWrap/>
            <w:vAlign w:val="center"/>
            <w:hideMark/>
          </w:tcPr>
          <w:p w14:paraId="59AFF5D9"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0,6611</w:t>
            </w:r>
          </w:p>
        </w:tc>
        <w:tc>
          <w:tcPr>
            <w:tcW w:w="2216" w:type="dxa"/>
            <w:tcBorders>
              <w:top w:val="nil"/>
              <w:left w:val="nil"/>
              <w:bottom w:val="single" w:sz="4" w:space="0" w:color="auto"/>
              <w:right w:val="single" w:sz="4" w:space="0" w:color="auto"/>
            </w:tcBorders>
            <w:shd w:val="clear" w:color="auto" w:fill="auto"/>
            <w:noWrap/>
            <w:vAlign w:val="center"/>
            <w:hideMark/>
          </w:tcPr>
          <w:p w14:paraId="4E777327"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0,8393</w:t>
            </w:r>
          </w:p>
        </w:tc>
        <w:tc>
          <w:tcPr>
            <w:tcW w:w="1271" w:type="dxa"/>
            <w:tcBorders>
              <w:top w:val="nil"/>
              <w:left w:val="nil"/>
              <w:bottom w:val="single" w:sz="4" w:space="0" w:color="auto"/>
              <w:right w:val="single" w:sz="4" w:space="0" w:color="auto"/>
            </w:tcBorders>
            <w:shd w:val="clear" w:color="auto" w:fill="auto"/>
            <w:noWrap/>
            <w:vAlign w:val="center"/>
            <w:hideMark/>
          </w:tcPr>
          <w:p w14:paraId="57897988"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0,6974</w:t>
            </w:r>
          </w:p>
        </w:tc>
      </w:tr>
      <w:tr w:rsidR="003157BA" w:rsidRPr="003157BA" w14:paraId="6DB031FA" w14:textId="77777777" w:rsidTr="003157BA">
        <w:trPr>
          <w:trHeight w:val="306"/>
          <w:jc w:val="center"/>
        </w:trPr>
        <w:tc>
          <w:tcPr>
            <w:tcW w:w="385" w:type="dxa"/>
            <w:tcBorders>
              <w:top w:val="nil"/>
              <w:left w:val="nil"/>
              <w:bottom w:val="nil"/>
              <w:right w:val="nil"/>
            </w:tcBorders>
            <w:shd w:val="clear" w:color="auto" w:fill="auto"/>
            <w:noWrap/>
            <w:vAlign w:val="bottom"/>
            <w:hideMark/>
          </w:tcPr>
          <w:p w14:paraId="6585EEA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p>
        </w:tc>
        <w:tc>
          <w:tcPr>
            <w:tcW w:w="1865" w:type="dxa"/>
            <w:tcBorders>
              <w:top w:val="nil"/>
              <w:left w:val="nil"/>
              <w:bottom w:val="nil"/>
              <w:right w:val="nil"/>
            </w:tcBorders>
            <w:shd w:val="clear" w:color="auto" w:fill="auto"/>
            <w:noWrap/>
            <w:vAlign w:val="bottom"/>
            <w:hideMark/>
          </w:tcPr>
          <w:p w14:paraId="5E225A0F"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715" w:type="dxa"/>
            <w:tcBorders>
              <w:top w:val="nil"/>
              <w:left w:val="nil"/>
              <w:bottom w:val="nil"/>
              <w:right w:val="nil"/>
            </w:tcBorders>
            <w:shd w:val="clear" w:color="auto" w:fill="auto"/>
            <w:noWrap/>
            <w:vAlign w:val="bottom"/>
            <w:hideMark/>
          </w:tcPr>
          <w:p w14:paraId="66E5CAE9"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03" w:type="dxa"/>
            <w:tcBorders>
              <w:top w:val="nil"/>
              <w:left w:val="nil"/>
              <w:bottom w:val="nil"/>
              <w:right w:val="nil"/>
            </w:tcBorders>
            <w:shd w:val="clear" w:color="auto" w:fill="auto"/>
            <w:noWrap/>
            <w:vAlign w:val="bottom"/>
            <w:hideMark/>
          </w:tcPr>
          <w:p w14:paraId="18A64834"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06" w:type="dxa"/>
            <w:tcBorders>
              <w:top w:val="nil"/>
              <w:left w:val="nil"/>
              <w:bottom w:val="nil"/>
              <w:right w:val="nil"/>
            </w:tcBorders>
            <w:shd w:val="clear" w:color="auto" w:fill="auto"/>
            <w:noWrap/>
            <w:vAlign w:val="bottom"/>
            <w:hideMark/>
          </w:tcPr>
          <w:p w14:paraId="3E2CBA86"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2216" w:type="dxa"/>
            <w:tcBorders>
              <w:top w:val="nil"/>
              <w:left w:val="nil"/>
              <w:bottom w:val="nil"/>
              <w:right w:val="nil"/>
            </w:tcBorders>
            <w:shd w:val="clear" w:color="auto" w:fill="auto"/>
            <w:noWrap/>
            <w:vAlign w:val="bottom"/>
            <w:hideMark/>
          </w:tcPr>
          <w:p w14:paraId="54FC7308"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271" w:type="dxa"/>
            <w:tcBorders>
              <w:top w:val="nil"/>
              <w:left w:val="nil"/>
              <w:bottom w:val="nil"/>
              <w:right w:val="nil"/>
            </w:tcBorders>
            <w:shd w:val="clear" w:color="auto" w:fill="auto"/>
            <w:noWrap/>
            <w:vAlign w:val="bottom"/>
            <w:hideMark/>
          </w:tcPr>
          <w:p w14:paraId="73D5D744"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r>
      <w:tr w:rsidR="003157BA" w:rsidRPr="003157BA" w14:paraId="7E34185B" w14:textId="77777777" w:rsidTr="003157BA">
        <w:trPr>
          <w:trHeight w:val="321"/>
          <w:jc w:val="center"/>
        </w:trPr>
        <w:tc>
          <w:tcPr>
            <w:tcW w:w="385" w:type="dxa"/>
            <w:tcBorders>
              <w:top w:val="nil"/>
              <w:left w:val="nil"/>
              <w:bottom w:val="nil"/>
              <w:right w:val="nil"/>
            </w:tcBorders>
            <w:shd w:val="clear" w:color="auto" w:fill="auto"/>
            <w:noWrap/>
            <w:vAlign w:val="bottom"/>
            <w:hideMark/>
          </w:tcPr>
          <w:p w14:paraId="1B7A41C7" w14:textId="77777777" w:rsidR="003157BA" w:rsidRPr="003157BA" w:rsidRDefault="003157BA" w:rsidP="003157BA">
            <w:pPr>
              <w:spacing w:after="0" w:line="240" w:lineRule="auto"/>
              <w:rPr>
                <w:rFonts w:ascii="Times New Roman" w:eastAsia="Times New Roman" w:hAnsi="Times New Roman" w:cs="Times New Roman"/>
                <w:kern w:val="0"/>
                <w:sz w:val="20"/>
                <w:szCs w:val="20"/>
                <w:lang w:eastAsia="es-ES"/>
                <w14:ligatures w14:val="none"/>
              </w:rPr>
            </w:pPr>
          </w:p>
        </w:tc>
        <w:tc>
          <w:tcPr>
            <w:tcW w:w="1865"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3C3A2FCF"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Tecnología</w:t>
            </w:r>
          </w:p>
        </w:tc>
        <w:tc>
          <w:tcPr>
            <w:tcW w:w="1715" w:type="dxa"/>
            <w:tcBorders>
              <w:top w:val="single" w:sz="4" w:space="0" w:color="auto"/>
              <w:left w:val="nil"/>
              <w:bottom w:val="single" w:sz="4" w:space="0" w:color="auto"/>
              <w:right w:val="single" w:sz="4" w:space="0" w:color="auto"/>
            </w:tcBorders>
            <w:shd w:val="clear" w:color="000000" w:fill="002060"/>
            <w:noWrap/>
            <w:vAlign w:val="center"/>
            <w:hideMark/>
          </w:tcPr>
          <w:p w14:paraId="1F48DABD"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Consumo Defensivo</w:t>
            </w:r>
          </w:p>
        </w:tc>
        <w:tc>
          <w:tcPr>
            <w:tcW w:w="1803" w:type="dxa"/>
            <w:tcBorders>
              <w:top w:val="single" w:sz="4" w:space="0" w:color="auto"/>
              <w:left w:val="nil"/>
              <w:bottom w:val="single" w:sz="4" w:space="0" w:color="auto"/>
              <w:right w:val="single" w:sz="4" w:space="0" w:color="auto"/>
            </w:tcBorders>
            <w:shd w:val="clear" w:color="000000" w:fill="002060"/>
            <w:noWrap/>
            <w:vAlign w:val="center"/>
            <w:hideMark/>
          </w:tcPr>
          <w:p w14:paraId="48FC4386"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Consumo Cíclico</w:t>
            </w:r>
          </w:p>
        </w:tc>
        <w:tc>
          <w:tcPr>
            <w:tcW w:w="1806" w:type="dxa"/>
            <w:tcBorders>
              <w:top w:val="single" w:sz="4" w:space="0" w:color="auto"/>
              <w:left w:val="nil"/>
              <w:bottom w:val="single" w:sz="4" w:space="0" w:color="auto"/>
              <w:right w:val="single" w:sz="4" w:space="0" w:color="auto"/>
            </w:tcBorders>
            <w:shd w:val="clear" w:color="000000" w:fill="002060"/>
            <w:noWrap/>
            <w:vAlign w:val="center"/>
            <w:hideMark/>
          </w:tcPr>
          <w:p w14:paraId="10B754BB"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Servicios Financieros</w:t>
            </w:r>
          </w:p>
        </w:tc>
        <w:tc>
          <w:tcPr>
            <w:tcW w:w="2216" w:type="dxa"/>
            <w:tcBorders>
              <w:top w:val="single" w:sz="4" w:space="0" w:color="auto"/>
              <w:left w:val="nil"/>
              <w:bottom w:val="single" w:sz="4" w:space="0" w:color="auto"/>
              <w:right w:val="single" w:sz="4" w:space="0" w:color="auto"/>
            </w:tcBorders>
            <w:shd w:val="clear" w:color="000000" w:fill="002060"/>
            <w:noWrap/>
            <w:vAlign w:val="center"/>
            <w:hideMark/>
          </w:tcPr>
          <w:p w14:paraId="643A56BC"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Medios de comunicación</w:t>
            </w:r>
          </w:p>
        </w:tc>
        <w:tc>
          <w:tcPr>
            <w:tcW w:w="1271" w:type="dxa"/>
            <w:tcBorders>
              <w:top w:val="nil"/>
              <w:left w:val="nil"/>
              <w:bottom w:val="nil"/>
              <w:right w:val="nil"/>
            </w:tcBorders>
            <w:shd w:val="clear" w:color="auto" w:fill="auto"/>
            <w:noWrap/>
            <w:vAlign w:val="bottom"/>
            <w:hideMark/>
          </w:tcPr>
          <w:p w14:paraId="2D1E4B1B"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p>
        </w:tc>
      </w:tr>
      <w:tr w:rsidR="003157BA" w:rsidRPr="003157BA" w14:paraId="7E1E2A49" w14:textId="77777777" w:rsidTr="003157BA">
        <w:trPr>
          <w:trHeight w:val="321"/>
          <w:jc w:val="center"/>
        </w:trPr>
        <w:tc>
          <w:tcPr>
            <w:tcW w:w="385"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2F975B30" w14:textId="77777777" w:rsidR="003157BA" w:rsidRPr="003157BA" w:rsidRDefault="003157BA" w:rsidP="003157BA">
            <w:pPr>
              <w:spacing w:after="0" w:line="240" w:lineRule="auto"/>
              <w:jc w:val="center"/>
              <w:rPr>
                <w:rFonts w:ascii="Times New Roman" w:eastAsia="Times New Roman" w:hAnsi="Times New Roman" w:cs="Times New Roman"/>
                <w:color w:val="FFFFFF"/>
                <w:kern w:val="0"/>
                <w:sz w:val="24"/>
                <w:szCs w:val="24"/>
                <w:lang w:eastAsia="es-ES"/>
                <w14:ligatures w14:val="none"/>
              </w:rPr>
            </w:pPr>
            <w:r w:rsidRPr="003157BA">
              <w:rPr>
                <w:rFonts w:ascii="Times New Roman" w:eastAsia="Times New Roman" w:hAnsi="Times New Roman" w:cs="Times New Roman"/>
                <w:color w:val="FFFFFF"/>
                <w:kern w:val="0"/>
                <w:sz w:val="24"/>
                <w:szCs w:val="24"/>
                <w:lang w:eastAsia="es-ES"/>
                <w14:ligatures w14:val="none"/>
              </w:rPr>
              <w:t>r2</w:t>
            </w:r>
          </w:p>
        </w:tc>
        <w:tc>
          <w:tcPr>
            <w:tcW w:w="1865" w:type="dxa"/>
            <w:tcBorders>
              <w:top w:val="nil"/>
              <w:left w:val="nil"/>
              <w:bottom w:val="single" w:sz="4" w:space="0" w:color="auto"/>
              <w:right w:val="single" w:sz="4" w:space="0" w:color="auto"/>
            </w:tcBorders>
            <w:shd w:val="clear" w:color="auto" w:fill="auto"/>
            <w:noWrap/>
            <w:vAlign w:val="center"/>
            <w:hideMark/>
          </w:tcPr>
          <w:p w14:paraId="5C920B4A"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0,9072</w:t>
            </w:r>
          </w:p>
        </w:tc>
        <w:tc>
          <w:tcPr>
            <w:tcW w:w="1715" w:type="dxa"/>
            <w:tcBorders>
              <w:top w:val="nil"/>
              <w:left w:val="nil"/>
              <w:bottom w:val="single" w:sz="4" w:space="0" w:color="auto"/>
              <w:right w:val="single" w:sz="4" w:space="0" w:color="auto"/>
            </w:tcBorders>
            <w:shd w:val="clear" w:color="auto" w:fill="auto"/>
            <w:noWrap/>
            <w:vAlign w:val="center"/>
            <w:hideMark/>
          </w:tcPr>
          <w:p w14:paraId="69C80154"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0,6686</w:t>
            </w:r>
          </w:p>
        </w:tc>
        <w:tc>
          <w:tcPr>
            <w:tcW w:w="1803" w:type="dxa"/>
            <w:tcBorders>
              <w:top w:val="nil"/>
              <w:left w:val="nil"/>
              <w:bottom w:val="single" w:sz="4" w:space="0" w:color="auto"/>
              <w:right w:val="single" w:sz="4" w:space="0" w:color="auto"/>
            </w:tcBorders>
            <w:shd w:val="clear" w:color="auto" w:fill="auto"/>
            <w:noWrap/>
            <w:vAlign w:val="center"/>
            <w:hideMark/>
          </w:tcPr>
          <w:p w14:paraId="38E7DF7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0,8825</w:t>
            </w:r>
          </w:p>
        </w:tc>
        <w:tc>
          <w:tcPr>
            <w:tcW w:w="1806" w:type="dxa"/>
            <w:tcBorders>
              <w:top w:val="nil"/>
              <w:left w:val="nil"/>
              <w:bottom w:val="single" w:sz="4" w:space="0" w:color="auto"/>
              <w:right w:val="single" w:sz="4" w:space="0" w:color="auto"/>
            </w:tcBorders>
            <w:shd w:val="clear" w:color="auto" w:fill="auto"/>
            <w:noWrap/>
            <w:vAlign w:val="center"/>
            <w:hideMark/>
          </w:tcPr>
          <w:p w14:paraId="32758E6F"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0,9199</w:t>
            </w:r>
          </w:p>
        </w:tc>
        <w:tc>
          <w:tcPr>
            <w:tcW w:w="2216" w:type="dxa"/>
            <w:tcBorders>
              <w:top w:val="nil"/>
              <w:left w:val="nil"/>
              <w:bottom w:val="single" w:sz="4" w:space="0" w:color="auto"/>
              <w:right w:val="single" w:sz="4" w:space="0" w:color="auto"/>
            </w:tcBorders>
            <w:shd w:val="clear" w:color="auto" w:fill="auto"/>
            <w:noWrap/>
            <w:vAlign w:val="center"/>
            <w:hideMark/>
          </w:tcPr>
          <w:p w14:paraId="62E611DD"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r w:rsidRPr="003157BA">
              <w:rPr>
                <w:rFonts w:ascii="Times New Roman" w:eastAsia="Times New Roman" w:hAnsi="Times New Roman" w:cs="Times New Roman"/>
                <w:color w:val="000000"/>
                <w:kern w:val="0"/>
                <w:sz w:val="24"/>
                <w:szCs w:val="24"/>
                <w:lang w:eastAsia="es-ES"/>
                <w14:ligatures w14:val="none"/>
              </w:rPr>
              <w:t>0,6642</w:t>
            </w:r>
          </w:p>
        </w:tc>
        <w:tc>
          <w:tcPr>
            <w:tcW w:w="1271" w:type="dxa"/>
            <w:tcBorders>
              <w:top w:val="nil"/>
              <w:left w:val="nil"/>
              <w:bottom w:val="nil"/>
              <w:right w:val="nil"/>
            </w:tcBorders>
            <w:shd w:val="clear" w:color="auto" w:fill="auto"/>
            <w:noWrap/>
            <w:vAlign w:val="bottom"/>
            <w:hideMark/>
          </w:tcPr>
          <w:p w14:paraId="2F482773" w14:textId="77777777" w:rsidR="003157BA" w:rsidRPr="003157BA" w:rsidRDefault="003157BA" w:rsidP="003157BA">
            <w:pPr>
              <w:spacing w:after="0" w:line="240" w:lineRule="auto"/>
              <w:jc w:val="center"/>
              <w:rPr>
                <w:rFonts w:ascii="Times New Roman" w:eastAsia="Times New Roman" w:hAnsi="Times New Roman" w:cs="Times New Roman"/>
                <w:color w:val="000000"/>
                <w:kern w:val="0"/>
                <w:sz w:val="24"/>
                <w:szCs w:val="24"/>
                <w:lang w:eastAsia="es-ES"/>
                <w14:ligatures w14:val="none"/>
              </w:rPr>
            </w:pPr>
          </w:p>
        </w:tc>
      </w:tr>
    </w:tbl>
    <w:p w14:paraId="0A6EEA70" w14:textId="77777777" w:rsidR="00E47AFF" w:rsidRDefault="00E47AFF" w:rsidP="006E59F4">
      <w:pPr>
        <w:spacing w:line="360" w:lineRule="auto"/>
        <w:jc w:val="both"/>
        <w:rPr>
          <w:rFonts w:ascii="Times New Roman" w:eastAsiaTheme="minorEastAsia" w:hAnsi="Times New Roman" w:cs="Times New Roman"/>
          <w:sz w:val="24"/>
          <w:szCs w:val="24"/>
          <w:lang w:eastAsia="es-ES"/>
        </w:rPr>
      </w:pPr>
    </w:p>
    <w:p w14:paraId="379BB909" w14:textId="77777777" w:rsidR="00CC377D" w:rsidRDefault="00CC377D" w:rsidP="009F1AFC">
      <w:pPr>
        <w:spacing w:line="360" w:lineRule="auto"/>
        <w:jc w:val="both"/>
        <w:rPr>
          <w:rFonts w:ascii="Times New Roman" w:eastAsiaTheme="minorEastAsia" w:hAnsi="Times New Roman" w:cs="Times New Roman"/>
          <w:sz w:val="24"/>
          <w:szCs w:val="24"/>
          <w:lang w:eastAsia="es-ES"/>
        </w:rPr>
      </w:pPr>
    </w:p>
    <w:p w14:paraId="2502BE6A" w14:textId="5B42F787" w:rsidR="009F1AFC" w:rsidRDefault="009F1AFC" w:rsidP="009F1AFC">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lastRenderedPageBreak/>
        <w:t>Est</w:t>
      </w:r>
      <w:r w:rsidR="00CC377D">
        <w:rPr>
          <w:rFonts w:ascii="Times New Roman" w:eastAsiaTheme="minorEastAsia" w:hAnsi="Times New Roman" w:cs="Times New Roman"/>
          <w:sz w:val="24"/>
          <w:szCs w:val="24"/>
          <w:lang w:eastAsia="es-ES"/>
        </w:rPr>
        <w:t>os resultados</w:t>
      </w:r>
      <w:r>
        <w:rPr>
          <w:rFonts w:ascii="Times New Roman" w:eastAsiaTheme="minorEastAsia" w:hAnsi="Times New Roman" w:cs="Times New Roman"/>
          <w:sz w:val="24"/>
          <w:szCs w:val="24"/>
          <w:lang w:eastAsia="es-ES"/>
        </w:rPr>
        <w:t xml:space="preserve">, </w:t>
      </w:r>
      <w:r w:rsidRPr="009F1AFC">
        <w:rPr>
          <w:rFonts w:ascii="Times New Roman" w:eastAsiaTheme="minorEastAsia" w:hAnsi="Times New Roman" w:cs="Times New Roman"/>
          <w:sz w:val="24"/>
          <w:szCs w:val="24"/>
          <w:lang w:eastAsia="es-ES"/>
        </w:rPr>
        <w:t>revela</w:t>
      </w:r>
      <w:r w:rsidR="00CC377D">
        <w:rPr>
          <w:rFonts w:ascii="Times New Roman" w:eastAsiaTheme="minorEastAsia" w:hAnsi="Times New Roman" w:cs="Times New Roman"/>
          <w:sz w:val="24"/>
          <w:szCs w:val="24"/>
          <w:lang w:eastAsia="es-ES"/>
        </w:rPr>
        <w:t>n</w:t>
      </w:r>
      <w:r w:rsidRPr="009F1AFC">
        <w:rPr>
          <w:rFonts w:ascii="Times New Roman" w:eastAsiaTheme="minorEastAsia" w:hAnsi="Times New Roman" w:cs="Times New Roman"/>
          <w:sz w:val="24"/>
          <w:szCs w:val="24"/>
          <w:lang w:eastAsia="es-ES"/>
        </w:rPr>
        <w:t xml:space="preserve"> </w:t>
      </w:r>
      <w:r>
        <w:rPr>
          <w:rFonts w:ascii="Times New Roman" w:eastAsiaTheme="minorEastAsia" w:hAnsi="Times New Roman" w:cs="Times New Roman"/>
          <w:sz w:val="24"/>
          <w:szCs w:val="24"/>
          <w:lang w:eastAsia="es-ES"/>
        </w:rPr>
        <w:t>que únicamente dos sectores se ven significativamente impactados</w:t>
      </w:r>
      <w:r w:rsidR="00B60274">
        <w:rPr>
          <w:rFonts w:ascii="Times New Roman" w:eastAsiaTheme="minorEastAsia" w:hAnsi="Times New Roman" w:cs="Times New Roman"/>
          <w:sz w:val="24"/>
          <w:szCs w:val="24"/>
          <w:lang w:eastAsia="es-ES"/>
        </w:rPr>
        <w:t xml:space="preserve"> de forma conjunta</w:t>
      </w:r>
      <w:r>
        <w:rPr>
          <w:rFonts w:ascii="Times New Roman" w:eastAsiaTheme="minorEastAsia" w:hAnsi="Times New Roman" w:cs="Times New Roman"/>
          <w:sz w:val="24"/>
          <w:szCs w:val="24"/>
          <w:lang w:eastAsia="es-ES"/>
        </w:rPr>
        <w:t xml:space="preserve"> por los flujos monetarios a nivel de rentabilidad de las acciones</w:t>
      </w:r>
      <w:r w:rsidRPr="009F1AFC">
        <w:rPr>
          <w:rFonts w:ascii="Times New Roman" w:eastAsiaTheme="minorEastAsia" w:hAnsi="Times New Roman" w:cs="Times New Roman"/>
          <w:sz w:val="24"/>
          <w:szCs w:val="24"/>
          <w:lang w:eastAsia="es-ES"/>
        </w:rPr>
        <w:t xml:space="preserve">. </w:t>
      </w:r>
      <w:r>
        <w:rPr>
          <w:rFonts w:ascii="Times New Roman" w:eastAsiaTheme="minorEastAsia" w:hAnsi="Times New Roman" w:cs="Times New Roman"/>
          <w:sz w:val="24"/>
          <w:szCs w:val="24"/>
          <w:lang w:eastAsia="es-ES"/>
        </w:rPr>
        <w:t>En primer lugar, el sector</w:t>
      </w:r>
      <w:r w:rsidRPr="009F1AFC">
        <w:rPr>
          <w:rFonts w:ascii="Times New Roman" w:eastAsiaTheme="minorEastAsia" w:hAnsi="Times New Roman" w:cs="Times New Roman"/>
          <w:sz w:val="24"/>
          <w:szCs w:val="24"/>
          <w:lang w:eastAsia="es-ES"/>
        </w:rPr>
        <w:t xml:space="preserve"> salud, con un p-valor de 0.041</w:t>
      </w:r>
      <w:r>
        <w:rPr>
          <w:rFonts w:ascii="Times New Roman" w:eastAsiaTheme="minorEastAsia" w:hAnsi="Times New Roman" w:cs="Times New Roman"/>
          <w:sz w:val="24"/>
          <w:szCs w:val="24"/>
          <w:lang w:eastAsia="es-ES"/>
        </w:rPr>
        <w:t>2 y un</w:t>
      </w:r>
      <w:r w:rsidRPr="009F1AFC">
        <w:rPr>
          <w:rFonts w:ascii="Times New Roman" w:eastAsiaTheme="minorEastAsia" w:hAnsi="Times New Roman" w:cs="Times New Roman"/>
          <w:sz w:val="24"/>
          <w:szCs w:val="24"/>
          <w:lang w:eastAsia="es-ES"/>
        </w:rPr>
        <w:t xml:space="preserve"> coeficiente de flujos de 0.18 </w:t>
      </w:r>
      <w:r>
        <w:rPr>
          <w:rFonts w:ascii="Times New Roman" w:eastAsiaTheme="minorEastAsia" w:hAnsi="Times New Roman" w:cs="Times New Roman"/>
          <w:sz w:val="24"/>
          <w:szCs w:val="24"/>
          <w:lang w:eastAsia="es-ES"/>
        </w:rPr>
        <w:t>indica</w:t>
      </w:r>
      <w:r w:rsidRPr="009F1AFC">
        <w:rPr>
          <w:rFonts w:ascii="Times New Roman" w:eastAsiaTheme="minorEastAsia" w:hAnsi="Times New Roman" w:cs="Times New Roman"/>
          <w:sz w:val="24"/>
          <w:szCs w:val="24"/>
          <w:lang w:eastAsia="es-ES"/>
        </w:rPr>
        <w:t xml:space="preserve"> que los flujos de capital hacia los ETFs tienen un impacto significativo y positivo en los rendimientos de las acciones del sector salud. </w:t>
      </w:r>
    </w:p>
    <w:p w14:paraId="5CBB7E0D" w14:textId="56D7840F" w:rsidR="009F1AFC" w:rsidRDefault="009F1AFC" w:rsidP="009F1AFC">
      <w:pPr>
        <w:spacing w:line="360" w:lineRule="auto"/>
        <w:jc w:val="both"/>
        <w:rPr>
          <w:rFonts w:ascii="Times New Roman" w:eastAsiaTheme="minorEastAsia" w:hAnsi="Times New Roman" w:cs="Times New Roman"/>
          <w:sz w:val="24"/>
          <w:szCs w:val="24"/>
          <w:lang w:eastAsia="es-ES"/>
        </w:rPr>
      </w:pPr>
      <w:r w:rsidRPr="009F1AFC">
        <w:rPr>
          <w:rFonts w:ascii="Times New Roman" w:eastAsiaTheme="minorEastAsia" w:hAnsi="Times New Roman" w:cs="Times New Roman"/>
          <w:sz w:val="24"/>
          <w:szCs w:val="24"/>
          <w:lang w:eastAsia="es-ES"/>
        </w:rPr>
        <w:t>En el sector</w:t>
      </w:r>
      <w:r>
        <w:rPr>
          <w:rFonts w:ascii="Times New Roman" w:eastAsiaTheme="minorEastAsia" w:hAnsi="Times New Roman" w:cs="Times New Roman"/>
          <w:sz w:val="24"/>
          <w:szCs w:val="24"/>
          <w:lang w:eastAsia="es-ES"/>
        </w:rPr>
        <w:t xml:space="preserve"> de</w:t>
      </w:r>
      <w:r w:rsidRPr="009F1AFC">
        <w:rPr>
          <w:rFonts w:ascii="Times New Roman" w:eastAsiaTheme="minorEastAsia" w:hAnsi="Times New Roman" w:cs="Times New Roman"/>
          <w:sz w:val="24"/>
          <w:szCs w:val="24"/>
          <w:lang w:eastAsia="es-ES"/>
        </w:rPr>
        <w:t xml:space="preserve"> servicios financieros, el</w:t>
      </w:r>
      <w:r>
        <w:rPr>
          <w:rFonts w:ascii="Times New Roman" w:eastAsiaTheme="minorEastAsia" w:hAnsi="Times New Roman" w:cs="Times New Roman"/>
          <w:sz w:val="24"/>
          <w:szCs w:val="24"/>
          <w:lang w:eastAsia="es-ES"/>
        </w:rPr>
        <w:t xml:space="preserve"> </w:t>
      </w:r>
      <w:r w:rsidRPr="009F1AFC">
        <w:rPr>
          <w:rFonts w:ascii="Times New Roman" w:eastAsiaTheme="minorEastAsia" w:hAnsi="Times New Roman" w:cs="Times New Roman"/>
          <w:sz w:val="24"/>
          <w:szCs w:val="24"/>
          <w:lang w:eastAsia="es-ES"/>
        </w:rPr>
        <w:t xml:space="preserve">p-valor de </w:t>
      </w:r>
      <w:r w:rsidRPr="009F1AFC">
        <w:rPr>
          <w:rFonts w:ascii="Times New Roman" w:eastAsiaTheme="minorEastAsia" w:hAnsi="Times New Roman" w:cs="Times New Roman"/>
          <w:sz w:val="24"/>
          <w:szCs w:val="24"/>
          <w:lang w:eastAsia="es-ES"/>
        </w:rPr>
        <w:t xml:space="preserve">0.0497 </w:t>
      </w:r>
      <w:r>
        <w:rPr>
          <w:rFonts w:ascii="Times New Roman" w:eastAsiaTheme="minorEastAsia" w:hAnsi="Times New Roman" w:cs="Times New Roman"/>
          <w:sz w:val="24"/>
          <w:szCs w:val="24"/>
          <w:lang w:eastAsia="es-ES"/>
        </w:rPr>
        <w:t>sugiere que la variable es significativa. A su vez el c</w:t>
      </w:r>
      <w:r w:rsidRPr="009F1AFC">
        <w:rPr>
          <w:rFonts w:ascii="Times New Roman" w:eastAsiaTheme="minorEastAsia" w:hAnsi="Times New Roman" w:cs="Times New Roman"/>
          <w:sz w:val="24"/>
          <w:szCs w:val="24"/>
          <w:lang w:eastAsia="es-ES"/>
        </w:rPr>
        <w:t xml:space="preserve">oeficiente de flujos es de 0.1268, mostrando </w:t>
      </w:r>
      <w:r>
        <w:rPr>
          <w:rFonts w:ascii="Times New Roman" w:eastAsiaTheme="minorEastAsia" w:hAnsi="Times New Roman" w:cs="Times New Roman"/>
          <w:sz w:val="24"/>
          <w:szCs w:val="24"/>
          <w:lang w:eastAsia="es-ES"/>
        </w:rPr>
        <w:t xml:space="preserve">de nuevo </w:t>
      </w:r>
      <w:r w:rsidRPr="009F1AFC">
        <w:rPr>
          <w:rFonts w:ascii="Times New Roman" w:eastAsiaTheme="minorEastAsia" w:hAnsi="Times New Roman" w:cs="Times New Roman"/>
          <w:sz w:val="24"/>
          <w:szCs w:val="24"/>
          <w:lang w:eastAsia="es-ES"/>
        </w:rPr>
        <w:t>una relación</w:t>
      </w:r>
      <w:r>
        <w:rPr>
          <w:rFonts w:ascii="Times New Roman" w:eastAsiaTheme="minorEastAsia" w:hAnsi="Times New Roman" w:cs="Times New Roman"/>
          <w:sz w:val="24"/>
          <w:szCs w:val="24"/>
          <w:lang w:eastAsia="es-ES"/>
        </w:rPr>
        <w:t xml:space="preserve"> positiva</w:t>
      </w:r>
      <w:r w:rsidRPr="009F1AFC">
        <w:rPr>
          <w:rFonts w:ascii="Times New Roman" w:eastAsiaTheme="minorEastAsia" w:hAnsi="Times New Roman" w:cs="Times New Roman"/>
          <w:sz w:val="24"/>
          <w:szCs w:val="24"/>
          <w:lang w:eastAsia="es-ES"/>
        </w:rPr>
        <w:t xml:space="preserve"> significativa</w:t>
      </w:r>
      <w:r>
        <w:rPr>
          <w:rFonts w:ascii="Times New Roman" w:eastAsiaTheme="minorEastAsia" w:hAnsi="Times New Roman" w:cs="Times New Roman"/>
          <w:sz w:val="24"/>
          <w:szCs w:val="24"/>
          <w:lang w:eastAsia="es-ES"/>
        </w:rPr>
        <w:t xml:space="preserve"> al igual que en el sector salud</w:t>
      </w:r>
      <w:r w:rsidR="00B60274">
        <w:rPr>
          <w:rFonts w:ascii="Times New Roman" w:eastAsiaTheme="minorEastAsia" w:hAnsi="Times New Roman" w:cs="Times New Roman"/>
          <w:sz w:val="24"/>
          <w:szCs w:val="24"/>
          <w:lang w:eastAsia="es-ES"/>
        </w:rPr>
        <w:t xml:space="preserve">. Para el resto de los sectores, no podemos afirmar que, de manera conjunta, los flujos de capital hacia ETFs de gestión pasiva tengan un impacto directo significativo en las cotizaciones. </w:t>
      </w:r>
    </w:p>
    <w:p w14:paraId="0C1A2A8D" w14:textId="7A82EF3F" w:rsidR="00B60274" w:rsidRDefault="00B60274" w:rsidP="009F1AFC">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Algo que si conviene destacar es el hecho de que ambos coeficientes significativos sean positivos, reafirmando la idea de que la entrada de capitales en el mercado de gestión pasiva tiene un impacto positivamente correlacionado en las cotizaciones de </w:t>
      </w:r>
      <w:r w:rsidR="00376CDA">
        <w:rPr>
          <w:rFonts w:ascii="Times New Roman" w:eastAsiaTheme="minorEastAsia" w:hAnsi="Times New Roman" w:cs="Times New Roman"/>
          <w:sz w:val="24"/>
          <w:szCs w:val="24"/>
          <w:lang w:eastAsia="es-ES"/>
        </w:rPr>
        <w:t>determinadas acciones</w:t>
      </w:r>
      <w:r>
        <w:rPr>
          <w:rFonts w:ascii="Times New Roman" w:eastAsiaTheme="minorEastAsia" w:hAnsi="Times New Roman" w:cs="Times New Roman"/>
          <w:sz w:val="24"/>
          <w:szCs w:val="24"/>
          <w:lang w:eastAsia="es-ES"/>
        </w:rPr>
        <w:t>.</w:t>
      </w:r>
    </w:p>
    <w:p w14:paraId="6B6D6C7C" w14:textId="37EA9539" w:rsidR="00376CDA" w:rsidRDefault="00376CDA" w:rsidP="009F1AFC">
      <w:pPr>
        <w:spacing w:line="36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En conclusión, si bien parece que existen algunos sectores que son más sensibles a estos flujos monetarios, es importante tener en mente que esto no implica causalidad, de hecho, intuitivamente se puede deducir que el sector al que pertenece una acción es irrelevante para los fondos de gestión pasiva </w:t>
      </w:r>
      <w:r w:rsidR="00722646">
        <w:rPr>
          <w:rFonts w:ascii="Times New Roman" w:eastAsiaTheme="minorEastAsia" w:hAnsi="Times New Roman" w:cs="Times New Roman"/>
          <w:sz w:val="24"/>
          <w:szCs w:val="24"/>
          <w:lang w:eastAsia="es-ES"/>
        </w:rPr>
        <w:t>ya que estos no tienen preferencia por unos sectores u otros, simplemente replican la distribución del mercado.</w:t>
      </w:r>
      <w:r w:rsidR="00F676C4">
        <w:rPr>
          <w:rFonts w:ascii="Times New Roman" w:eastAsiaTheme="minorEastAsia" w:hAnsi="Times New Roman" w:cs="Times New Roman"/>
          <w:sz w:val="24"/>
          <w:szCs w:val="24"/>
          <w:lang w:eastAsia="es-ES"/>
        </w:rPr>
        <w:t xml:space="preserve"> Lo que sí se puede afirmar es que existe una concentración de acciones con una mayor sensibilidad al fenómeno analizado, en determinados sectores. </w:t>
      </w:r>
    </w:p>
    <w:p w14:paraId="22EDFE51" w14:textId="77777777" w:rsidR="00AC1F49" w:rsidRDefault="00AC1F49" w:rsidP="009F1AFC">
      <w:pPr>
        <w:spacing w:line="360" w:lineRule="auto"/>
        <w:jc w:val="both"/>
        <w:rPr>
          <w:rFonts w:ascii="Times New Roman" w:eastAsiaTheme="minorEastAsia" w:hAnsi="Times New Roman" w:cs="Times New Roman"/>
          <w:sz w:val="24"/>
          <w:szCs w:val="24"/>
          <w:lang w:eastAsia="es-ES"/>
        </w:rPr>
      </w:pPr>
    </w:p>
    <w:p w14:paraId="47D42AA6" w14:textId="688892C2" w:rsidR="00AC1F49" w:rsidRPr="00AC1F49" w:rsidRDefault="00AC1F49" w:rsidP="009F1AFC">
      <w:pPr>
        <w:spacing w:line="360" w:lineRule="auto"/>
        <w:jc w:val="both"/>
        <w:rPr>
          <w:rFonts w:ascii="Times New Roman" w:eastAsiaTheme="minorEastAsia" w:hAnsi="Times New Roman" w:cs="Times New Roman"/>
          <w:b/>
          <w:bCs/>
          <w:sz w:val="24"/>
          <w:szCs w:val="24"/>
          <w:lang w:eastAsia="es-ES"/>
        </w:rPr>
      </w:pPr>
      <w:r w:rsidRPr="00AC1F49">
        <w:rPr>
          <w:rFonts w:ascii="Times New Roman" w:eastAsiaTheme="minorEastAsia" w:hAnsi="Times New Roman" w:cs="Times New Roman"/>
          <w:b/>
          <w:bCs/>
          <w:sz w:val="24"/>
          <w:szCs w:val="24"/>
          <w:lang w:eastAsia="es-ES"/>
        </w:rPr>
        <w:t>Conclusión</w:t>
      </w:r>
    </w:p>
    <w:p w14:paraId="63566AD9" w14:textId="77777777" w:rsidR="00EE1A0D" w:rsidRDefault="00EE1A0D" w:rsidP="009F1AFC">
      <w:pPr>
        <w:spacing w:line="360" w:lineRule="auto"/>
        <w:jc w:val="both"/>
        <w:rPr>
          <w:rFonts w:ascii="Times New Roman" w:eastAsiaTheme="minorEastAsia" w:hAnsi="Times New Roman" w:cs="Times New Roman"/>
          <w:sz w:val="24"/>
          <w:szCs w:val="24"/>
          <w:lang w:eastAsia="es-ES"/>
        </w:rPr>
      </w:pPr>
    </w:p>
    <w:p w14:paraId="70F95239" w14:textId="06729E99" w:rsidR="00376CDA" w:rsidRDefault="00376CDA" w:rsidP="009F1AFC">
      <w:pPr>
        <w:spacing w:line="360" w:lineRule="auto"/>
        <w:jc w:val="both"/>
        <w:rPr>
          <w:rFonts w:ascii="Times New Roman" w:eastAsiaTheme="minorEastAsia" w:hAnsi="Times New Roman" w:cs="Times New Roman"/>
          <w:sz w:val="24"/>
          <w:szCs w:val="24"/>
          <w:lang w:eastAsia="es-ES"/>
        </w:rPr>
      </w:pPr>
    </w:p>
    <w:p w14:paraId="3A3C514C" w14:textId="77777777" w:rsidR="00376CDA" w:rsidRDefault="00376CDA" w:rsidP="009F1AFC">
      <w:pPr>
        <w:spacing w:line="360" w:lineRule="auto"/>
        <w:jc w:val="both"/>
        <w:rPr>
          <w:rFonts w:ascii="Times New Roman" w:eastAsiaTheme="minorEastAsia" w:hAnsi="Times New Roman" w:cs="Times New Roman"/>
          <w:sz w:val="24"/>
          <w:szCs w:val="24"/>
          <w:lang w:eastAsia="es-ES"/>
        </w:rPr>
      </w:pPr>
    </w:p>
    <w:p w14:paraId="3DD7BBCB" w14:textId="77777777" w:rsidR="00376CDA" w:rsidRPr="009F1AFC" w:rsidRDefault="00376CDA" w:rsidP="009F1AFC">
      <w:pPr>
        <w:spacing w:line="360" w:lineRule="auto"/>
        <w:jc w:val="both"/>
        <w:rPr>
          <w:rFonts w:ascii="Times New Roman" w:eastAsiaTheme="minorEastAsia" w:hAnsi="Times New Roman" w:cs="Times New Roman"/>
          <w:sz w:val="24"/>
          <w:szCs w:val="24"/>
          <w:lang w:eastAsia="es-ES"/>
        </w:rPr>
      </w:pPr>
    </w:p>
    <w:p w14:paraId="6239AB20" w14:textId="77777777" w:rsidR="009F1AFC" w:rsidRPr="009F1AFC" w:rsidRDefault="009F1AFC" w:rsidP="009F1AFC">
      <w:pPr>
        <w:spacing w:line="360" w:lineRule="auto"/>
        <w:jc w:val="both"/>
        <w:rPr>
          <w:rFonts w:ascii="Times New Roman" w:eastAsiaTheme="minorEastAsia" w:hAnsi="Times New Roman" w:cs="Times New Roman"/>
          <w:sz w:val="24"/>
          <w:szCs w:val="24"/>
          <w:lang w:eastAsia="es-ES"/>
        </w:rPr>
      </w:pPr>
    </w:p>
    <w:p w14:paraId="3261B91D" w14:textId="77777777" w:rsidR="00A930AA" w:rsidRPr="006E59F4" w:rsidRDefault="00A930AA" w:rsidP="006E59F4">
      <w:pPr>
        <w:spacing w:line="360" w:lineRule="auto"/>
        <w:jc w:val="both"/>
        <w:rPr>
          <w:rFonts w:ascii="Times New Roman" w:eastAsiaTheme="minorEastAsia" w:hAnsi="Times New Roman" w:cs="Times New Roman"/>
          <w:sz w:val="24"/>
          <w:szCs w:val="24"/>
          <w:lang w:eastAsia="es-ES"/>
        </w:rPr>
      </w:pPr>
    </w:p>
    <w:sectPr w:rsidR="00A930AA" w:rsidRPr="006E59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50083"/>
    <w:multiLevelType w:val="multilevel"/>
    <w:tmpl w:val="BC30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2681C"/>
    <w:multiLevelType w:val="hybridMultilevel"/>
    <w:tmpl w:val="6270DE7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3C574D"/>
    <w:multiLevelType w:val="multilevel"/>
    <w:tmpl w:val="BCC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D15192"/>
    <w:multiLevelType w:val="hybridMultilevel"/>
    <w:tmpl w:val="523C3D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E863A3B"/>
    <w:multiLevelType w:val="multilevel"/>
    <w:tmpl w:val="742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197CA3"/>
    <w:multiLevelType w:val="hybridMultilevel"/>
    <w:tmpl w:val="EE560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5683BFF"/>
    <w:multiLevelType w:val="multilevel"/>
    <w:tmpl w:val="A68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84504A"/>
    <w:multiLevelType w:val="hybridMultilevel"/>
    <w:tmpl w:val="BF1E726C"/>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357C02AD"/>
    <w:multiLevelType w:val="hybridMultilevel"/>
    <w:tmpl w:val="A5AA0D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5A6427C"/>
    <w:multiLevelType w:val="hybridMultilevel"/>
    <w:tmpl w:val="C4C2BCE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53E1188A"/>
    <w:multiLevelType w:val="hybridMultilevel"/>
    <w:tmpl w:val="6270DE70"/>
    <w:lvl w:ilvl="0" w:tplc="236AFB9E">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590E3A79"/>
    <w:multiLevelType w:val="multilevel"/>
    <w:tmpl w:val="C96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776B2F"/>
    <w:multiLevelType w:val="multilevel"/>
    <w:tmpl w:val="6F6C0F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A338E1"/>
    <w:multiLevelType w:val="hybridMultilevel"/>
    <w:tmpl w:val="973C873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909460386">
    <w:abstractNumId w:val="12"/>
  </w:num>
  <w:num w:numId="2" w16cid:durableId="1789162019">
    <w:abstractNumId w:val="6"/>
  </w:num>
  <w:num w:numId="3" w16cid:durableId="1265990394">
    <w:abstractNumId w:val="3"/>
  </w:num>
  <w:num w:numId="4" w16cid:durableId="220488131">
    <w:abstractNumId w:val="7"/>
  </w:num>
  <w:num w:numId="5" w16cid:durableId="243422820">
    <w:abstractNumId w:val="13"/>
  </w:num>
  <w:num w:numId="6" w16cid:durableId="1033001774">
    <w:abstractNumId w:val="9"/>
  </w:num>
  <w:num w:numId="7" w16cid:durableId="2017266731">
    <w:abstractNumId w:val="10"/>
  </w:num>
  <w:num w:numId="8" w16cid:durableId="1453136892">
    <w:abstractNumId w:val="4"/>
  </w:num>
  <w:num w:numId="9" w16cid:durableId="545070745">
    <w:abstractNumId w:val="2"/>
  </w:num>
  <w:num w:numId="10" w16cid:durableId="1364286984">
    <w:abstractNumId w:val="8"/>
  </w:num>
  <w:num w:numId="11" w16cid:durableId="2092892901">
    <w:abstractNumId w:val="0"/>
  </w:num>
  <w:num w:numId="12" w16cid:durableId="1325007171">
    <w:abstractNumId w:val="1"/>
  </w:num>
  <w:num w:numId="13" w16cid:durableId="1086153943">
    <w:abstractNumId w:val="11"/>
  </w:num>
  <w:num w:numId="14" w16cid:durableId="647200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866D3"/>
    <w:rsid w:val="00007351"/>
    <w:rsid w:val="00011CE3"/>
    <w:rsid w:val="00021D41"/>
    <w:rsid w:val="00053607"/>
    <w:rsid w:val="0005472D"/>
    <w:rsid w:val="00060669"/>
    <w:rsid w:val="00070060"/>
    <w:rsid w:val="00070092"/>
    <w:rsid w:val="00074E15"/>
    <w:rsid w:val="000757F8"/>
    <w:rsid w:val="00077D45"/>
    <w:rsid w:val="00085FE8"/>
    <w:rsid w:val="00090CBE"/>
    <w:rsid w:val="000A4A56"/>
    <w:rsid w:val="000C548D"/>
    <w:rsid w:val="000D0CA6"/>
    <w:rsid w:val="000F0646"/>
    <w:rsid w:val="000F2DC5"/>
    <w:rsid w:val="00120AEE"/>
    <w:rsid w:val="00124079"/>
    <w:rsid w:val="00130F3F"/>
    <w:rsid w:val="0014226A"/>
    <w:rsid w:val="001449FE"/>
    <w:rsid w:val="00146D7F"/>
    <w:rsid w:val="00172FCA"/>
    <w:rsid w:val="001B2959"/>
    <w:rsid w:val="001B6EE4"/>
    <w:rsid w:val="001C0162"/>
    <w:rsid w:val="001C2524"/>
    <w:rsid w:val="001E6DC9"/>
    <w:rsid w:val="00222FE1"/>
    <w:rsid w:val="00226301"/>
    <w:rsid w:val="00231673"/>
    <w:rsid w:val="00235335"/>
    <w:rsid w:val="00235F28"/>
    <w:rsid w:val="00247B58"/>
    <w:rsid w:val="00253214"/>
    <w:rsid w:val="00284EB6"/>
    <w:rsid w:val="002A43EB"/>
    <w:rsid w:val="002B0431"/>
    <w:rsid w:val="002B1D31"/>
    <w:rsid w:val="002B2068"/>
    <w:rsid w:val="002C2FAF"/>
    <w:rsid w:val="002D5C58"/>
    <w:rsid w:val="002D67CA"/>
    <w:rsid w:val="002E18AA"/>
    <w:rsid w:val="002E4CDF"/>
    <w:rsid w:val="003062C2"/>
    <w:rsid w:val="00306B59"/>
    <w:rsid w:val="0030775D"/>
    <w:rsid w:val="003157BA"/>
    <w:rsid w:val="0033793B"/>
    <w:rsid w:val="00353D69"/>
    <w:rsid w:val="00367C86"/>
    <w:rsid w:val="00370186"/>
    <w:rsid w:val="00376CDA"/>
    <w:rsid w:val="003A47D9"/>
    <w:rsid w:val="003A4811"/>
    <w:rsid w:val="003A7A67"/>
    <w:rsid w:val="003B3576"/>
    <w:rsid w:val="003B7748"/>
    <w:rsid w:val="003C3947"/>
    <w:rsid w:val="003D1F10"/>
    <w:rsid w:val="003E0B4E"/>
    <w:rsid w:val="003E5604"/>
    <w:rsid w:val="00403B54"/>
    <w:rsid w:val="00412634"/>
    <w:rsid w:val="00415C03"/>
    <w:rsid w:val="00422A0F"/>
    <w:rsid w:val="004423F4"/>
    <w:rsid w:val="00447D2A"/>
    <w:rsid w:val="00471D13"/>
    <w:rsid w:val="00475CB3"/>
    <w:rsid w:val="00475F4B"/>
    <w:rsid w:val="00484BCE"/>
    <w:rsid w:val="00487CBD"/>
    <w:rsid w:val="004C35EB"/>
    <w:rsid w:val="004C75BD"/>
    <w:rsid w:val="00500924"/>
    <w:rsid w:val="00502AD7"/>
    <w:rsid w:val="005127F7"/>
    <w:rsid w:val="00517CA8"/>
    <w:rsid w:val="00535540"/>
    <w:rsid w:val="005364E4"/>
    <w:rsid w:val="00547E79"/>
    <w:rsid w:val="0056602D"/>
    <w:rsid w:val="00567E75"/>
    <w:rsid w:val="00577E55"/>
    <w:rsid w:val="00581DAC"/>
    <w:rsid w:val="00587B3C"/>
    <w:rsid w:val="00591E76"/>
    <w:rsid w:val="005B2849"/>
    <w:rsid w:val="005B494C"/>
    <w:rsid w:val="005B591A"/>
    <w:rsid w:val="005D5165"/>
    <w:rsid w:val="005F6B9E"/>
    <w:rsid w:val="005F770B"/>
    <w:rsid w:val="006007C6"/>
    <w:rsid w:val="00612997"/>
    <w:rsid w:val="00613873"/>
    <w:rsid w:val="00616582"/>
    <w:rsid w:val="00645726"/>
    <w:rsid w:val="0066324C"/>
    <w:rsid w:val="0067550D"/>
    <w:rsid w:val="006910D6"/>
    <w:rsid w:val="0069607B"/>
    <w:rsid w:val="006A1A49"/>
    <w:rsid w:val="006A1E63"/>
    <w:rsid w:val="006C46F2"/>
    <w:rsid w:val="006C54DA"/>
    <w:rsid w:val="006C6DD7"/>
    <w:rsid w:val="006E59F4"/>
    <w:rsid w:val="006E71A6"/>
    <w:rsid w:val="006F78B8"/>
    <w:rsid w:val="00706A46"/>
    <w:rsid w:val="00722646"/>
    <w:rsid w:val="00722ECD"/>
    <w:rsid w:val="007472E5"/>
    <w:rsid w:val="00754E19"/>
    <w:rsid w:val="00756070"/>
    <w:rsid w:val="00762A47"/>
    <w:rsid w:val="0076438E"/>
    <w:rsid w:val="0078065B"/>
    <w:rsid w:val="007866D3"/>
    <w:rsid w:val="00787373"/>
    <w:rsid w:val="007979C7"/>
    <w:rsid w:val="007C1BF1"/>
    <w:rsid w:val="007E06C8"/>
    <w:rsid w:val="007E11DC"/>
    <w:rsid w:val="007F1D6B"/>
    <w:rsid w:val="007F71B2"/>
    <w:rsid w:val="008033A3"/>
    <w:rsid w:val="008155A0"/>
    <w:rsid w:val="00823574"/>
    <w:rsid w:val="00825647"/>
    <w:rsid w:val="008303E4"/>
    <w:rsid w:val="008515AA"/>
    <w:rsid w:val="008724AD"/>
    <w:rsid w:val="008816AB"/>
    <w:rsid w:val="008B0CAF"/>
    <w:rsid w:val="008D17D1"/>
    <w:rsid w:val="008D4B56"/>
    <w:rsid w:val="008D4C6A"/>
    <w:rsid w:val="008F2FAD"/>
    <w:rsid w:val="0090330A"/>
    <w:rsid w:val="00906D2A"/>
    <w:rsid w:val="00931008"/>
    <w:rsid w:val="00936B71"/>
    <w:rsid w:val="00947CF5"/>
    <w:rsid w:val="00953EF2"/>
    <w:rsid w:val="009663C8"/>
    <w:rsid w:val="0096721C"/>
    <w:rsid w:val="00967BD5"/>
    <w:rsid w:val="009A06DE"/>
    <w:rsid w:val="009A1488"/>
    <w:rsid w:val="009A6DDD"/>
    <w:rsid w:val="009D0C94"/>
    <w:rsid w:val="009D4EE4"/>
    <w:rsid w:val="009E2167"/>
    <w:rsid w:val="009F1AFC"/>
    <w:rsid w:val="00A22E7B"/>
    <w:rsid w:val="00A238FC"/>
    <w:rsid w:val="00A309E3"/>
    <w:rsid w:val="00A35975"/>
    <w:rsid w:val="00A4049C"/>
    <w:rsid w:val="00A41F8A"/>
    <w:rsid w:val="00A477FB"/>
    <w:rsid w:val="00A81933"/>
    <w:rsid w:val="00A85849"/>
    <w:rsid w:val="00A930AA"/>
    <w:rsid w:val="00A96198"/>
    <w:rsid w:val="00AB310A"/>
    <w:rsid w:val="00AC0C2F"/>
    <w:rsid w:val="00AC1F49"/>
    <w:rsid w:val="00AD5223"/>
    <w:rsid w:val="00AD5532"/>
    <w:rsid w:val="00AE0063"/>
    <w:rsid w:val="00B11A2B"/>
    <w:rsid w:val="00B22FE6"/>
    <w:rsid w:val="00B258E7"/>
    <w:rsid w:val="00B33351"/>
    <w:rsid w:val="00B3653C"/>
    <w:rsid w:val="00B43F1E"/>
    <w:rsid w:val="00B4500B"/>
    <w:rsid w:val="00B546B2"/>
    <w:rsid w:val="00B60274"/>
    <w:rsid w:val="00B60685"/>
    <w:rsid w:val="00B61A6C"/>
    <w:rsid w:val="00B648D1"/>
    <w:rsid w:val="00B66386"/>
    <w:rsid w:val="00B67251"/>
    <w:rsid w:val="00B747A7"/>
    <w:rsid w:val="00B82017"/>
    <w:rsid w:val="00B94B28"/>
    <w:rsid w:val="00B9714A"/>
    <w:rsid w:val="00B97F60"/>
    <w:rsid w:val="00B97F7C"/>
    <w:rsid w:val="00BA6962"/>
    <w:rsid w:val="00BB68E6"/>
    <w:rsid w:val="00BD2173"/>
    <w:rsid w:val="00BE009B"/>
    <w:rsid w:val="00BF4696"/>
    <w:rsid w:val="00BF623F"/>
    <w:rsid w:val="00C0559D"/>
    <w:rsid w:val="00C21B7B"/>
    <w:rsid w:val="00C33C31"/>
    <w:rsid w:val="00C46C71"/>
    <w:rsid w:val="00C70B76"/>
    <w:rsid w:val="00C925A9"/>
    <w:rsid w:val="00CA0788"/>
    <w:rsid w:val="00CC377D"/>
    <w:rsid w:val="00CD05E6"/>
    <w:rsid w:val="00CD1663"/>
    <w:rsid w:val="00CE21D3"/>
    <w:rsid w:val="00CE3116"/>
    <w:rsid w:val="00CE6333"/>
    <w:rsid w:val="00D4055E"/>
    <w:rsid w:val="00D411AB"/>
    <w:rsid w:val="00D44327"/>
    <w:rsid w:val="00D52446"/>
    <w:rsid w:val="00D73E55"/>
    <w:rsid w:val="00DB07F5"/>
    <w:rsid w:val="00DC3408"/>
    <w:rsid w:val="00DD74A3"/>
    <w:rsid w:val="00E0010E"/>
    <w:rsid w:val="00E0767D"/>
    <w:rsid w:val="00E100F9"/>
    <w:rsid w:val="00E17222"/>
    <w:rsid w:val="00E266ED"/>
    <w:rsid w:val="00E47AFF"/>
    <w:rsid w:val="00E64C0F"/>
    <w:rsid w:val="00E770DC"/>
    <w:rsid w:val="00E77BFC"/>
    <w:rsid w:val="00EA2874"/>
    <w:rsid w:val="00EA299C"/>
    <w:rsid w:val="00EB1FC3"/>
    <w:rsid w:val="00EE1655"/>
    <w:rsid w:val="00EE1A0D"/>
    <w:rsid w:val="00EE1EC0"/>
    <w:rsid w:val="00EF14DF"/>
    <w:rsid w:val="00EF5FFF"/>
    <w:rsid w:val="00EF7F5E"/>
    <w:rsid w:val="00F0107C"/>
    <w:rsid w:val="00F10669"/>
    <w:rsid w:val="00F3274D"/>
    <w:rsid w:val="00F41473"/>
    <w:rsid w:val="00F45637"/>
    <w:rsid w:val="00F45D7F"/>
    <w:rsid w:val="00F65B60"/>
    <w:rsid w:val="00F65D6D"/>
    <w:rsid w:val="00F676C4"/>
    <w:rsid w:val="00F728FD"/>
    <w:rsid w:val="00F85922"/>
    <w:rsid w:val="00F87934"/>
    <w:rsid w:val="00F929FE"/>
    <w:rsid w:val="00FA190B"/>
    <w:rsid w:val="00FA37B0"/>
    <w:rsid w:val="00FA4920"/>
    <w:rsid w:val="00FC0835"/>
    <w:rsid w:val="00FC5E1B"/>
    <w:rsid w:val="00FE165A"/>
    <w:rsid w:val="00FE5E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7"/>
      </o:rules>
    </o:shapelayout>
  </w:shapeDefaults>
  <w:decimalSymbol w:val=","/>
  <w:listSeparator w:val=";"/>
  <w14:docId w14:val="60BE81D2"/>
  <w15:chartTrackingRefBased/>
  <w15:docId w15:val="{0E8075A9-A981-44D9-B8D7-257FE2CA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576"/>
  </w:style>
  <w:style w:type="paragraph" w:styleId="Ttulo1">
    <w:name w:val="heading 1"/>
    <w:basedOn w:val="Normal"/>
    <w:next w:val="Normal"/>
    <w:link w:val="Ttulo1Car"/>
    <w:uiPriority w:val="9"/>
    <w:qFormat/>
    <w:rsid w:val="00786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866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866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6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6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6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6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6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6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6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866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866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6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6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6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6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6D3"/>
    <w:rPr>
      <w:rFonts w:eastAsiaTheme="majorEastAsia" w:cstheme="majorBidi"/>
      <w:color w:val="272727" w:themeColor="text1" w:themeTint="D8"/>
    </w:rPr>
  </w:style>
  <w:style w:type="paragraph" w:styleId="Ttulo">
    <w:name w:val="Title"/>
    <w:basedOn w:val="Normal"/>
    <w:next w:val="Normal"/>
    <w:link w:val="TtuloCar"/>
    <w:uiPriority w:val="10"/>
    <w:qFormat/>
    <w:rsid w:val="0078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6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6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6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6D3"/>
    <w:pPr>
      <w:spacing w:before="160"/>
      <w:jc w:val="center"/>
    </w:pPr>
    <w:rPr>
      <w:i/>
      <w:iCs/>
      <w:color w:val="404040" w:themeColor="text1" w:themeTint="BF"/>
    </w:rPr>
  </w:style>
  <w:style w:type="character" w:customStyle="1" w:styleId="CitaCar">
    <w:name w:val="Cita Car"/>
    <w:basedOn w:val="Fuentedeprrafopredeter"/>
    <w:link w:val="Cita"/>
    <w:uiPriority w:val="29"/>
    <w:rsid w:val="007866D3"/>
    <w:rPr>
      <w:i/>
      <w:iCs/>
      <w:color w:val="404040" w:themeColor="text1" w:themeTint="BF"/>
    </w:rPr>
  </w:style>
  <w:style w:type="paragraph" w:styleId="Prrafodelista">
    <w:name w:val="List Paragraph"/>
    <w:basedOn w:val="Normal"/>
    <w:uiPriority w:val="34"/>
    <w:qFormat/>
    <w:rsid w:val="007866D3"/>
    <w:pPr>
      <w:ind w:left="720"/>
      <w:contextualSpacing/>
    </w:pPr>
  </w:style>
  <w:style w:type="character" w:styleId="nfasisintenso">
    <w:name w:val="Intense Emphasis"/>
    <w:basedOn w:val="Fuentedeprrafopredeter"/>
    <w:uiPriority w:val="21"/>
    <w:qFormat/>
    <w:rsid w:val="007866D3"/>
    <w:rPr>
      <w:i/>
      <w:iCs/>
      <w:color w:val="0F4761" w:themeColor="accent1" w:themeShade="BF"/>
    </w:rPr>
  </w:style>
  <w:style w:type="paragraph" w:styleId="Citadestacada">
    <w:name w:val="Intense Quote"/>
    <w:basedOn w:val="Normal"/>
    <w:next w:val="Normal"/>
    <w:link w:val="CitadestacadaCar"/>
    <w:uiPriority w:val="30"/>
    <w:qFormat/>
    <w:rsid w:val="00786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6D3"/>
    <w:rPr>
      <w:i/>
      <w:iCs/>
      <w:color w:val="0F4761" w:themeColor="accent1" w:themeShade="BF"/>
    </w:rPr>
  </w:style>
  <w:style w:type="character" w:styleId="Referenciaintensa">
    <w:name w:val="Intense Reference"/>
    <w:basedOn w:val="Fuentedeprrafopredeter"/>
    <w:uiPriority w:val="32"/>
    <w:qFormat/>
    <w:rsid w:val="007866D3"/>
    <w:rPr>
      <w:b/>
      <w:bCs/>
      <w:smallCaps/>
      <w:color w:val="0F4761" w:themeColor="accent1" w:themeShade="BF"/>
      <w:spacing w:val="5"/>
    </w:rPr>
  </w:style>
  <w:style w:type="paragraph" w:styleId="NormalWeb">
    <w:name w:val="Normal (Web)"/>
    <w:basedOn w:val="Normal"/>
    <w:uiPriority w:val="99"/>
    <w:semiHidden/>
    <w:unhideWhenUsed/>
    <w:rsid w:val="003C3947"/>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styleId="Textoennegrita">
    <w:name w:val="Strong"/>
    <w:basedOn w:val="Fuentedeprrafopredeter"/>
    <w:uiPriority w:val="22"/>
    <w:qFormat/>
    <w:rsid w:val="003C3947"/>
    <w:rPr>
      <w:b/>
      <w:bCs/>
    </w:rPr>
  </w:style>
  <w:style w:type="character" w:customStyle="1" w:styleId="katex-mathml">
    <w:name w:val="katex-mathml"/>
    <w:basedOn w:val="Fuentedeprrafopredeter"/>
    <w:rsid w:val="00124079"/>
  </w:style>
  <w:style w:type="character" w:customStyle="1" w:styleId="mord">
    <w:name w:val="mord"/>
    <w:basedOn w:val="Fuentedeprrafopredeter"/>
    <w:rsid w:val="00124079"/>
  </w:style>
  <w:style w:type="character" w:customStyle="1" w:styleId="mopen">
    <w:name w:val="mopen"/>
    <w:basedOn w:val="Fuentedeprrafopredeter"/>
    <w:rsid w:val="00124079"/>
  </w:style>
  <w:style w:type="character" w:customStyle="1" w:styleId="vlist-s">
    <w:name w:val="vlist-s"/>
    <w:basedOn w:val="Fuentedeprrafopredeter"/>
    <w:rsid w:val="00124079"/>
  </w:style>
  <w:style w:type="character" w:customStyle="1" w:styleId="mclose">
    <w:name w:val="mclose"/>
    <w:basedOn w:val="Fuentedeprrafopredeter"/>
    <w:rsid w:val="00124079"/>
  </w:style>
  <w:style w:type="character" w:customStyle="1" w:styleId="mrel">
    <w:name w:val="mrel"/>
    <w:basedOn w:val="Fuentedeprrafopredeter"/>
    <w:rsid w:val="00124079"/>
  </w:style>
  <w:style w:type="character" w:customStyle="1" w:styleId="mbin">
    <w:name w:val="mbin"/>
    <w:basedOn w:val="Fuentedeprrafopredeter"/>
    <w:rsid w:val="00124079"/>
  </w:style>
  <w:style w:type="character" w:styleId="Textodelmarcadordeposicin">
    <w:name w:val="Placeholder Text"/>
    <w:basedOn w:val="Fuentedeprrafopredeter"/>
    <w:uiPriority w:val="99"/>
    <w:semiHidden/>
    <w:rsid w:val="00C925A9"/>
    <w:rPr>
      <w:color w:val="666666"/>
    </w:rPr>
  </w:style>
  <w:style w:type="character" w:styleId="Hipervnculo">
    <w:name w:val="Hyperlink"/>
    <w:basedOn w:val="Fuentedeprrafopredeter"/>
    <w:uiPriority w:val="99"/>
    <w:semiHidden/>
    <w:unhideWhenUsed/>
    <w:rsid w:val="00F45637"/>
    <w:rPr>
      <w:color w:val="0000FF"/>
      <w:u w:val="single"/>
    </w:rPr>
  </w:style>
  <w:style w:type="character" w:styleId="Refdecomentario">
    <w:name w:val="annotation reference"/>
    <w:basedOn w:val="Fuentedeprrafopredeter"/>
    <w:uiPriority w:val="99"/>
    <w:semiHidden/>
    <w:unhideWhenUsed/>
    <w:rsid w:val="00B9714A"/>
    <w:rPr>
      <w:sz w:val="16"/>
      <w:szCs w:val="16"/>
    </w:rPr>
  </w:style>
  <w:style w:type="paragraph" w:styleId="Textocomentario">
    <w:name w:val="annotation text"/>
    <w:basedOn w:val="Normal"/>
    <w:link w:val="TextocomentarioCar"/>
    <w:uiPriority w:val="99"/>
    <w:unhideWhenUsed/>
    <w:rsid w:val="00B9714A"/>
    <w:pPr>
      <w:spacing w:line="240" w:lineRule="auto"/>
    </w:pPr>
    <w:rPr>
      <w:sz w:val="20"/>
      <w:szCs w:val="20"/>
    </w:rPr>
  </w:style>
  <w:style w:type="character" w:customStyle="1" w:styleId="TextocomentarioCar">
    <w:name w:val="Texto comentario Car"/>
    <w:basedOn w:val="Fuentedeprrafopredeter"/>
    <w:link w:val="Textocomentario"/>
    <w:uiPriority w:val="99"/>
    <w:rsid w:val="00B9714A"/>
    <w:rPr>
      <w:sz w:val="20"/>
      <w:szCs w:val="20"/>
    </w:rPr>
  </w:style>
  <w:style w:type="paragraph" w:styleId="Asuntodelcomentario">
    <w:name w:val="annotation subject"/>
    <w:basedOn w:val="Textocomentario"/>
    <w:next w:val="Textocomentario"/>
    <w:link w:val="AsuntodelcomentarioCar"/>
    <w:uiPriority w:val="99"/>
    <w:semiHidden/>
    <w:unhideWhenUsed/>
    <w:rsid w:val="00B9714A"/>
    <w:rPr>
      <w:b/>
      <w:bCs/>
    </w:rPr>
  </w:style>
  <w:style w:type="character" w:customStyle="1" w:styleId="AsuntodelcomentarioCar">
    <w:name w:val="Asunto del comentario Car"/>
    <w:basedOn w:val="TextocomentarioCar"/>
    <w:link w:val="Asuntodelcomentario"/>
    <w:uiPriority w:val="99"/>
    <w:semiHidden/>
    <w:rsid w:val="00B971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43691">
      <w:bodyDiv w:val="1"/>
      <w:marLeft w:val="0"/>
      <w:marRight w:val="0"/>
      <w:marTop w:val="0"/>
      <w:marBottom w:val="0"/>
      <w:divBdr>
        <w:top w:val="none" w:sz="0" w:space="0" w:color="auto"/>
        <w:left w:val="none" w:sz="0" w:space="0" w:color="auto"/>
        <w:bottom w:val="none" w:sz="0" w:space="0" w:color="auto"/>
        <w:right w:val="none" w:sz="0" w:space="0" w:color="auto"/>
      </w:divBdr>
    </w:div>
    <w:div w:id="25716583">
      <w:bodyDiv w:val="1"/>
      <w:marLeft w:val="0"/>
      <w:marRight w:val="0"/>
      <w:marTop w:val="0"/>
      <w:marBottom w:val="0"/>
      <w:divBdr>
        <w:top w:val="none" w:sz="0" w:space="0" w:color="auto"/>
        <w:left w:val="none" w:sz="0" w:space="0" w:color="auto"/>
        <w:bottom w:val="none" w:sz="0" w:space="0" w:color="auto"/>
        <w:right w:val="none" w:sz="0" w:space="0" w:color="auto"/>
      </w:divBdr>
    </w:div>
    <w:div w:id="143013936">
      <w:bodyDiv w:val="1"/>
      <w:marLeft w:val="0"/>
      <w:marRight w:val="0"/>
      <w:marTop w:val="0"/>
      <w:marBottom w:val="0"/>
      <w:divBdr>
        <w:top w:val="none" w:sz="0" w:space="0" w:color="auto"/>
        <w:left w:val="none" w:sz="0" w:space="0" w:color="auto"/>
        <w:bottom w:val="none" w:sz="0" w:space="0" w:color="auto"/>
        <w:right w:val="none" w:sz="0" w:space="0" w:color="auto"/>
      </w:divBdr>
    </w:div>
    <w:div w:id="146485325">
      <w:bodyDiv w:val="1"/>
      <w:marLeft w:val="0"/>
      <w:marRight w:val="0"/>
      <w:marTop w:val="0"/>
      <w:marBottom w:val="0"/>
      <w:divBdr>
        <w:top w:val="none" w:sz="0" w:space="0" w:color="auto"/>
        <w:left w:val="none" w:sz="0" w:space="0" w:color="auto"/>
        <w:bottom w:val="none" w:sz="0" w:space="0" w:color="auto"/>
        <w:right w:val="none" w:sz="0" w:space="0" w:color="auto"/>
      </w:divBdr>
    </w:div>
    <w:div w:id="366416097">
      <w:bodyDiv w:val="1"/>
      <w:marLeft w:val="0"/>
      <w:marRight w:val="0"/>
      <w:marTop w:val="0"/>
      <w:marBottom w:val="0"/>
      <w:divBdr>
        <w:top w:val="none" w:sz="0" w:space="0" w:color="auto"/>
        <w:left w:val="none" w:sz="0" w:space="0" w:color="auto"/>
        <w:bottom w:val="none" w:sz="0" w:space="0" w:color="auto"/>
        <w:right w:val="none" w:sz="0" w:space="0" w:color="auto"/>
      </w:divBdr>
    </w:div>
    <w:div w:id="619845165">
      <w:bodyDiv w:val="1"/>
      <w:marLeft w:val="0"/>
      <w:marRight w:val="0"/>
      <w:marTop w:val="0"/>
      <w:marBottom w:val="0"/>
      <w:divBdr>
        <w:top w:val="none" w:sz="0" w:space="0" w:color="auto"/>
        <w:left w:val="none" w:sz="0" w:space="0" w:color="auto"/>
        <w:bottom w:val="none" w:sz="0" w:space="0" w:color="auto"/>
        <w:right w:val="none" w:sz="0" w:space="0" w:color="auto"/>
      </w:divBdr>
    </w:div>
    <w:div w:id="781337829">
      <w:bodyDiv w:val="1"/>
      <w:marLeft w:val="0"/>
      <w:marRight w:val="0"/>
      <w:marTop w:val="0"/>
      <w:marBottom w:val="0"/>
      <w:divBdr>
        <w:top w:val="none" w:sz="0" w:space="0" w:color="auto"/>
        <w:left w:val="none" w:sz="0" w:space="0" w:color="auto"/>
        <w:bottom w:val="none" w:sz="0" w:space="0" w:color="auto"/>
        <w:right w:val="none" w:sz="0" w:space="0" w:color="auto"/>
      </w:divBdr>
    </w:div>
    <w:div w:id="823938195">
      <w:bodyDiv w:val="1"/>
      <w:marLeft w:val="0"/>
      <w:marRight w:val="0"/>
      <w:marTop w:val="0"/>
      <w:marBottom w:val="0"/>
      <w:divBdr>
        <w:top w:val="none" w:sz="0" w:space="0" w:color="auto"/>
        <w:left w:val="none" w:sz="0" w:space="0" w:color="auto"/>
        <w:bottom w:val="none" w:sz="0" w:space="0" w:color="auto"/>
        <w:right w:val="none" w:sz="0" w:space="0" w:color="auto"/>
      </w:divBdr>
    </w:div>
    <w:div w:id="826556791">
      <w:bodyDiv w:val="1"/>
      <w:marLeft w:val="0"/>
      <w:marRight w:val="0"/>
      <w:marTop w:val="0"/>
      <w:marBottom w:val="0"/>
      <w:divBdr>
        <w:top w:val="none" w:sz="0" w:space="0" w:color="auto"/>
        <w:left w:val="none" w:sz="0" w:space="0" w:color="auto"/>
        <w:bottom w:val="none" w:sz="0" w:space="0" w:color="auto"/>
        <w:right w:val="none" w:sz="0" w:space="0" w:color="auto"/>
      </w:divBdr>
    </w:div>
    <w:div w:id="847450146">
      <w:bodyDiv w:val="1"/>
      <w:marLeft w:val="0"/>
      <w:marRight w:val="0"/>
      <w:marTop w:val="0"/>
      <w:marBottom w:val="0"/>
      <w:divBdr>
        <w:top w:val="none" w:sz="0" w:space="0" w:color="auto"/>
        <w:left w:val="none" w:sz="0" w:space="0" w:color="auto"/>
        <w:bottom w:val="none" w:sz="0" w:space="0" w:color="auto"/>
        <w:right w:val="none" w:sz="0" w:space="0" w:color="auto"/>
      </w:divBdr>
    </w:div>
    <w:div w:id="1126046624">
      <w:bodyDiv w:val="1"/>
      <w:marLeft w:val="0"/>
      <w:marRight w:val="0"/>
      <w:marTop w:val="0"/>
      <w:marBottom w:val="0"/>
      <w:divBdr>
        <w:top w:val="none" w:sz="0" w:space="0" w:color="auto"/>
        <w:left w:val="none" w:sz="0" w:space="0" w:color="auto"/>
        <w:bottom w:val="none" w:sz="0" w:space="0" w:color="auto"/>
        <w:right w:val="none" w:sz="0" w:space="0" w:color="auto"/>
      </w:divBdr>
    </w:div>
    <w:div w:id="1273780190">
      <w:bodyDiv w:val="1"/>
      <w:marLeft w:val="0"/>
      <w:marRight w:val="0"/>
      <w:marTop w:val="0"/>
      <w:marBottom w:val="0"/>
      <w:divBdr>
        <w:top w:val="none" w:sz="0" w:space="0" w:color="auto"/>
        <w:left w:val="none" w:sz="0" w:space="0" w:color="auto"/>
        <w:bottom w:val="none" w:sz="0" w:space="0" w:color="auto"/>
        <w:right w:val="none" w:sz="0" w:space="0" w:color="auto"/>
      </w:divBdr>
    </w:div>
    <w:div w:id="1334649355">
      <w:bodyDiv w:val="1"/>
      <w:marLeft w:val="0"/>
      <w:marRight w:val="0"/>
      <w:marTop w:val="0"/>
      <w:marBottom w:val="0"/>
      <w:divBdr>
        <w:top w:val="none" w:sz="0" w:space="0" w:color="auto"/>
        <w:left w:val="none" w:sz="0" w:space="0" w:color="auto"/>
        <w:bottom w:val="none" w:sz="0" w:space="0" w:color="auto"/>
        <w:right w:val="none" w:sz="0" w:space="0" w:color="auto"/>
      </w:divBdr>
    </w:div>
    <w:div w:id="155276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https://upload.wikimedia.org/wikipedia/commons/thumb/4/4f/Cc_by-nc-nd_euro_icon.svg/2000px-Cc_by-nc-nd_euro_icon.svg.png" TargetMode="Externa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6410</TotalTime>
  <Pages>26</Pages>
  <Words>6489</Words>
  <Characters>35690</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Perez Ledesma</dc:creator>
  <cp:keywords/>
  <dc:description/>
  <cp:lastModifiedBy>Hector Perez Ledesma</cp:lastModifiedBy>
  <cp:revision>407</cp:revision>
  <cp:lastPrinted>2024-05-20T21:03:00Z</cp:lastPrinted>
  <dcterms:created xsi:type="dcterms:W3CDTF">2024-05-15T14:35:00Z</dcterms:created>
  <dcterms:modified xsi:type="dcterms:W3CDTF">2024-05-20T21:12:00Z</dcterms:modified>
</cp:coreProperties>
</file>