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SPOT - Brand Color Palette &amp; Style Specification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official brand document standardizes the visual identity and color usage for </w:t>
      </w:r>
      <w:r w:rsidDel="00000000" w:rsidR="00000000" w:rsidRPr="00000000">
        <w:rPr>
          <w:b w:val="1"/>
          <w:bCs w:val="1"/>
          <w:rtl w:val="0"/>
        </w:rPr>
        <w:t xml:space="preserve">THE SPOT</w:t>
      </w:r>
      <w:r w:rsidDel="00000000" w:rsidR="00000000" w:rsidRPr="00000000">
        <w:rPr>
          <w:rtl w:val="0"/>
        </w:rPr>
        <w:t xml:space="preserve">, an established surfwear and lifestyle brand founded in 1982. This palette blends retro neon aesthetics with vibrant coastal elements to ensure consistency across digital platforms, textile manufacturing, apparel design, and marketing collateral.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Brand Vignette Model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This section provides a structural reconstruction of the product palette vignette from the core reference file </w:t>
      </w:r>
      <w:r w:rsidDel="00000000" w:rsidR="00000000" w:rsidRPr="00000000">
        <w:rPr>
          <w:b w:val="1"/>
          <w:bCs w:val="1"/>
          <w:rtl w:val="0"/>
        </w:rPr>
        <w:t xml:space="preserve">03_APPROVED_TheSpot_ColourPalette_2026_0622.png</w:t>
      </w:r>
      <w:r w:rsidDel="00000000" w:rsidR="00000000" w:rsidRPr="00000000">
        <w:rPr>
          <w:rtl w:val="0"/>
        </w:rPr>
        <w:t xml:space="preserve">. </w:t>
      </w:r>
      <w:r w:rsidDel="00000000" w:rsidR="00000000" w:rsidRPr="00000000">
        <w:rPr>
          <w:rtl w:val="0"/>
        </w:rPr>
        <w:t xml:space="preserve">This serves as the definitive visual anchor for product design execution.</w:t>
      </w:r>
    </w:p>
    <w:tbl>
      <w:tblPr>
        <w:tblStyle w:val="Table1"/>
        <w:tblW w:w="8925.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8925"/>
        <w:tblGridChange w:id="0">
          <w:tblGrid>
            <w:gridCol w:w="8925"/>
          </w:tblGrid>
        </w:tblGridChange>
      </w:tblGrid>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6da0e"/>
                <w:sz w:val="14"/>
                <w:szCs w:val="14"/>
                <w:shd w:fill="auto" w:val="clear"/>
              </w:rPr>
            </w:pPr>
            <w:r w:rsidDel="00000000" w:rsidR="00000000" w:rsidRPr="00000000">
              <w:rPr>
                <w:rtl w:val="0"/>
              </w:rPr>
            </w:r>
          </w:p>
          <w:tbl>
            <w:tblPr>
              <w:tblStyle w:val="Table2"/>
              <w:tblW w:w="279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92.4"/>
              <w:tblGridChange w:id="0">
                <w:tblGrid>
                  <w:gridCol w:w="2792.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6da0e" w:val="clear"/>
                  <w:tcMar>
                    <w:top w:w="120.0" w:type="dxa"/>
                    <w:left w:w="120.0" w:type="dxa"/>
                    <w:bottom w:w="120.0" w:type="dxa"/>
                    <w:right w:w="27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F6DA0E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488aff" w:val="clear"/>
                  <w:tcMar>
                    <w:top w:w="120.0" w:type="dxa"/>
                    <w:left w:w="120.0" w:type="dxa"/>
                    <w:bottom w:w="120.0" w:type="dxa"/>
                    <w:right w:w="27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488AFF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fbaf5" w:val="clear"/>
                  <w:tcMar>
                    <w:top w:w="120.0" w:type="dxa"/>
                    <w:left w:w="120.0" w:type="dxa"/>
                    <w:bottom w:w="120.0" w:type="dxa"/>
                    <w:right w:w="27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EFBAF5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5926" w:val="clear"/>
                  <w:tcMar>
                    <w:top w:w="120.0" w:type="dxa"/>
                    <w:left w:w="120.0" w:type="dxa"/>
                    <w:bottom w:w="120.0" w:type="dxa"/>
                    <w:right w:w="27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FF5926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3cff7" w:val="clear"/>
                  <w:tcMar>
                    <w:top w:w="120.0" w:type="dxa"/>
                    <w:left w:w="120.0" w:type="dxa"/>
                    <w:bottom w:w="120.0" w:type="dxa"/>
                    <w:right w:w="27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A3CFF7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24b00" w:val="clear"/>
                  <w:tcMar>
                    <w:top w:w="120.0" w:type="dxa"/>
                    <w:left w:w="120.0" w:type="dxa"/>
                    <w:bottom w:w="120.0" w:type="dxa"/>
                    <w:right w:w="27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024B00</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ffffff"/>
                <w:shd w:fill="auto" w:val="clear"/>
              </w:rPr>
            </w:pPr>
            <w:r w:rsidDel="00000000" w:rsidR="00000000" w:rsidRPr="00000000">
              <w:rPr>
                <w:rtl w:val="0"/>
              </w:rPr>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rFonts w:ascii="Arial" w:cs="Arial" w:eastAsia="Arial" w:hAnsi="Arial"/>
          <w:b w:val="1"/>
          <w:bCs w:val="1"/>
          <w:color w:val="ffffff"/>
          <w:shd w:fill="auto" w:val="clear"/>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Master Color Palette Specifications</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5f5f5"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Color Sample Name</w:t>
            </w:r>
          </w:p>
        </w:tc>
        <w:tc>
          <w:tcPr>
            <w:shd w:fill="f5f5f5"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Hex Code</w:t>
            </w:r>
          </w:p>
        </w:tc>
        <w:tc>
          <w:tcPr>
            <w:shd w:fill="f5f5f5"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Description &amp; Tone</w:t>
            </w:r>
          </w:p>
        </w:tc>
        <w:tc>
          <w:tcPr>
            <w:shd w:fill="f5f5f5"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Primary Application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Pineapple Yellow</w:t>
            </w:r>
          </w:p>
        </w:tc>
        <w:tc>
          <w:tcPr>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#F6DA0E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 high-energy, retro neon yellow that evokes summer warmth and sunshine.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Primary product baselayers, statement apparel pieces, and background fills.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Electric Surf Blue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#488AFF</w:t>
            </w:r>
          </w:p>
        </w:tc>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 vibrant, medium-tone blue reflecting active ocean sports and retro typography.</w:t>
            </w:r>
          </w:p>
        </w:tc>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Primary typography, bold graphics, and logo accents.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Citrus Daydream Pink</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#EFBAF5</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 soft, neon-tinted pastel orchid pink providing a nostalgic 1980s lifestyle accent.</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Secondary apparel lines, lifestyle product packaging, and lifestyle graphics.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Sunset Orange</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#FF5926</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An intense, high-saturation neon orange mimicking an end-of-day tropical horizon.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High-visibility branding elements, labels, and limited-edition lifestyle garments.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Pastel Coastal Blue</w:t>
            </w:r>
          </w:p>
        </w:tc>
        <w:tc>
          <w:tcPr>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#A3CFF7</w:t>
            </w:r>
          </w:p>
        </w:tc>
        <w:tc>
          <w:tcPr>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 light, ice-toned coastal blue that offers clean contrast and balancing sub-tones.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Digital user interface backgrounds, secondary text blocks, and subtle iconography.</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Deep Kelp Green</w:t>
            </w:r>
          </w:p>
        </w:tc>
        <w:tc>
          <w:tcPr>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#024B00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 dense, organic dark forest green grounding the palette in natural marine surroundings.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Grounding structural text, legal print, technical outerwear elements, and high-contrast signage.</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Professional Guidelines for Usage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Color Hierarchy &amp; Distribution:</w:t>
      </w:r>
      <w:r w:rsidDel="00000000" w:rsidR="00000000" w:rsidRPr="00000000">
        <w:rPr>
          <w:rtl w:val="0"/>
        </w:rPr>
        <w:t xml:space="preserve"> Brand layouts should follow a 60-30-10 distribution. Use high-impact background tones like Pineapple Yellow (#F6DA0E) or Citrus Daydream Pink (#EFBAF5) for 60% of the visual space, balance with Electric Surf Blue (#488AFF) or Pastel Coastal Blue (#A3CFF7) for 30%, and apply Sunset Orange (#FF5926) for the remaining 10% as a high-visibility accent.</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Contrast:</w:t>
      </w:r>
      <w:r w:rsidDel="00000000" w:rsidR="00000000" w:rsidRPr="00000000">
        <w:rPr>
          <w:rtl w:val="0"/>
        </w:rPr>
        <w:t xml:space="preserve"> For maximum legibility across digital interfaces and screen-printed garments, heavy display fonts should utilize Electric Surf Blue (#488AFF) when placed over Pineapple Yellow (#F6DA0E). Alternatively, use Deep Kelp Green (#024B00) for smaller body text or technical specifications to guarantee accessibility standards are met.</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Textile and Sizing Label Standards:</w:t>
      </w:r>
      <w:r w:rsidDel="00000000" w:rsidR="00000000" w:rsidRPr="00000000">
        <w:rPr>
          <w:rtl w:val="0"/>
        </w:rPr>
        <w:t xml:space="preserve"> When sending design packages to apparel manufacturers, all custom retro layouts must specify exact color-blocking pairs. Sunset Orange (#FF5926) must always be paired with a contrasting neutral or pastel layer to avoid visual bleeding. Neon palettes must be color-tested under UV conditions to prevent premature fading from saltwater or sun exposure.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Platform Uniformity:</w:t>
      </w:r>
      <w:r w:rsidDel="00000000" w:rsidR="00000000" w:rsidRPr="00000000">
        <w:rPr>
          <w:rtl w:val="0"/>
        </w:rPr>
        <w:t xml:space="preserve"> For storefront modules, digital marketing assets, and lookbooks, ensure that backgrounds maintain a clean layout using Pastel Coastal Blue (#A3CFF7) or structured whitespace, allowing the retro neon product tones to stand out prominently.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Prohibited Color Misuse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not place high-saturation text such as Sunset Orange (#FF5926) directly over Citrus Daydream Pink (#EFBAF5), as the lack of tonal contrast causes vibrating boundaries and severely impairs legibility.</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not use gradients or blend these solid neon blocks together into unauthorized transitions; the brand identity relies strictly on solid, vintage color-blocking methods established in our 1982 design standards.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not substitute alternative hex code values or modify the saturation levels of these specified brand tones.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