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F6D"/>
          <w:sz w:val="18"/>
        </w:rPr>
        <w:t>PONTIFICIA UNIVERSIDAD CATÓLICA DEL PERÚ</w:t>
      </w:r>
    </w:p>
    <w:p>
      <w:r>
        <w:rPr>
          <w:color w:val="555F6D"/>
          <w:sz w:val="18"/>
        </w:rPr>
        <w:t>REPRESENTACIÓN GRÁFICA PARA INGENIERÍA MECATRÓNICA · USO DOCENTE</w:t>
      </w:r>
    </w:p>
    <w:p>
      <w:pPr>
        <w:spacing w:before="120"/>
      </w:pPr>
      <w:r>
        <w:rPr>
          <w:b/>
          <w:color w:val="042254"/>
          <w:sz w:val="44"/>
        </w:rPr>
        <w:t>Plan de sesiones</w:t>
      </w:r>
    </w:p>
    <w:p>
      <w:r>
        <w:rPr>
          <w:color w:val="0B7A53"/>
          <w:sz w:val="24"/>
        </w:rPr>
        <w:t>Semana de representación neumática · 2 h teoría + 3 h práctica</w:t>
      </w:r>
    </w:p>
    <w:p>
      <w:pPr>
        <w:pBdr>
          <w:bottom w:val="single" w:sz="12" w:space="1" w:color="16C78E"/>
        </w:pBdr>
      </w:pPr>
    </w:p>
    <w:p>
      <w:pPr>
        <w:pStyle w:val="Heading1"/>
      </w:pPr>
      <w:r>
        <w:t>Criterio de selección del contenido</w:t>
      </w:r>
    </w:p>
    <w:p>
      <w:r>
        <w:rPr>
          <w:b w:val="0"/>
          <w:i w:val="0"/>
        </w:rPr>
        <w:t>Las clases de KU Leuven (Mechanical Drive Systems, D. Reynaerts) cubren neumática con profundidad de curso completo. Para una sola semana centrada en REPRESENTACIÓN se conservó lo que los alumnos necesitan para resolver las PD 10 y 11, y se dejó el resto como referencia.</w:t>
      </w:r>
    </w:p>
    <w:tbl>
      <w:tblPr>
        <w:tblStyle w:val="TableGrid"/>
        <w:tblW w:type="auto" w:w="0"/>
        <w:jc w:val="center"/>
        <w:tblLayout w:type="fixed"/>
        <w:tblLook w:firstColumn="1" w:firstRow="1" w:lastColumn="0" w:lastRow="0" w:noHBand="0" w:noVBand="1" w:val="04A0"/>
      </w:tblPr>
      <w:tblGrid>
        <w:gridCol w:w="3742"/>
        <w:gridCol w:w="1361"/>
        <w:gridCol w:w="4535"/>
      </w:tblGrid>
      <w:tr>
        <w:tc>
          <w:tcPr>
            <w:tcW w:type="dxa" w:w="3742"/>
            <w:shd w:val="clear" w:color="auto" w:fill="042254"/>
          </w:tcPr>
          <w:p>
            <w:pPr>
              <w:spacing w:after="20"/>
            </w:pPr>
            <w:r/>
            <w:r>
              <w:rPr>
                <w:b/>
                <w:color w:val="FFFFFF"/>
                <w:sz w:val="19"/>
              </w:rPr>
              <w:t>Tema (KU Leuven)</w:t>
            </w:r>
          </w:p>
        </w:tc>
        <w:tc>
          <w:tcPr>
            <w:tcW w:type="dxa" w:w="1361"/>
            <w:shd w:val="clear" w:color="auto" w:fill="042254"/>
          </w:tcPr>
          <w:p>
            <w:pPr>
              <w:spacing w:after="20"/>
            </w:pPr>
            <w:r/>
            <w:r>
              <w:rPr>
                <w:b/>
                <w:color w:val="FFFFFF"/>
                <w:sz w:val="19"/>
              </w:rPr>
              <w:t>Decisión</w:t>
            </w:r>
          </w:p>
        </w:tc>
        <w:tc>
          <w:tcPr>
            <w:tcW w:type="dxa" w:w="4535"/>
            <w:shd w:val="clear" w:color="auto" w:fill="042254"/>
          </w:tcPr>
          <w:p>
            <w:pPr>
              <w:spacing w:after="20"/>
            </w:pPr>
            <w:r/>
            <w:r>
              <w:rPr>
                <w:b/>
                <w:color w:val="FFFFFF"/>
                <w:sz w:val="19"/>
              </w:rPr>
              <w:t>Motivo</w:t>
            </w:r>
          </w:p>
        </w:tc>
      </w:tr>
      <w:tr>
        <w:tc>
          <w:tcPr>
            <w:tcW w:type="dxa" w:w="3742"/>
          </w:tcPr>
          <w:p>
            <w:pPr>
              <w:spacing w:after="20"/>
            </w:pPr>
            <w:r/>
            <w:r>
              <w:rPr>
                <w:sz w:val="19"/>
              </w:rPr>
              <w:t>Símbolos de válvulas, X/Y, accionamientos</w:t>
            </w:r>
          </w:p>
        </w:tc>
        <w:tc>
          <w:tcPr>
            <w:tcW w:type="dxa" w:w="1361"/>
          </w:tcPr>
          <w:p>
            <w:pPr>
              <w:spacing w:after="20"/>
            </w:pPr>
            <w:r/>
            <w:r>
              <w:rPr>
                <w:sz w:val="19"/>
              </w:rPr>
              <w:t>Se ve</w:t>
            </w:r>
          </w:p>
        </w:tc>
        <w:tc>
          <w:tcPr>
            <w:tcW w:type="dxa" w:w="4535"/>
          </w:tcPr>
          <w:p>
            <w:pPr>
              <w:spacing w:after="20"/>
            </w:pPr>
            <w:r/>
            <w:r>
              <w:rPr>
                <w:sz w:val="19"/>
              </w:rPr>
              <w:t>Base de la representación</w:t>
            </w:r>
          </w:p>
        </w:tc>
      </w:tr>
      <w:tr>
        <w:tc>
          <w:tcPr>
            <w:tcW w:type="dxa" w:w="3742"/>
            <w:shd w:val="clear" w:color="auto" w:fill="ECF0F6"/>
          </w:tcPr>
          <w:p>
            <w:pPr>
              <w:spacing w:after="20"/>
            </w:pPr>
            <w:r/>
            <w:r>
              <w:rPr>
                <w:sz w:val="19"/>
              </w:rPr>
              <w:t>Válvula selectora (O), reguladora de caudal</w:t>
            </w:r>
          </w:p>
        </w:tc>
        <w:tc>
          <w:tcPr>
            <w:tcW w:type="dxa" w:w="1361"/>
            <w:shd w:val="clear" w:color="auto" w:fill="ECF0F6"/>
          </w:tcPr>
          <w:p>
            <w:pPr>
              <w:spacing w:after="20"/>
            </w:pPr>
            <w:r/>
            <w:r>
              <w:rPr>
                <w:sz w:val="19"/>
              </w:rPr>
              <w:t>Se ve</w:t>
            </w:r>
          </w:p>
        </w:tc>
        <w:tc>
          <w:tcPr>
            <w:tcW w:type="dxa" w:w="4535"/>
            <w:shd w:val="clear" w:color="auto" w:fill="ECF0F6"/>
          </w:tcPr>
          <w:p>
            <w:pPr>
              <w:spacing w:after="20"/>
            </w:pPr>
            <w:r/>
            <w:r>
              <w:rPr>
                <w:sz w:val="19"/>
              </w:rPr>
              <w:t>Aparecen en los enunciados</w:t>
            </w:r>
          </w:p>
        </w:tc>
      </w:tr>
      <w:tr>
        <w:tc>
          <w:tcPr>
            <w:tcW w:type="dxa" w:w="3742"/>
          </w:tcPr>
          <w:p>
            <w:pPr>
              <w:spacing w:after="20"/>
            </w:pPr>
            <w:r/>
            <w:r>
              <w:rPr>
                <w:sz w:val="19"/>
              </w:rPr>
              <w:t>Control direccional y de velocidad (meter-in/out)</w:t>
            </w:r>
          </w:p>
        </w:tc>
        <w:tc>
          <w:tcPr>
            <w:tcW w:type="dxa" w:w="1361"/>
          </w:tcPr>
          <w:p>
            <w:pPr>
              <w:spacing w:after="20"/>
            </w:pPr>
            <w:r/>
            <w:r>
              <w:rPr>
                <w:sz w:val="19"/>
              </w:rPr>
              <w:t>Se ve</w:t>
            </w:r>
          </w:p>
        </w:tc>
        <w:tc>
          <w:tcPr>
            <w:tcW w:type="dxa" w:w="4535"/>
          </w:tcPr>
          <w:p>
            <w:pPr>
              <w:spacing w:after="20"/>
            </w:pPr>
            <w:r/>
            <w:r>
              <w:rPr>
                <w:sz w:val="19"/>
              </w:rPr>
              <w:t>Enunciados piden velocidad limitada</w:t>
            </w:r>
          </w:p>
        </w:tc>
      </w:tr>
      <w:tr>
        <w:tc>
          <w:tcPr>
            <w:tcW w:type="dxa" w:w="3742"/>
            <w:shd w:val="clear" w:color="auto" w:fill="ECF0F6"/>
          </w:tcPr>
          <w:p>
            <w:pPr>
              <w:spacing w:after="20"/>
            </w:pPr>
            <w:r/>
            <w:r>
              <w:rPr>
                <w:sz w:val="19"/>
              </w:rPr>
              <w:t>Mando por pilotaje, mono/biestable, memoria</w:t>
            </w:r>
          </w:p>
        </w:tc>
        <w:tc>
          <w:tcPr>
            <w:tcW w:type="dxa" w:w="1361"/>
            <w:shd w:val="clear" w:color="auto" w:fill="ECF0F6"/>
          </w:tcPr>
          <w:p>
            <w:pPr>
              <w:spacing w:after="20"/>
            </w:pPr>
            <w:r/>
            <w:r>
              <w:rPr>
                <w:sz w:val="19"/>
              </w:rPr>
              <w:t>Se ve</w:t>
            </w:r>
          </w:p>
        </w:tc>
        <w:tc>
          <w:tcPr>
            <w:tcW w:type="dxa" w:w="4535"/>
            <w:shd w:val="clear" w:color="auto" w:fill="ECF0F6"/>
          </w:tcPr>
          <w:p>
            <w:pPr>
              <w:spacing w:after="20"/>
            </w:pPr>
            <w:r/>
            <w:r>
              <w:rPr>
                <w:sz w:val="19"/>
              </w:rPr>
              <w:t>Mando a distancia, pulsos</w:t>
            </w:r>
          </w:p>
        </w:tc>
      </w:tr>
      <w:tr>
        <w:tc>
          <w:tcPr>
            <w:tcW w:type="dxa" w:w="3742"/>
          </w:tcPr>
          <w:p>
            <w:pPr>
              <w:spacing w:after="20"/>
            </w:pPr>
            <w:r/>
            <w:r>
              <w:rPr>
                <w:sz w:val="19"/>
              </w:rPr>
              <w:t>Secuencias, diagrama, señales bloqueadas</w:t>
            </w:r>
          </w:p>
        </w:tc>
        <w:tc>
          <w:tcPr>
            <w:tcW w:type="dxa" w:w="1361"/>
          </w:tcPr>
          <w:p>
            <w:pPr>
              <w:spacing w:after="20"/>
            </w:pPr>
            <w:r/>
            <w:r>
              <w:rPr>
                <w:sz w:val="19"/>
              </w:rPr>
              <w:t>Se ve</w:t>
            </w:r>
          </w:p>
        </w:tc>
        <w:tc>
          <w:tcPr>
            <w:tcW w:type="dxa" w:w="4535"/>
          </w:tcPr>
          <w:p>
            <w:pPr>
              <w:spacing w:after="20"/>
            </w:pPr>
            <w:r/>
            <w:r>
              <w:rPr>
                <w:sz w:val="19"/>
              </w:rPr>
              <w:t>Núcleo de la PD 11</w:t>
            </w:r>
          </w:p>
        </w:tc>
      </w:tr>
      <w:tr>
        <w:tc>
          <w:tcPr>
            <w:tcW w:type="dxa" w:w="3742"/>
            <w:shd w:val="clear" w:color="auto" w:fill="ECF0F6"/>
          </w:tcPr>
          <w:p>
            <w:pPr>
              <w:spacing w:after="20"/>
            </w:pPr>
            <w:r/>
            <w:r>
              <w:rPr>
                <w:sz w:val="19"/>
              </w:rPr>
              <w:t>Método cascada (selector de grupo)</w:t>
            </w:r>
          </w:p>
        </w:tc>
        <w:tc>
          <w:tcPr>
            <w:tcW w:type="dxa" w:w="1361"/>
            <w:shd w:val="clear" w:color="auto" w:fill="ECF0F6"/>
          </w:tcPr>
          <w:p>
            <w:pPr>
              <w:spacing w:after="20"/>
            </w:pPr>
            <w:r/>
            <w:r>
              <w:rPr>
                <w:sz w:val="19"/>
              </w:rPr>
              <w:t>Se ve</w:t>
            </w:r>
          </w:p>
        </w:tc>
        <w:tc>
          <w:tcPr>
            <w:tcW w:type="dxa" w:w="4535"/>
            <w:shd w:val="clear" w:color="auto" w:fill="ECF0F6"/>
          </w:tcPr>
          <w:p>
            <w:pPr>
              <w:spacing w:after="20"/>
            </w:pPr>
            <w:r/>
            <w:r>
              <w:rPr>
                <w:sz w:val="19"/>
              </w:rPr>
              <w:t>Solución sistemática</w:t>
            </w:r>
          </w:p>
        </w:tc>
      </w:tr>
      <w:tr>
        <w:tc>
          <w:tcPr>
            <w:tcW w:type="dxa" w:w="3742"/>
          </w:tcPr>
          <w:p>
            <w:pPr>
              <w:spacing w:after="20"/>
            </w:pPr>
            <w:r/>
            <w:r>
              <w:rPr>
                <w:sz w:val="19"/>
              </w:rPr>
              <w:t>Rodillo escamoteable, temporizadores</w:t>
            </w:r>
          </w:p>
        </w:tc>
        <w:tc>
          <w:tcPr>
            <w:tcW w:type="dxa" w:w="1361"/>
          </w:tcPr>
          <w:p>
            <w:pPr>
              <w:spacing w:after="20"/>
            </w:pPr>
            <w:r/>
            <w:r>
              <w:rPr>
                <w:sz w:val="19"/>
              </w:rPr>
              <w:t>Se menciona</w:t>
            </w:r>
          </w:p>
        </w:tc>
        <w:tc>
          <w:tcPr>
            <w:tcW w:type="dxa" w:w="4535"/>
          </w:tcPr>
          <w:p>
            <w:pPr>
              <w:spacing w:after="20"/>
            </w:pPr>
            <w:r/>
            <w:r>
              <w:rPr>
                <w:sz w:val="19"/>
              </w:rPr>
              <w:t>Alternativas al bloqueo</w:t>
            </w:r>
          </w:p>
        </w:tc>
      </w:tr>
      <w:tr>
        <w:tc>
          <w:tcPr>
            <w:tcW w:type="dxa" w:w="3742"/>
            <w:shd w:val="clear" w:color="auto" w:fill="ECF0F6"/>
          </w:tcPr>
          <w:p>
            <w:pPr>
              <w:spacing w:after="20"/>
            </w:pPr>
            <w:r/>
            <w:r>
              <w:rPr>
                <w:sz w:val="19"/>
              </w:rPr>
              <w:t>Termodinámica, consumo, Kv, flujo crítico</w:t>
            </w:r>
          </w:p>
        </w:tc>
        <w:tc>
          <w:tcPr>
            <w:tcW w:type="dxa" w:w="1361"/>
            <w:shd w:val="clear" w:color="auto" w:fill="ECF0F6"/>
          </w:tcPr>
          <w:p>
            <w:pPr>
              <w:spacing w:after="20"/>
            </w:pPr>
            <w:r/>
            <w:r>
              <w:rPr>
                <w:sz w:val="19"/>
              </w:rPr>
              <w:t>No se ve</w:t>
            </w:r>
          </w:p>
        </w:tc>
        <w:tc>
          <w:tcPr>
            <w:tcW w:type="dxa" w:w="4535"/>
            <w:shd w:val="clear" w:color="auto" w:fill="ECF0F6"/>
          </w:tcPr>
          <w:p>
            <w:pPr>
              <w:spacing w:after="20"/>
            </w:pPr>
            <w:r/>
            <w:r>
              <w:rPr>
                <w:sz w:val="19"/>
              </w:rPr>
              <w:t>Dimensionamiento, no representación</w:t>
            </w:r>
          </w:p>
        </w:tc>
      </w:tr>
      <w:tr>
        <w:tc>
          <w:tcPr>
            <w:tcW w:type="dxa" w:w="3742"/>
          </w:tcPr>
          <w:p>
            <w:pPr>
              <w:spacing w:after="20"/>
            </w:pPr>
            <w:r/>
            <w:r>
              <w:rPr>
                <w:sz w:val="19"/>
              </w:rPr>
              <w:t>Válvulas de asiento vs. corredera</w:t>
            </w:r>
          </w:p>
        </w:tc>
        <w:tc>
          <w:tcPr>
            <w:tcW w:type="dxa" w:w="1361"/>
          </w:tcPr>
          <w:p>
            <w:pPr>
              <w:spacing w:after="20"/>
            </w:pPr>
            <w:r/>
            <w:r>
              <w:rPr>
                <w:sz w:val="19"/>
              </w:rPr>
              <w:t>No se ve</w:t>
            </w:r>
          </w:p>
        </w:tc>
        <w:tc>
          <w:tcPr>
            <w:tcW w:type="dxa" w:w="4535"/>
          </w:tcPr>
          <w:p>
            <w:pPr>
              <w:spacing w:after="20"/>
            </w:pPr>
            <w:r/>
            <w:r>
              <w:rPr>
                <w:sz w:val="19"/>
              </w:rPr>
              <w:t>Detalle constructivo</w:t>
            </w:r>
          </w:p>
        </w:tc>
      </w:tr>
      <w:tr>
        <w:tc>
          <w:tcPr>
            <w:tcW w:type="dxa" w:w="3742"/>
            <w:shd w:val="clear" w:color="auto" w:fill="ECF0F6"/>
          </w:tcPr>
          <w:p>
            <w:pPr>
              <w:spacing w:after="20"/>
            </w:pPr>
            <w:r/>
            <w:r>
              <w:rPr>
                <w:sz w:val="19"/>
              </w:rPr>
              <w:t>Karnaugh, electroneumática, PLC, Grafcet</w:t>
            </w:r>
          </w:p>
        </w:tc>
        <w:tc>
          <w:tcPr>
            <w:tcW w:type="dxa" w:w="1361"/>
            <w:shd w:val="clear" w:color="auto" w:fill="ECF0F6"/>
          </w:tcPr>
          <w:p>
            <w:pPr>
              <w:spacing w:after="20"/>
            </w:pPr>
            <w:r/>
            <w:r>
              <w:rPr>
                <w:sz w:val="19"/>
              </w:rPr>
              <w:t>No se ve</w:t>
            </w:r>
          </w:p>
        </w:tc>
        <w:tc>
          <w:tcPr>
            <w:tcW w:type="dxa" w:w="4535"/>
            <w:shd w:val="clear" w:color="auto" w:fill="ECF0F6"/>
          </w:tcPr>
          <w:p>
            <w:pPr>
              <w:spacing w:after="20"/>
            </w:pPr>
            <w:r/>
            <w:r>
              <w:rPr>
                <w:sz w:val="19"/>
              </w:rPr>
              <w:t>Automatización (otro curso)</w:t>
            </w:r>
          </w:p>
        </w:tc>
      </w:tr>
      <w:tr>
        <w:tc>
          <w:tcPr>
            <w:tcW w:type="dxa" w:w="3742"/>
          </w:tcPr>
          <w:p>
            <w:pPr>
              <w:spacing w:after="20"/>
            </w:pPr>
            <w:r/>
            <w:r>
              <w:rPr>
                <w:sz w:val="19"/>
              </w:rPr>
              <w:t>Hidroneumática, servoneumática, buses</w:t>
            </w:r>
          </w:p>
        </w:tc>
        <w:tc>
          <w:tcPr>
            <w:tcW w:type="dxa" w:w="1361"/>
          </w:tcPr>
          <w:p>
            <w:pPr>
              <w:spacing w:after="20"/>
            </w:pPr>
            <w:r/>
            <w:r>
              <w:rPr>
                <w:sz w:val="19"/>
              </w:rPr>
              <w:t>No se ve</w:t>
            </w:r>
          </w:p>
        </w:tc>
        <w:tc>
          <w:tcPr>
            <w:tcW w:type="dxa" w:w="4535"/>
          </w:tcPr>
          <w:p>
            <w:pPr>
              <w:spacing w:after="20"/>
            </w:pPr>
            <w:r/>
            <w:r>
              <w:rPr>
                <w:sz w:val="19"/>
              </w:rPr>
              <w:t>Fuera de alcance</w:t>
            </w:r>
          </w:p>
        </w:tc>
      </w:tr>
    </w:tbl>
    <w:p>
      <w:pPr>
        <w:spacing w:after="40"/>
      </w:pPr>
    </w:p>
    <w:p>
      <w:pPr>
        <w:pStyle w:val="Heading1"/>
      </w:pPr>
      <w:r>
        <w:t>Sesión 1 · Teoría (120 min)</w:t>
      </w:r>
    </w:p>
    <w:p>
      <w:r>
        <w:rPr>
          <w:b/>
          <w:i w:val="0"/>
        </w:rPr>
        <w:t xml:space="preserve">Archivo: </w:t>
      </w:r>
      <w:r>
        <w:rPr>
          <w:b w:val="0"/>
          <w:i w:val="0"/>
        </w:rPr>
        <w:t>sesion1_teoria/RGIM_S1_Representacion_Neumatica_Teoria.pptx (30 diapositivas, notas del orador con tiempos y preguntas).</w:t>
      </w:r>
    </w:p>
    <w:tbl>
      <w:tblPr>
        <w:tblStyle w:val="TableGrid"/>
        <w:tblW w:type="auto" w:w="0"/>
        <w:jc w:val="center"/>
        <w:tblLayout w:type="fixed"/>
        <w:tblLook w:firstColumn="1" w:firstRow="1" w:lastColumn="0" w:lastRow="0" w:noHBand="0" w:noVBand="1" w:val="04A0"/>
      </w:tblPr>
      <w:tblGrid>
        <w:gridCol w:w="907"/>
        <w:gridCol w:w="2154"/>
        <w:gridCol w:w="1020"/>
        <w:gridCol w:w="5556"/>
      </w:tblGrid>
      <w:tr>
        <w:tc>
          <w:tcPr>
            <w:tcW w:type="dxa" w:w="907"/>
            <w:shd w:val="clear" w:color="auto" w:fill="042254"/>
          </w:tcPr>
          <w:p>
            <w:pPr>
              <w:spacing w:after="20"/>
            </w:pPr>
            <w:r/>
            <w:r>
              <w:rPr>
                <w:b/>
                <w:color w:val="FFFFFF"/>
                <w:sz w:val="19"/>
              </w:rPr>
              <w:t>Min.</w:t>
            </w:r>
          </w:p>
        </w:tc>
        <w:tc>
          <w:tcPr>
            <w:tcW w:type="dxa" w:w="2154"/>
            <w:shd w:val="clear" w:color="auto" w:fill="042254"/>
          </w:tcPr>
          <w:p>
            <w:pPr>
              <w:spacing w:after="20"/>
            </w:pPr>
            <w:r/>
            <w:r>
              <w:rPr>
                <w:b/>
                <w:color w:val="FFFFFF"/>
                <w:sz w:val="19"/>
              </w:rPr>
              <w:t>Bloque</w:t>
            </w:r>
          </w:p>
        </w:tc>
        <w:tc>
          <w:tcPr>
            <w:tcW w:type="dxa" w:w="1020"/>
            <w:shd w:val="clear" w:color="auto" w:fill="042254"/>
          </w:tcPr>
          <w:p>
            <w:pPr>
              <w:spacing w:after="20"/>
            </w:pPr>
            <w:r/>
            <w:r>
              <w:rPr>
                <w:b/>
                <w:color w:val="FFFFFF"/>
                <w:sz w:val="19"/>
              </w:rPr>
              <w:t>Diapos.</w:t>
            </w:r>
          </w:p>
        </w:tc>
        <w:tc>
          <w:tcPr>
            <w:tcW w:type="dxa" w:w="5556"/>
            <w:shd w:val="clear" w:color="auto" w:fill="042254"/>
          </w:tcPr>
          <w:p>
            <w:pPr>
              <w:spacing w:after="20"/>
            </w:pPr>
            <w:r/>
            <w:r>
              <w:rPr>
                <w:b/>
                <w:color w:val="FFFFFF"/>
                <w:sz w:val="19"/>
              </w:rPr>
              <w:t>Actividad</w:t>
            </w:r>
          </w:p>
        </w:tc>
      </w:tr>
      <w:tr>
        <w:tc>
          <w:tcPr>
            <w:tcW w:type="dxa" w:w="907"/>
          </w:tcPr>
          <w:p>
            <w:pPr>
              <w:spacing w:after="20"/>
            </w:pPr>
            <w:r/>
            <w:r>
              <w:rPr>
                <w:sz w:val="19"/>
              </w:rPr>
              <w:t>0–10</w:t>
            </w:r>
          </w:p>
        </w:tc>
        <w:tc>
          <w:tcPr>
            <w:tcW w:type="dxa" w:w="2154"/>
          </w:tcPr>
          <w:p>
            <w:pPr>
              <w:spacing w:after="20"/>
            </w:pPr>
            <w:r/>
            <w:r>
              <w:rPr>
                <w:sz w:val="19"/>
              </w:rPr>
              <w:t>Apertura y motivación</w:t>
            </w:r>
          </w:p>
        </w:tc>
        <w:tc>
          <w:tcPr>
            <w:tcW w:type="dxa" w:w="1020"/>
          </w:tcPr>
          <w:p>
            <w:pPr>
              <w:spacing w:after="20"/>
            </w:pPr>
            <w:r/>
            <w:r>
              <w:rPr>
                <w:sz w:val="19"/>
              </w:rPr>
              <w:t>1–5</w:t>
            </w:r>
          </w:p>
        </w:tc>
        <w:tc>
          <w:tcPr>
            <w:tcW w:type="dxa" w:w="5556"/>
          </w:tcPr>
          <w:p>
            <w:pPr>
              <w:spacing w:after="20"/>
            </w:pPr>
            <w:r/>
            <w:r>
              <w:rPr>
                <w:sz w:val="19"/>
              </w:rPr>
              <w:t>Objetivos, agenda, por qué neumática, cadena de energía</w:t>
            </w:r>
          </w:p>
        </w:tc>
      </w:tr>
      <w:tr>
        <w:tc>
          <w:tcPr>
            <w:tcW w:type="dxa" w:w="907"/>
            <w:shd w:val="clear" w:color="auto" w:fill="ECF0F6"/>
          </w:tcPr>
          <w:p>
            <w:pPr>
              <w:spacing w:after="20"/>
            </w:pPr>
            <w:r/>
            <w:r>
              <w:rPr>
                <w:sz w:val="19"/>
              </w:rPr>
              <w:t>10–40</w:t>
            </w:r>
          </w:p>
        </w:tc>
        <w:tc>
          <w:tcPr>
            <w:tcW w:type="dxa" w:w="2154"/>
            <w:shd w:val="clear" w:color="auto" w:fill="ECF0F6"/>
          </w:tcPr>
          <w:p>
            <w:pPr>
              <w:spacing w:after="20"/>
            </w:pPr>
            <w:r/>
            <w:r>
              <w:rPr>
                <w:sz w:val="19"/>
              </w:rPr>
              <w:t>1 · Símbolos ISO 1219</w:t>
            </w:r>
          </w:p>
        </w:tc>
        <w:tc>
          <w:tcPr>
            <w:tcW w:type="dxa" w:w="1020"/>
            <w:shd w:val="clear" w:color="auto" w:fill="ECF0F6"/>
          </w:tcPr>
          <w:p>
            <w:pPr>
              <w:spacing w:after="20"/>
            </w:pPr>
            <w:r/>
            <w:r>
              <w:rPr>
                <w:sz w:val="19"/>
              </w:rPr>
              <w:t>6–12</w:t>
            </w:r>
          </w:p>
        </w:tc>
        <w:tc>
          <w:tcPr>
            <w:tcW w:type="dxa" w:w="5556"/>
            <w:shd w:val="clear" w:color="auto" w:fill="ECF0F6"/>
          </w:tcPr>
          <w:p>
            <w:pPr>
              <w:spacing w:after="20"/>
            </w:pPr>
            <w:r/>
            <w:r>
              <w:rPr>
                <w:sz w:val="19"/>
              </w:rPr>
              <w:t>Cilindros, lectura de válvulas, numeración, accionamientos, memoria, O / Y / reguladora</w:t>
            </w:r>
          </w:p>
        </w:tc>
      </w:tr>
      <w:tr>
        <w:tc>
          <w:tcPr>
            <w:tcW w:type="dxa" w:w="907"/>
          </w:tcPr>
          <w:p>
            <w:pPr>
              <w:spacing w:after="20"/>
            </w:pPr>
            <w:r/>
            <w:r>
              <w:rPr>
                <w:sz w:val="19"/>
              </w:rPr>
              <w:t>40–70</w:t>
            </w:r>
          </w:p>
        </w:tc>
        <w:tc>
          <w:tcPr>
            <w:tcW w:type="dxa" w:w="2154"/>
          </w:tcPr>
          <w:p>
            <w:pPr>
              <w:spacing w:after="20"/>
            </w:pPr>
            <w:r/>
            <w:r>
              <w:rPr>
                <w:sz w:val="19"/>
              </w:rPr>
              <w:t>2 · Circuitos básicos</w:t>
            </w:r>
          </w:p>
        </w:tc>
        <w:tc>
          <w:tcPr>
            <w:tcW w:type="dxa" w:w="1020"/>
          </w:tcPr>
          <w:p>
            <w:pPr>
              <w:spacing w:after="20"/>
            </w:pPr>
            <w:r/>
            <w:r>
              <w:rPr>
                <w:sz w:val="19"/>
              </w:rPr>
              <w:t>13–19</w:t>
            </w:r>
          </w:p>
        </w:tc>
        <w:tc>
          <w:tcPr>
            <w:tcW w:type="dxa" w:w="5556"/>
          </w:tcPr>
          <w:p>
            <w:pPr>
              <w:spacing w:after="20"/>
            </w:pPr>
            <w:r/>
            <w:r>
              <w:rPr>
                <w:sz w:val="19"/>
              </w:rPr>
              <w:t>Reglas de dibujo, mando directo e indirecto, meter-out, lógica, final de carrera. Pregunta gancho: botón mantenido</w:t>
            </w:r>
          </w:p>
        </w:tc>
      </w:tr>
      <w:tr>
        <w:tc>
          <w:tcPr>
            <w:tcW w:type="dxa" w:w="907"/>
            <w:shd w:val="clear" w:color="auto" w:fill="ECF0F6"/>
          </w:tcPr>
          <w:p>
            <w:pPr>
              <w:spacing w:after="20"/>
            </w:pPr>
            <w:r/>
            <w:r>
              <w:rPr>
                <w:sz w:val="19"/>
              </w:rPr>
              <w:t>70–110</w:t>
            </w:r>
          </w:p>
        </w:tc>
        <w:tc>
          <w:tcPr>
            <w:tcW w:type="dxa" w:w="2154"/>
            <w:shd w:val="clear" w:color="auto" w:fill="ECF0F6"/>
          </w:tcPr>
          <w:p>
            <w:pPr>
              <w:spacing w:after="20"/>
            </w:pPr>
            <w:r/>
            <w:r>
              <w:rPr>
                <w:sz w:val="19"/>
              </w:rPr>
              <w:t>3 · Secuencias y cascada</w:t>
            </w:r>
          </w:p>
        </w:tc>
        <w:tc>
          <w:tcPr>
            <w:tcW w:type="dxa" w:w="1020"/>
            <w:shd w:val="clear" w:color="auto" w:fill="ECF0F6"/>
          </w:tcPr>
          <w:p>
            <w:pPr>
              <w:spacing w:after="20"/>
            </w:pPr>
            <w:r/>
            <w:r>
              <w:rPr>
                <w:sz w:val="19"/>
              </w:rPr>
              <w:t>20–27</w:t>
            </w:r>
          </w:p>
        </w:tc>
        <w:tc>
          <w:tcPr>
            <w:tcW w:type="dxa" w:w="5556"/>
            <w:shd w:val="clear" w:color="auto" w:fill="ECF0F6"/>
          </w:tcPr>
          <w:p>
            <w:pPr>
              <w:spacing w:after="20"/>
            </w:pPr>
            <w:r/>
            <w:r>
              <w:rPr>
                <w:sz w:val="19"/>
              </w:rPr>
              <w:t>Notación, espacio-fase, A+B+A−B−, bloqueo en A+B+B−A−, receta y circuito de cascada, ejercicio de agrupación</w:t>
            </w:r>
          </w:p>
        </w:tc>
      </w:tr>
      <w:tr>
        <w:tc>
          <w:tcPr>
            <w:tcW w:type="dxa" w:w="907"/>
          </w:tcPr>
          <w:p>
            <w:pPr>
              <w:spacing w:after="20"/>
            </w:pPr>
            <w:r/>
            <w:r>
              <w:rPr>
                <w:sz w:val="19"/>
              </w:rPr>
              <w:t>110–120</w:t>
            </w:r>
          </w:p>
        </w:tc>
        <w:tc>
          <w:tcPr>
            <w:tcW w:type="dxa" w:w="2154"/>
          </w:tcPr>
          <w:p>
            <w:pPr>
              <w:spacing w:after="20"/>
            </w:pPr>
            <w:r/>
            <w:r>
              <w:rPr>
                <w:sz w:val="19"/>
              </w:rPr>
              <w:t>Cierre</w:t>
            </w:r>
          </w:p>
        </w:tc>
        <w:tc>
          <w:tcPr>
            <w:tcW w:type="dxa" w:w="1020"/>
          </w:tcPr>
          <w:p>
            <w:pPr>
              <w:spacing w:after="20"/>
            </w:pPr>
            <w:r/>
            <w:r>
              <w:rPr>
                <w:sz w:val="19"/>
              </w:rPr>
              <w:t>28–30</w:t>
            </w:r>
          </w:p>
        </w:tc>
        <w:tc>
          <w:tcPr>
            <w:tcW w:type="dxa" w:w="5556"/>
          </w:tcPr>
          <w:p>
            <w:pPr>
              <w:spacing w:after="20"/>
            </w:pPr>
            <w:r/>
            <w:r>
              <w:rPr>
                <w:sz w:val="19"/>
              </w:rPr>
              <w:t>Metodología del enunciado al circuito, resumen</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E3F6EF"/>
          </w:tcPr>
          <w:p>
            <w:r>
              <w:rPr>
                <w:b/>
                <w:color w:val="0B7A53"/>
              </w:rPr>
              <w:t xml:space="preserve">Actividad en clase:  </w:t>
            </w:r>
            <w:r>
              <w:t>en la diapositiva 27 los alumnos agrupan las secuencias de la PD 11 (respuestas en las notas del orador). Es el puente directo con la práctica.</w:t>
            </w:r>
          </w:p>
        </w:tc>
      </w:tr>
    </w:tbl>
    <w:p>
      <w:pPr>
        <w:spacing w:after="40"/>
      </w:pPr>
    </w:p>
    <w:p>
      <w:pPr>
        <w:pStyle w:val="Heading1"/>
      </w:pPr>
      <w:r>
        <w:t>Sesión 2 · Práctica dirigida (180 min)</w:t>
      </w:r>
    </w:p>
    <w:p>
      <w:r>
        <w:rPr>
          <w:b/>
          <w:i w:val="0"/>
        </w:rPr>
        <w:t xml:space="preserve">Archivos: </w:t>
      </w:r>
      <w:r>
        <w:rPr>
          <w:b w:val="0"/>
          <w:i w:val="0"/>
        </w:rPr>
        <w:t>sesion2_practica/RGIM_S2_Practica_Dirigida_FluidSim.pptx (soluciones como diapositivas ocultas) y RGIM_Guia_Practica_Dirigida_Alumno.docx.</w:t>
      </w:r>
    </w:p>
    <w:tbl>
      <w:tblPr>
        <w:tblStyle w:val="TableGrid"/>
        <w:tblW w:type="auto" w:w="0"/>
        <w:jc w:val="center"/>
        <w:tblLayout w:type="fixed"/>
        <w:tblLook w:firstColumn="1" w:firstRow="1" w:lastColumn="0" w:lastRow="0" w:noHBand="0" w:noVBand="1" w:val="04A0"/>
      </w:tblPr>
      <w:tblGrid>
        <w:gridCol w:w="964"/>
        <w:gridCol w:w="2835"/>
        <w:gridCol w:w="3175"/>
        <w:gridCol w:w="2665"/>
      </w:tblGrid>
      <w:tr>
        <w:tc>
          <w:tcPr>
            <w:tcW w:type="dxa" w:w="964"/>
            <w:shd w:val="clear" w:color="auto" w:fill="042254"/>
          </w:tcPr>
          <w:p>
            <w:pPr>
              <w:spacing w:after="20"/>
            </w:pPr>
            <w:r/>
            <w:r>
              <w:rPr>
                <w:b/>
                <w:color w:val="FFFFFF"/>
                <w:sz w:val="19"/>
              </w:rPr>
              <w:t>Min.</w:t>
            </w:r>
          </w:p>
        </w:tc>
        <w:tc>
          <w:tcPr>
            <w:tcW w:type="dxa" w:w="2835"/>
            <w:shd w:val="clear" w:color="auto" w:fill="042254"/>
          </w:tcPr>
          <w:p>
            <w:pPr>
              <w:spacing w:after="20"/>
            </w:pPr>
            <w:r/>
            <w:r>
              <w:rPr>
                <w:b/>
                <w:color w:val="FFFFFF"/>
                <w:sz w:val="19"/>
              </w:rPr>
              <w:t>Actividad</w:t>
            </w:r>
          </w:p>
        </w:tc>
        <w:tc>
          <w:tcPr>
            <w:tcW w:type="dxa" w:w="3175"/>
            <w:shd w:val="clear" w:color="auto" w:fill="042254"/>
          </w:tcPr>
          <w:p>
            <w:pPr>
              <w:spacing w:after="20"/>
            </w:pPr>
            <w:r/>
            <w:r>
              <w:rPr>
                <w:b/>
                <w:color w:val="FFFFFF"/>
                <w:sz w:val="19"/>
              </w:rPr>
              <w:t>Modalidad</w:t>
            </w:r>
          </w:p>
        </w:tc>
        <w:tc>
          <w:tcPr>
            <w:tcW w:type="dxa" w:w="2665"/>
            <w:shd w:val="clear" w:color="auto" w:fill="042254"/>
          </w:tcPr>
          <w:p>
            <w:pPr>
              <w:spacing w:after="20"/>
            </w:pPr>
            <w:r/>
            <w:r>
              <w:rPr>
                <w:b/>
                <w:color w:val="FFFFFF"/>
                <w:sz w:val="19"/>
              </w:rPr>
              <w:t>Producto</w:t>
            </w:r>
          </w:p>
        </w:tc>
      </w:tr>
      <w:tr>
        <w:tc>
          <w:tcPr>
            <w:tcW w:type="dxa" w:w="964"/>
          </w:tcPr>
          <w:p>
            <w:pPr>
              <w:spacing w:after="20"/>
            </w:pPr>
            <w:r/>
            <w:r>
              <w:rPr>
                <w:sz w:val="19"/>
              </w:rPr>
              <w:t>0–20</w:t>
            </w:r>
          </w:p>
        </w:tc>
        <w:tc>
          <w:tcPr>
            <w:tcW w:type="dxa" w:w="2835"/>
          </w:tcPr>
          <w:p>
            <w:pPr>
              <w:spacing w:after="20"/>
            </w:pPr>
            <w:r/>
            <w:r>
              <w:rPr>
                <w:sz w:val="19"/>
              </w:rPr>
              <w:t>FluidSim en 20 minutos (demo en vivo)</w:t>
            </w:r>
          </w:p>
        </w:tc>
        <w:tc>
          <w:tcPr>
            <w:tcW w:type="dxa" w:w="3175"/>
          </w:tcPr>
          <w:p>
            <w:pPr>
              <w:spacing w:after="20"/>
            </w:pPr>
            <w:r/>
            <w:r>
              <w:rPr>
                <w:sz w:val="19"/>
              </w:rPr>
              <w:t>Docente demuestra, alumnos replican</w:t>
            </w:r>
          </w:p>
        </w:tc>
        <w:tc>
          <w:tcPr>
            <w:tcW w:type="dxa" w:w="2665"/>
          </w:tcPr>
          <w:p>
            <w:pPr>
              <w:spacing w:after="20"/>
            </w:pPr>
            <w:r/>
            <w:r>
              <w:rPr>
                <w:sz w:val="19"/>
              </w:rPr>
              <w:t>Cilindro + 5/2</w:t>
            </w:r>
          </w:p>
        </w:tc>
      </w:tr>
      <w:tr>
        <w:tc>
          <w:tcPr>
            <w:tcW w:type="dxa" w:w="964"/>
            <w:shd w:val="clear" w:color="auto" w:fill="ECF0F6"/>
          </w:tcPr>
          <w:p>
            <w:pPr>
              <w:spacing w:after="20"/>
            </w:pPr>
            <w:r/>
            <w:r>
              <w:rPr>
                <w:sz w:val="19"/>
              </w:rPr>
              <w:t>20–40</w:t>
            </w:r>
          </w:p>
        </w:tc>
        <w:tc>
          <w:tcPr>
            <w:tcW w:type="dxa" w:w="2835"/>
            <w:shd w:val="clear" w:color="auto" w:fill="ECF0F6"/>
          </w:tcPr>
          <w:p>
            <w:pPr>
              <w:spacing w:after="20"/>
            </w:pPr>
            <w:r/>
            <w:r>
              <w:rPr>
                <w:sz w:val="19"/>
              </w:rPr>
              <w:t>Calentamiento C1, C2, C3</w:t>
            </w:r>
          </w:p>
        </w:tc>
        <w:tc>
          <w:tcPr>
            <w:tcW w:type="dxa" w:w="3175"/>
            <w:shd w:val="clear" w:color="auto" w:fill="ECF0F6"/>
          </w:tcPr>
          <w:p>
            <w:pPr>
              <w:spacing w:after="20"/>
            </w:pPr>
            <w:r/>
            <w:r>
              <w:rPr>
                <w:sz w:val="19"/>
              </w:rPr>
              <w:t>Individual</w:t>
            </w:r>
          </w:p>
        </w:tc>
        <w:tc>
          <w:tcPr>
            <w:tcW w:type="dxa" w:w="2665"/>
            <w:shd w:val="clear" w:color="auto" w:fill="ECF0F6"/>
          </w:tcPr>
          <w:p>
            <w:pPr>
              <w:spacing w:after="20"/>
            </w:pPr>
            <w:r/>
            <w:r>
              <w:rPr>
                <w:sz w:val="19"/>
              </w:rPr>
              <w:t>Memoria y final de carrera</w:t>
            </w:r>
          </w:p>
        </w:tc>
      </w:tr>
      <w:tr>
        <w:tc>
          <w:tcPr>
            <w:tcW w:type="dxa" w:w="964"/>
          </w:tcPr>
          <w:p>
            <w:pPr>
              <w:spacing w:after="20"/>
            </w:pPr>
            <w:r/>
            <w:r>
              <w:rPr>
                <w:sz w:val="19"/>
              </w:rPr>
              <w:t>40–60</w:t>
            </w:r>
          </w:p>
        </w:tc>
        <w:tc>
          <w:tcPr>
            <w:tcW w:type="dxa" w:w="2835"/>
          </w:tcPr>
          <w:p>
            <w:pPr>
              <w:spacing w:after="20"/>
            </w:pPr>
            <w:r/>
            <w:r>
              <w:rPr>
                <w:sz w:val="19"/>
              </w:rPr>
              <w:t>PD 10 · Ej. 2 Cuchara</w:t>
            </w:r>
          </w:p>
        </w:tc>
        <w:tc>
          <w:tcPr>
            <w:tcW w:type="dxa" w:w="3175"/>
          </w:tcPr>
          <w:p>
            <w:pPr>
              <w:spacing w:after="20"/>
            </w:pPr>
            <w:r/>
            <w:r>
              <w:rPr>
                <w:sz w:val="19"/>
              </w:rPr>
              <w:t>Parejas, 10' autónomo + 10' puesta en común</w:t>
            </w:r>
          </w:p>
        </w:tc>
        <w:tc>
          <w:tcPr>
            <w:tcW w:type="dxa" w:w="2665"/>
          </w:tcPr>
          <w:p>
            <w:pPr>
              <w:spacing w:after="20"/>
            </w:pPr>
            <w:r/>
            <w:r>
              <w:rPr>
                <w:sz w:val="19"/>
              </w:rPr>
              <w:t>Circuito simulado</w:t>
            </w:r>
          </w:p>
        </w:tc>
      </w:tr>
      <w:tr>
        <w:tc>
          <w:tcPr>
            <w:tcW w:type="dxa" w:w="964"/>
            <w:shd w:val="clear" w:color="auto" w:fill="ECF0F6"/>
          </w:tcPr>
          <w:p>
            <w:pPr>
              <w:spacing w:after="20"/>
            </w:pPr>
            <w:r/>
            <w:r>
              <w:rPr>
                <w:sz w:val="19"/>
              </w:rPr>
              <w:t>60–90</w:t>
            </w:r>
          </w:p>
        </w:tc>
        <w:tc>
          <w:tcPr>
            <w:tcW w:type="dxa" w:w="2835"/>
            <w:shd w:val="clear" w:color="auto" w:fill="ECF0F6"/>
          </w:tcPr>
          <w:p>
            <w:pPr>
              <w:spacing w:after="20"/>
            </w:pPr>
            <w:r/>
            <w:r>
              <w:rPr>
                <w:sz w:val="19"/>
              </w:rPr>
              <w:t>PD 10 · Ej. 1 Puerta</w:t>
            </w:r>
          </w:p>
        </w:tc>
        <w:tc>
          <w:tcPr>
            <w:tcW w:type="dxa" w:w="3175"/>
            <w:shd w:val="clear" w:color="auto" w:fill="ECF0F6"/>
          </w:tcPr>
          <w:p>
            <w:pPr>
              <w:spacing w:after="20"/>
            </w:pPr>
            <w:r/>
            <w:r>
              <w:rPr>
                <w:sz w:val="19"/>
              </w:rPr>
              <w:t>Parejas + discusión de interpretación</w:t>
            </w:r>
          </w:p>
        </w:tc>
        <w:tc>
          <w:tcPr>
            <w:tcW w:type="dxa" w:w="2665"/>
            <w:shd w:val="clear" w:color="auto" w:fill="ECF0F6"/>
          </w:tcPr>
          <w:p>
            <w:pPr>
              <w:spacing w:after="20"/>
            </w:pPr>
            <w:r/>
            <w:r>
              <w:rPr>
                <w:sz w:val="19"/>
              </w:rPr>
              <w:t>Circuito simulado</w:t>
            </w:r>
          </w:p>
        </w:tc>
      </w:tr>
      <w:tr>
        <w:tc>
          <w:tcPr>
            <w:tcW w:type="dxa" w:w="964"/>
          </w:tcPr>
          <w:p>
            <w:pPr>
              <w:spacing w:after="20"/>
            </w:pPr>
            <w:r/>
            <w:r>
              <w:rPr>
                <w:sz w:val="19"/>
              </w:rPr>
              <w:t>90–100</w:t>
            </w:r>
          </w:p>
        </w:tc>
        <w:tc>
          <w:tcPr>
            <w:tcW w:type="dxa" w:w="2835"/>
          </w:tcPr>
          <w:p>
            <w:pPr>
              <w:spacing w:after="20"/>
            </w:pPr>
            <w:r/>
            <w:r>
              <w:rPr>
                <w:sz w:val="19"/>
              </w:rPr>
              <w:t>Pausa</w:t>
            </w:r>
          </w:p>
        </w:tc>
        <w:tc>
          <w:tcPr>
            <w:tcW w:type="dxa" w:w="3175"/>
          </w:tcPr>
          <w:p>
            <w:pPr>
              <w:spacing w:after="20"/>
            </w:pPr>
            <w:r/>
            <w:r>
              <w:rPr>
                <w:sz w:val="19"/>
              </w:rPr>
              <w:t>—</w:t>
            </w:r>
          </w:p>
        </w:tc>
        <w:tc>
          <w:tcPr>
            <w:tcW w:type="dxa" w:w="2665"/>
          </w:tcPr>
          <w:p>
            <w:pPr>
              <w:spacing w:after="20"/>
            </w:pPr>
            <w:r/>
            <w:r>
              <w:rPr>
                <w:sz w:val="19"/>
              </w:rPr>
              <w:t>—</w:t>
            </w:r>
          </w:p>
        </w:tc>
      </w:tr>
      <w:tr>
        <w:tc>
          <w:tcPr>
            <w:tcW w:type="dxa" w:w="964"/>
            <w:shd w:val="clear" w:color="auto" w:fill="ECF0F6"/>
          </w:tcPr>
          <w:p>
            <w:pPr>
              <w:spacing w:after="20"/>
            </w:pPr>
            <w:r/>
            <w:r>
              <w:rPr>
                <w:sz w:val="19"/>
              </w:rPr>
              <w:t>100–125</w:t>
            </w:r>
          </w:p>
        </w:tc>
        <w:tc>
          <w:tcPr>
            <w:tcW w:type="dxa" w:w="2835"/>
            <w:shd w:val="clear" w:color="auto" w:fill="ECF0F6"/>
          </w:tcPr>
          <w:p>
            <w:pPr>
              <w:spacing w:after="20"/>
            </w:pPr>
            <w:r/>
            <w:r>
              <w:rPr>
                <w:sz w:val="19"/>
              </w:rPr>
              <w:t>PD 11 · Ej. 2 Dobladora</w:t>
            </w:r>
          </w:p>
        </w:tc>
        <w:tc>
          <w:tcPr>
            <w:tcW w:type="dxa" w:w="3175"/>
            <w:shd w:val="clear" w:color="auto" w:fill="ECF0F6"/>
          </w:tcPr>
          <w:p>
            <w:pPr>
              <w:spacing w:after="20"/>
            </w:pPr>
            <w:r/>
            <w:r>
              <w:rPr>
                <w:sz w:val="19"/>
              </w:rPr>
              <w:t>Guiado paso a paso (cascada)</w:t>
            </w:r>
          </w:p>
        </w:tc>
        <w:tc>
          <w:tcPr>
            <w:tcW w:type="dxa" w:w="2665"/>
            <w:shd w:val="clear" w:color="auto" w:fill="ECF0F6"/>
          </w:tcPr>
          <w:p>
            <w:pPr>
              <w:spacing w:after="20"/>
            </w:pPr>
            <w:r/>
            <w:r>
              <w:rPr>
                <w:sz w:val="19"/>
              </w:rPr>
              <w:t>Cascada 2 grupos</w:t>
            </w:r>
          </w:p>
        </w:tc>
      </w:tr>
      <w:tr>
        <w:tc>
          <w:tcPr>
            <w:tcW w:type="dxa" w:w="964"/>
          </w:tcPr>
          <w:p>
            <w:pPr>
              <w:spacing w:after="20"/>
            </w:pPr>
            <w:r/>
            <w:r>
              <w:rPr>
                <w:sz w:val="19"/>
              </w:rPr>
              <w:t>125–145</w:t>
            </w:r>
          </w:p>
        </w:tc>
        <w:tc>
          <w:tcPr>
            <w:tcW w:type="dxa" w:w="2835"/>
          </w:tcPr>
          <w:p>
            <w:pPr>
              <w:spacing w:after="20"/>
            </w:pPr>
            <w:r/>
            <w:r>
              <w:rPr>
                <w:sz w:val="19"/>
              </w:rPr>
              <w:t>PD 11 · Ej. 3 Prensa</w:t>
            </w:r>
          </w:p>
        </w:tc>
        <w:tc>
          <w:tcPr>
            <w:tcW w:type="dxa" w:w="3175"/>
          </w:tcPr>
          <w:p>
            <w:pPr>
              <w:spacing w:after="20"/>
            </w:pPr>
            <w:r/>
            <w:r>
              <w:rPr>
                <w:sz w:val="19"/>
              </w:rPr>
              <w:t>Parejas</w:t>
            </w:r>
          </w:p>
        </w:tc>
        <w:tc>
          <w:tcPr>
            <w:tcW w:type="dxa" w:w="2665"/>
          </w:tcPr>
          <w:p>
            <w:pPr>
              <w:spacing w:after="20"/>
            </w:pPr>
            <w:r/>
            <w:r>
              <w:rPr>
                <w:sz w:val="19"/>
              </w:rPr>
              <w:t>Cascada con O / Y</w:t>
            </w:r>
          </w:p>
        </w:tc>
      </w:tr>
      <w:tr>
        <w:tc>
          <w:tcPr>
            <w:tcW w:type="dxa" w:w="964"/>
            <w:shd w:val="clear" w:color="auto" w:fill="ECF0F6"/>
          </w:tcPr>
          <w:p>
            <w:pPr>
              <w:spacing w:after="20"/>
            </w:pPr>
            <w:r/>
            <w:r>
              <w:rPr>
                <w:sz w:val="19"/>
              </w:rPr>
              <w:t>145–170</w:t>
            </w:r>
          </w:p>
        </w:tc>
        <w:tc>
          <w:tcPr>
            <w:tcW w:type="dxa" w:w="2835"/>
            <w:shd w:val="clear" w:color="auto" w:fill="ECF0F6"/>
          </w:tcPr>
          <w:p>
            <w:pPr>
              <w:spacing w:after="20"/>
            </w:pPr>
            <w:r/>
            <w:r>
              <w:rPr>
                <w:sz w:val="19"/>
              </w:rPr>
              <w:t>PD 11 · Ej. 1 Estampado</w:t>
            </w:r>
          </w:p>
        </w:tc>
        <w:tc>
          <w:tcPr>
            <w:tcW w:type="dxa" w:w="3175"/>
            <w:shd w:val="clear" w:color="auto" w:fill="ECF0F6"/>
          </w:tcPr>
          <w:p>
            <w:pPr>
              <w:spacing w:after="20"/>
            </w:pPr>
            <w:r/>
            <w:r>
              <w:rPr>
                <w:sz w:val="19"/>
              </w:rPr>
              <w:t>Parejas (reto)</w:t>
            </w:r>
          </w:p>
        </w:tc>
        <w:tc>
          <w:tcPr>
            <w:tcW w:type="dxa" w:w="2665"/>
            <w:shd w:val="clear" w:color="auto" w:fill="ECF0F6"/>
          </w:tcPr>
          <w:p>
            <w:pPr>
              <w:spacing w:after="20"/>
            </w:pPr>
            <w:r/>
            <w:r>
              <w:rPr>
                <w:sz w:val="19"/>
              </w:rPr>
              <w:t>Fusión de grupos</w:t>
            </w:r>
          </w:p>
        </w:tc>
      </w:tr>
      <w:tr>
        <w:tc>
          <w:tcPr>
            <w:tcW w:type="dxa" w:w="964"/>
          </w:tcPr>
          <w:p>
            <w:pPr>
              <w:spacing w:after="20"/>
            </w:pPr>
            <w:r/>
            <w:r>
              <w:rPr>
                <w:sz w:val="19"/>
              </w:rPr>
              <w:t>170–180</w:t>
            </w:r>
          </w:p>
        </w:tc>
        <w:tc>
          <w:tcPr>
            <w:tcW w:type="dxa" w:w="2835"/>
          </w:tcPr>
          <w:p>
            <w:pPr>
              <w:spacing w:after="20"/>
            </w:pPr>
            <w:r/>
            <w:r>
              <w:rPr>
                <w:sz w:val="19"/>
              </w:rPr>
              <w:t>Errores frecuentes y cierre</w:t>
            </w:r>
          </w:p>
        </w:tc>
        <w:tc>
          <w:tcPr>
            <w:tcW w:type="dxa" w:w="3175"/>
          </w:tcPr>
          <w:p>
            <w:pPr>
              <w:spacing w:after="20"/>
            </w:pPr>
            <w:r/>
            <w:r>
              <w:rPr>
                <w:sz w:val="19"/>
              </w:rPr>
              <w:t>Plenario</w:t>
            </w:r>
          </w:p>
        </w:tc>
        <w:tc>
          <w:tcPr>
            <w:tcW w:type="dxa" w:w="2665"/>
          </w:tcPr>
          <w:p>
            <w:pPr>
              <w:spacing w:after="20"/>
            </w:pPr>
            <w:r/>
            <w:r>
              <w:rPr>
                <w:sz w:val="19"/>
              </w:rPr>
              <w:t>Lista de verificación</w:t>
            </w:r>
          </w:p>
        </w:tc>
      </w:tr>
    </w:tbl>
    <w:p>
      <w:pPr>
        <w:spacing w:after="40"/>
      </w:pPr>
    </w:p>
    <w:p>
      <w:pPr>
        <w:pStyle w:val="Heading3"/>
      </w:pPr>
      <w:r>
        <w:t>Si falta tiempo</w:t>
      </w:r>
    </w:p>
    <w:p>
      <w:pPr>
        <w:pStyle w:val="ListBullet"/>
        <w:spacing w:after="40"/>
      </w:pPr>
      <w:r>
        <w:rPr>
          <w:b w:val="0"/>
        </w:rPr>
        <w:t>Dejar el estampado como tarea y publicar la solución después.</w:t>
      </w:r>
    </w:p>
    <w:p>
      <w:pPr>
        <w:pStyle w:val="ListBullet"/>
        <w:spacing w:after="40"/>
      </w:pPr>
      <w:r>
        <w:rPr>
          <w:b w:val="0"/>
        </w:rPr>
        <w:t>En la puerta, aceptar directamente la variante de botonera (4 pulsadores).</w:t>
      </w:r>
    </w:p>
    <w:p>
      <w:pPr>
        <w:pStyle w:val="ListBullet"/>
        <w:spacing w:after="40"/>
      </w:pPr>
      <w:r>
        <w:rPr>
          <w:b w:val="0"/>
        </w:rPr>
        <w:t>Mostrar la solución de la cuchara tras 10 minutos para no perder ritmo.</w:t>
      </w:r>
    </w:p>
    <w:p>
      <w:pPr>
        <w:pStyle w:val="Heading1"/>
      </w:pPr>
      <w:r>
        <w:t>Preparación previa</w:t>
      </w:r>
    </w:p>
    <w:p>
      <w:pPr>
        <w:pStyle w:val="ListBullet"/>
        <w:spacing w:after="40"/>
      </w:pPr>
      <w:r>
        <w:rPr>
          <w:b w:val="0"/>
        </w:rPr>
        <w:t>Verificar licencias/instalación de FluidSim en el laboratorio (versión y biblioteca neumática).</w:t>
      </w:r>
    </w:p>
    <w:p>
      <w:pPr>
        <w:pStyle w:val="ListBullet"/>
        <w:spacing w:after="40"/>
      </w:pPr>
      <w:r>
        <w:rPr>
          <w:b w:val="0"/>
        </w:rPr>
        <w:t>Probar en FluidSim los circuitos del solucionario (las tablas de conexiones están pensadas para armarlos en pocos minutos).</w:t>
      </w:r>
    </w:p>
    <w:p>
      <w:pPr>
        <w:pStyle w:val="ListBullet"/>
        <w:spacing w:after="40"/>
      </w:pPr>
      <w:r>
        <w:rPr>
          <w:b w:val="0"/>
        </w:rPr>
        <w:t>Revisar que las diapositivas de solución sigan ocultas antes de proyectar.</w:t>
      </w:r>
    </w:p>
    <w:p>
      <w:pPr>
        <w:pStyle w:val="ListBullet"/>
        <w:spacing w:after="40"/>
      </w:pPr>
      <w:r>
        <w:rPr>
          <w:b w:val="0"/>
        </w:rPr>
        <w:t>Imprimir o compartir la guía del alumno.</w:t>
      </w:r>
    </w:p>
    <w:p>
      <w:pPr>
        <w:pStyle w:val="Heading1"/>
      </w:pPr>
      <w:r>
        <w:t>Evaluación sugerida</w:t>
      </w:r>
    </w:p>
    <w:p>
      <w:r>
        <w:rPr>
          <w:b w:val="0"/>
          <w:i w:val="0"/>
        </w:rPr>
        <w:t>Usar la lista de verificación de la guía como rúbrica (8 criterios, 1 punto c/u) sobre uno de los ejercicios de la PD 11, más 2 puntos por la simulación funcionando.</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F6D"/>
        <w:sz w:val="16"/>
      </w:rPr>
      <w:t xml:space="preserve">PUCP · RGIM · Representación neumática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42254"/>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42254"/>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7A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